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2A4A" w:sz="8" w:space="8"/>
        </w:pBdr>
        <w:spacing w:after="120" w:before="480"/>
        <w:jc w:val="center"/>
      </w:pPr>
      <w:r>
        <w:rPr>
          <w:rFonts w:ascii="Times New Roman" w:cs="Times New Roman" w:eastAsia="Times New Roman" w:hAnsi="Times New Roman"/>
          <w:b/>
          <w:bCs/>
          <w:color w:val="1B2A4A"/>
          <w:spacing w:val="40"/>
          <w:sz w:val="38"/>
          <w:szCs w:val="38"/>
        </w:rPr>
        <w:t xml:space="preserve">THE CONSTITUTION OF THE FEDERATED REPUBLIC</w:t>
      </w:r>
    </w:p>
    <w:p>
      <w:pPr>
        <w:spacing w:after="480" w:before="120"/>
        <w:jc w:val="center"/>
      </w:pPr>
      <w:r>
        <w:rPr>
          <w:rFonts w:ascii="Times New Roman" w:cs="Times New Roman" w:eastAsia="Times New Roman" w:hAnsi="Times New Roman"/>
          <w:i/>
          <w:iCs/>
          <w:color w:val="7A7060"/>
          <w:sz w:val="22"/>
          <w:szCs w:val="22"/>
        </w:rPr>
        <w:t xml:space="preserve">A Constitutional Framework for Sovereign Governance — Rights, Powers, and Limits</w:t>
      </w:r>
    </w:p>
    <w:p>
      <w:pPr>
        <w:spacing w:after="120" w:before="240"/>
        <w:jc w:val="center"/>
      </w:pPr>
      <w:r>
        <w:rPr>
          <w:rFonts w:ascii="Times New Roman" w:cs="Times New Roman" w:eastAsia="Times New Roman" w:hAnsi="Times New Roman"/>
          <w:b/>
          <w:bCs/>
          <w:color w:val="1B2A4A"/>
          <w:spacing w:val="60"/>
          <w:sz w:val="24"/>
          <w:szCs w:val="24"/>
        </w:rPr>
        <w:t xml:space="preserve">PREAMBLE</w:t>
      </w:r>
    </w:p>
    <w:p>
      <w:pPr>
        <w:spacing w:after="80" w:before="80" w:line="280" w:lineRule="auto"/>
        <w:jc w:val="both"/>
      </w:pPr>
      <w:r>
        <w:rPr>
          <w:rFonts w:ascii="Times New Roman" w:cs="Times New Roman" w:eastAsia="Times New Roman" w:hAnsi="Times New Roman"/>
          <w:i/>
          <w:iCs/>
          <w:color w:val="000000"/>
          <w:sz w:val="22"/>
          <w:szCs w:val="22"/>
        </w:rPr>
        <w:t xml:space="preserve">We, the inhabitants of the Federated Republic, knowing that power unchecked becomes tyranny and that rights unprotected become hollow, do ordain and establish this Constitution.</w:t>
      </w:r>
    </w:p>
    <w:p>
      <w:pPr>
        <w:spacing w:after="80" w:before="80" w:line="280" w:lineRule="auto"/>
        <w:jc w:val="both"/>
      </w:pPr>
      <w:r>
        <w:rPr>
          <w:rFonts w:ascii="Times New Roman" w:cs="Times New Roman" w:eastAsia="Times New Roman" w:hAnsi="Times New Roman"/>
          <w:i/>
          <w:iCs/>
          <w:color w:val="000000"/>
          <w:sz w:val="22"/>
          <w:szCs w:val="22"/>
        </w:rPr>
        <w:t xml:space="preserve">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80" w:before="80" w:line="280" w:lineRule="auto"/>
        <w:jc w:val="both"/>
      </w:pPr>
      <w:r>
        <w:rPr>
          <w:rFonts w:ascii="Times New Roman" w:cs="Times New Roman" w:eastAsia="Times New Roman" w:hAnsi="Times New Roman"/>
          <w:i/>
          <w:iCs/>
          <w:color w:val="000000"/>
          <w:sz w:val="22"/>
          <w:szCs w:val="22"/>
        </w:rPr>
        <w:t xml:space="preserve">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80" w:before="80" w:line="280" w:lineRule="auto"/>
        <w:jc w:val="both"/>
      </w:pPr>
      <w:r>
        <w:rPr>
          <w:rFonts w:ascii="Times New Roman" w:cs="Times New Roman" w:eastAsia="Times New Roman" w:hAnsi="Times New Roman"/>
          <w:i/>
          <w:iCs/>
          <w:color w:val="000000"/>
          <w:sz w:val="22"/>
          <w:szCs w:val="22"/>
        </w:rPr>
        <w:t xml:space="preserve">Every right enumerated here is a floor, not a ceiling. Every power granted to government is a ceiling, not a floor. What this Constitution does not give to government, government does not have.</w:t>
      </w:r>
    </w:p>
    <w:p>
      <w:pPr>
        <w:spacing w:after="80" w:before="80" w:line="280" w:lineRule="auto"/>
        <w:jc w:val="both"/>
      </w:pPr>
      <w:r>
        <w:rPr>
          <w:rFonts w:ascii="Times New Roman" w:cs="Times New Roman" w:eastAsia="Times New Roman" w:hAnsi="Times New Roman"/>
          <w:i/>
          <w:iCs/>
          <w:color w:val="000000"/>
          <w:sz w:val="22"/>
          <w:szCs w:val="22"/>
        </w:rPr>
        <w:t xml:space="preserve">This is our compact — with each other, and with those who will inherit what we build.</w:t>
      </w:r>
    </w:p>
    <w:p>
      <w:pPr>
        <w:spacing w:after="240" w:before="240"/>
        <w:jc w:val="center"/>
      </w:pPr>
      <w:r>
        <w:rPr>
          <w:rFonts w:ascii="Times New Roman" w:cs="Times New Roman" w:eastAsia="Times New Roman" w:hAnsi="Times New Roman"/>
          <w:i/>
          <w:iCs/>
          <w:color w:val="7A7060"/>
          <w:sz w:val="20"/>
          <w:szCs w:val="20"/>
        </w:rPr>
        <w:t xml:space="preserve">Navigation Guide and Citizen Glossary are published as companion documents. They have no legal force. The operative text begins with Article I.</w:t>
      </w:r>
    </w:p>
    <w:p>
      <w:pPr>
        <w:pBdr>
          <w:bottom w:val="single" w:color="C9A84C" w:sz="6" w:space="6"/>
        </w:pBdr>
        <w:spacing w:after="200" w:before="600"/>
        <w:jc w:val="center"/>
      </w:pPr>
      <w:r>
        <w:rPr>
          <w:rFonts w:ascii="Times New Roman" w:cs="Times New Roman" w:eastAsia="Times New Roman" w:hAnsi="Times New Roman"/>
          <w:b/>
          <w:bCs/>
          <w:color w:val="1B2A4A"/>
          <w:spacing w:val="20"/>
          <w:sz w:val="28"/>
          <w:szCs w:val="28"/>
        </w:rPr>
        <w:t xml:space="preserve">ARTICLE I — THE INDIVIDUAL SOVEREIGNTY FLOOR</w:t>
      </w:r>
    </w:p>
    <w:p>
      <w:pPr>
        <w:spacing w:after="60" w:before="60" w:line="280" w:lineRule="auto"/>
        <w:jc w:val="both"/>
      </w:pPr>
      <w:r>
        <w:rPr>
          <w:rFonts w:ascii="Times New Roman" w:cs="Times New Roman" w:eastAsia="Times New Roman" w:hAnsi="Times New Roman"/>
          <w:color w:val="000000"/>
          <w:sz w:val="22"/>
          <w:szCs w:val="22"/>
        </w:rPr>
        <w:t xml:space="preserve">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line="280" w:lineRule="auto"/>
        <w:jc w:val="both"/>
      </w:pPr>
      <w:r>
        <w:rPr>
          <w:rFonts w:ascii="Times New Roman" w:cs="Times New Roman" w:eastAsia="Times New Roman" w:hAnsi="Times New Roman"/>
          <w:color w:val="000000"/>
          <w:sz w:val="22"/>
          <w:szCs w:val="22"/>
        </w:rPr>
        <w:t xml:space="preserve">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100" w:before="280"/>
        <w:jc w:val="center"/>
      </w:pPr>
      <w:r>
        <w:rPr>
          <w:rFonts w:ascii="Times New Roman" w:cs="Times New Roman" w:eastAsia="Times New Roman" w:hAnsi="Times New Roman"/>
          <w:i/>
          <w:iCs/>
          <w:color w:val="7A7060"/>
          <w:sz w:val="18"/>
          <w:szCs w:val="18"/>
        </w:rPr>
        <w:t xml:space="preserve">—  Part A — Personal Integrity (§§ 1.0 – 1.3)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 — Right of Access to Courts</w:t>
      </w:r>
    </w:p>
    <w:p>
      <w:pPr>
        <w:spacing w:after="60" w:before="60" w:line="280" w:lineRule="auto"/>
        <w:jc w:val="both"/>
      </w:pPr>
      <w:r>
        <w:rPr>
          <w:rFonts w:ascii="Times New Roman" w:cs="Times New Roman" w:eastAsia="Times New Roman" w:hAnsi="Times New Roman"/>
          <w:color w:val="000000"/>
          <w:sz w:val="22"/>
          <w:szCs w:val="22"/>
        </w:rPr>
        <w:t xml:space="preserve">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 This obligation is self-executing: in the absence of a statute, any person who demonstrates they cannot afford representation may petition the court for appointed counsel at public expense. The court must appoint where this is demonstrated. This default operates until a statutory legal aid framework is enacted, at which point the statute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 — Right to Life</w:t>
      </w:r>
    </w:p>
    <w:p>
      <w:pPr>
        <w:spacing w:after="60" w:before="60" w:line="280" w:lineRule="auto"/>
        <w:jc w:val="both"/>
      </w:pPr>
      <w:r>
        <w:rPr>
          <w:rFonts w:ascii="Times New Roman" w:cs="Times New Roman" w:eastAsia="Times New Roman" w:hAnsi="Times New Roman"/>
          <w:color w:val="000000"/>
          <w:sz w:val="22"/>
          <w:szCs w:val="22"/>
        </w:rPr>
        <w:t xml:space="preserve">Every person has the inherent right to life. The State may not deliberately deprive any person of life except as the lawful consequence of a sentence imposed by a court of competent jurisdiction following conviction. No executive may order the deliberate killing of any Inhabitant outside of active armed conflict governed by Article XII. This right admits no emergency derogation. For purposes of this provision, the State’s obligations attach from the moment of live birth.</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 — Prohibition of Torture and Cruel Treatment</w:t>
      </w:r>
    </w:p>
    <w:p>
      <w:pPr>
        <w:spacing w:after="60" w:before="60" w:line="280" w:lineRule="auto"/>
        <w:jc w:val="both"/>
      </w:pPr>
      <w:r>
        <w:rPr>
          <w:rFonts w:ascii="Times New Roman" w:cs="Times New Roman" w:eastAsia="Times New Roman" w:hAnsi="Times New Roman"/>
          <w:b/>
          <w:bCs/>
          <w:color w:val="1B2A4A"/>
          <w:sz w:val="22"/>
          <w:szCs w:val="22"/>
        </w:rPr>
        <w:t xml:space="preserve">1.2 Prohibition of Torture and Cruel Treatment: </w:t>
      </w:r>
      <w:r>
        <w:rPr>
          <w:rFonts w:ascii="Times New Roman" w:cs="Times New Roman" w:eastAsia="Times New Roman" w:hAnsi="Times New Roman"/>
          <w:color w:val="000000"/>
          <w:sz w:val="22"/>
          <w:szCs w:val="22"/>
        </w:rPr>
        <w:t xml:space="preserve">No person in the custody or control of the Republic, its agents, or any entity acting on its behalf may be subjected to torture, cruel, degrading, or inhumane treatment or punishment under any circumstances. No declared emergency, legislative act, executive order, or military necessity may authorize or excuse a violation. Any official who orders, authorizes, or knowingly permits such treatment commits a criminal offense under federal statute; the Executive Inspectorate reports any such violation to the National Record System. This prohibition is permanently unamendable under §15.3.</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 — Prohibition of Slavery and Forced Labor</w:t>
      </w:r>
    </w:p>
    <w:p>
      <w:pPr>
        <w:spacing w:after="60" w:before="60" w:line="280" w:lineRule="auto"/>
        <w:jc w:val="both"/>
      </w:pPr>
      <w:r>
        <w:rPr>
          <w:rFonts w:ascii="Times New Roman" w:cs="Times New Roman" w:eastAsia="Times New Roman" w:hAnsi="Times New Roman"/>
          <w:color w:val="000000"/>
          <w:sz w:val="22"/>
          <w:szCs w:val="22"/>
        </w:rPr>
        <w:t xml:space="preserve">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100" w:before="280"/>
        <w:jc w:val="center"/>
      </w:pPr>
      <w:r>
        <w:rPr>
          <w:rFonts w:ascii="Times New Roman" w:cs="Times New Roman" w:eastAsia="Times New Roman" w:hAnsi="Times New Roman"/>
          <w:i/>
          <w:iCs/>
          <w:color w:val="7A7060"/>
          <w:sz w:val="18"/>
          <w:szCs w:val="18"/>
        </w:rPr>
        <w:t xml:space="preserve">—  Part B — Civil and Political Liberties (§§ 1.4 – 1.7)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 — Freedom of Expression</w:t>
      </w:r>
    </w:p>
    <w:p>
      <w:pPr>
        <w:spacing w:after="60" w:before="60" w:line="280" w:lineRule="auto"/>
        <w:jc w:val="both"/>
      </w:pPr>
      <w:r>
        <w:rPr>
          <w:rFonts w:ascii="Times New Roman" w:cs="Times New Roman" w:eastAsia="Times New Roman" w:hAnsi="Times New Roman"/>
          <w:color w:val="000000"/>
          <w:sz w:val="22"/>
          <w:szCs w:val="22"/>
        </w:rPr>
        <w:t xml:space="preserve">No branch, agency, official, or instrumentality of the Republic or any State may abridge the freedom of speech, press, or assembly in any medium — physical or digital.</w:t>
      </w:r>
    </w:p>
    <w:p>
      <w:pPr>
        <w:spacing w:after="60" w:before="60" w:line="280" w:lineRule="auto"/>
        <w:jc w:val="both"/>
      </w:pPr>
      <w:r>
        <w:rPr>
          <w:rFonts w:ascii="Times New Roman" w:cs="Times New Roman" w:eastAsia="Times New Roman" w:hAnsi="Times New Roman"/>
          <w:b/>
          <w:bCs/>
          <w:color w:val="1B2A4A"/>
          <w:sz w:val="22"/>
          <w:szCs w:val="22"/>
        </w:rPr>
        <w:t xml:space="preserve">1.4.a Censorship by Proxy: </w:t>
      </w:r>
      <w:r>
        <w:rPr>
          <w:rFonts w:ascii="Times New Roman" w:cs="Times New Roman" w:eastAsia="Times New Roman" w:hAnsi="Times New Roman"/>
          <w:color w:val="000000"/>
          <w:sz w:val="22"/>
          <w:szCs w:val="22"/>
        </w:rPr>
        <w:t xml:space="preserve">No government agent may coerce, incentivize, or direct private entities to suppress protected speech.</w:t>
      </w:r>
    </w:p>
    <w:p>
      <w:pPr>
        <w:spacing w:after="60" w:before="60" w:line="280" w:lineRule="auto"/>
        <w:jc w:val="both"/>
      </w:pPr>
      <w:r>
        <w:rPr>
          <w:rFonts w:ascii="Times New Roman" w:cs="Times New Roman" w:eastAsia="Times New Roman" w:hAnsi="Times New Roman"/>
          <w:b/>
          <w:bCs/>
          <w:color w:val="1B2A4A"/>
          <w:sz w:val="22"/>
          <w:szCs w:val="22"/>
        </w:rPr>
        <w:t xml:space="preserve">1.4.b Separation of Church and State: </w:t>
      </w:r>
      <w:r>
        <w:rPr>
          <w:rFonts w:ascii="Times New Roman" w:cs="Times New Roman" w:eastAsia="Times New Roman" w:hAnsi="Times New Roman"/>
          <w:color w:val="000000"/>
          <w:sz w:val="22"/>
          <w:szCs w:val="22"/>
        </w:rPr>
        <w:t xml:space="preserve">No religion may be established by law. Public funds directed to religious organizations for secular services must adhere to non-discrimination statutes.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 — Freedom of Thought, Conscience, and Religion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 — Freedom of Association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 — Right to Petition</w:t>
      </w:r>
    </w:p>
    <w:p>
      <w:pPr>
        <w:spacing w:after="60" w:before="60" w:line="280" w:lineRule="auto"/>
        <w:jc w:val="both"/>
      </w:pPr>
      <w:r>
        <w:rPr>
          <w:rFonts w:ascii="Times New Roman" w:cs="Times New Roman" w:eastAsia="Times New Roman" w:hAnsi="Times New Roman"/>
          <w:color w:val="000000"/>
          <w:sz w:val="22"/>
          <w:szCs w:val="22"/>
        </w:rPr>
        <w:t xml:space="preserve">Every citizen has the right to petition any branch of government on any matter of public or personal concern. This right extends to citizens only. All petitions must receive a formal response within a period the Legislature defines by statute. The subject and status of petitions are published to the National Record System; petitioner identity is withheld where the petitioner requests anonymity. The right to petition includes the right to file formal complaints against government officials and agencies.</w:t>
      </w:r>
    </w:p>
    <w:p>
      <w:pPr>
        <w:spacing w:after="100" w:before="280"/>
        <w:jc w:val="center"/>
      </w:pPr>
      <w:r>
        <w:rPr>
          <w:rFonts w:ascii="Times New Roman" w:cs="Times New Roman" w:eastAsia="Times New Roman" w:hAnsi="Times New Roman"/>
          <w:i/>
          <w:iCs/>
          <w:color w:val="7A7060"/>
          <w:sz w:val="18"/>
          <w:szCs w:val="18"/>
        </w:rPr>
        <w:t xml:space="preserve">—  Part C — Equality (§ 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 — Equality Before the Law</w:t>
      </w:r>
    </w:p>
    <w:p>
      <w:pPr>
        <w:spacing w:after="60" w:before="60" w:line="280" w:lineRule="auto"/>
        <w:jc w:val="both"/>
      </w:pPr>
      <w:r>
        <w:rPr>
          <w:rFonts w:ascii="Times New Roman" w:cs="Times New Roman" w:eastAsia="Times New Roman" w:hAnsi="Times New Roman"/>
          <w:color w:val="000000"/>
          <w:sz w:val="22"/>
          <w:szCs w:val="22"/>
        </w:rPr>
        <w:t xml:space="preserve">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spacing w:after="100" w:before="280"/>
        <w:jc w:val="center"/>
      </w:pPr>
      <w:r>
        <w:rPr>
          <w:rFonts w:ascii="Times New Roman" w:cs="Times New Roman" w:eastAsia="Times New Roman" w:hAnsi="Times New Roman"/>
          <w:i/>
          <w:iCs/>
          <w:color w:val="7A7060"/>
          <w:sz w:val="18"/>
          <w:szCs w:val="18"/>
        </w:rPr>
        <w:t xml:space="preserve">—  Part D — Privacy, Property and Economic Rights (§§ 1.9 – 1.12)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 — Bodily Autonomy and Digital Privacy</w:t>
      </w:r>
    </w:p>
    <w:p>
      <w:pPr>
        <w:spacing w:after="60" w:before="60" w:line="280" w:lineRule="auto"/>
        <w:jc w:val="both"/>
      </w:pPr>
      <w:r>
        <w:rPr>
          <w:rFonts w:ascii="Times New Roman" w:cs="Times New Roman" w:eastAsia="Times New Roman" w:hAnsi="Times New Roman"/>
          <w:b/>
          <w:bCs/>
          <w:color w:val="1B2A4A"/>
          <w:sz w:val="22"/>
          <w:szCs w:val="22"/>
        </w:rPr>
        <w:t xml:space="preserve">1.9.a Physical Sovereignty: </w:t>
      </w:r>
      <w:r>
        <w:rPr>
          <w:rFonts w:ascii="Times New Roman" w:cs="Times New Roman" w:eastAsia="Times New Roman" w:hAnsi="Times New Roman"/>
          <w:color w:val="00000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60" w:line="280" w:lineRule="auto"/>
        <w:jc w:val="both"/>
      </w:pPr>
      <w:r>
        <w:rPr>
          <w:rFonts w:ascii="Times New Roman" w:cs="Times New Roman" w:eastAsia="Times New Roman" w:hAnsi="Times New Roman"/>
          <w:b/>
          <w:bCs/>
          <w:color w:val="1B2A4A"/>
          <w:sz w:val="22"/>
          <w:szCs w:val="22"/>
        </w:rPr>
        <w:t xml:space="preserve">1.9.b Data Ownership: </w:t>
      </w:r>
      <w:r>
        <w:rPr>
          <w:rFonts w:ascii="Times New Roman" w:cs="Times New Roman" w:eastAsia="Times New Roman" w:hAnsi="Times New Roman"/>
          <w:color w:val="00000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line="280" w:lineRule="auto"/>
        <w:jc w:val="both"/>
      </w:pPr>
      <w:r>
        <w:rPr>
          <w:rFonts w:ascii="Times New Roman" w:cs="Times New Roman" w:eastAsia="Times New Roman" w:hAnsi="Times New Roman"/>
          <w:b/>
          <w:bCs/>
          <w:color w:val="1B2A4A"/>
          <w:sz w:val="22"/>
          <w:szCs w:val="22"/>
        </w:rPr>
        <w:t xml:space="preserve">1.9.c Encryption Protection: </w:t>
      </w:r>
      <w:r>
        <w:rPr>
          <w:rFonts w:ascii="Times New Roman" w:cs="Times New Roman" w:eastAsia="Times New Roman" w:hAnsi="Times New Roman"/>
          <w:color w:val="000000"/>
          <w:sz w:val="22"/>
          <w:szCs w:val="22"/>
        </w:rPr>
        <w:t xml:space="preserve">Cryptographic keys are private property. No court or agency may compel their disclosure.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1.10 — Inviolability of the Home and Property Rights</w:t>
      </w:r>
    </w:p>
    <w:p>
      <w:pPr>
        <w:spacing w:after="60" w:before="60" w:line="280" w:lineRule="auto"/>
        <w:jc w:val="both"/>
      </w:pPr>
      <w:r>
        <w:rPr>
          <w:rFonts w:ascii="Times New Roman" w:cs="Times New Roman" w:eastAsia="Times New Roman" w:hAnsi="Times New Roman"/>
          <w:b/>
          <w:bCs/>
          <w:color w:val="1B2A4A"/>
          <w:sz w:val="22"/>
          <w:szCs w:val="22"/>
        </w:rPr>
        <w:t xml:space="preserve">1.10.a Home and Digital Privacy: </w:t>
      </w:r>
      <w:r>
        <w:rPr>
          <w:rFonts w:ascii="Times New Roman" w:cs="Times New Roman" w:eastAsia="Times New Roman" w:hAnsi="Times New Roman"/>
          <w:color w:val="000000"/>
          <w:sz w:val="22"/>
          <w:szCs w:val="22"/>
        </w:rPr>
        <w:t xml:space="preserve">'Home'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 broad or unspecified authorizations — are absolutely prohibited.</w:t>
      </w:r>
    </w:p>
    <w:p>
      <w:pPr>
        <w:spacing w:after="60" w:before="60" w:line="280" w:lineRule="auto"/>
        <w:jc w:val="both"/>
      </w:pPr>
      <w:r>
        <w:rPr>
          <w:rFonts w:ascii="Times New Roman" w:cs="Times New Roman" w:eastAsia="Times New Roman" w:hAnsi="Times New Roman"/>
          <w:b/>
          <w:bCs/>
          <w:color w:val="1B2A4A"/>
          <w:sz w:val="22"/>
          <w:szCs w:val="22"/>
        </w:rPr>
        <w:t xml:space="preserve">1.10.b Eminent Domain: </w:t>
      </w:r>
      <w:r>
        <w:rPr>
          <w:rFonts w:ascii="Times New Roman" w:cs="Times New Roman" w:eastAsia="Times New Roman" w:hAnsi="Times New Roman"/>
          <w:color w:val="000000"/>
          <w:sz w:val="22"/>
          <w:szCs w:val="22"/>
        </w:rPr>
        <w:t xml:space="preserve">Seizure of private property requires proof of absolute public necessity, payment of 150% of fair market value, and recording on the National Record System. Private-to-private transfer via eminent domain is prohibited.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Self-Defense and the Right to Bear Arms</w:t>
      </w:r>
    </w:p>
    <w:p>
      <w:pPr>
        <w:spacing w:after="60" w:before="60" w:line="280" w:lineRule="auto"/>
        <w:jc w:val="both"/>
      </w:pPr>
      <w:r>
        <w:rPr>
          <w:rFonts w:ascii="Times New Roman" w:cs="Times New Roman" w:eastAsia="Times New Roman" w:hAnsi="Times New Roman"/>
          <w:b/>
          <w:bCs/>
          <w:color w:val="1B2A4A"/>
          <w:sz w:val="22"/>
          <w:szCs w:val="22"/>
        </w:rPr>
        <w:t xml:space="preserve">1.11.a Right to Bear Arms: </w:t>
      </w:r>
      <w:r>
        <w:rPr>
          <w:rFonts w:ascii="Times New Roman" w:cs="Times New Roman" w:eastAsia="Times New Roman" w:hAnsi="Times New Roman"/>
          <w:color w:val="000000"/>
          <w:sz w:val="22"/>
          <w:szCs w:val="22"/>
        </w:rPr>
        <w:t xml:space="preserve">The right to keep and bear arms for personal defense and hunting must not be infringed.</w:t>
      </w:r>
    </w:p>
    <w:p>
      <w:pPr>
        <w:spacing w:after="60" w:before="60" w:line="280" w:lineRule="auto"/>
        <w:jc w:val="both"/>
      </w:pPr>
      <w:r>
        <w:rPr>
          <w:rFonts w:ascii="Times New Roman" w:cs="Times New Roman" w:eastAsia="Times New Roman" w:hAnsi="Times New Roman"/>
          <w:b/>
          <w:bCs/>
          <w:color w:val="1B2A4A"/>
          <w:sz w:val="22"/>
          <w:szCs w:val="22"/>
        </w:rPr>
        <w:t xml:space="preserve">1.11.b State Licensing Latitude: </w:t>
      </w:r>
      <w:r>
        <w:rPr>
          <w:rFonts w:ascii="Times New Roman" w:cs="Times New Roman" w:eastAsia="Times New Roman" w:hAnsi="Times New Roman"/>
          <w:color w:val="000000"/>
          <w:sz w:val="22"/>
          <w:szCs w:val="22"/>
        </w:rPr>
        <w:t xml:space="preserve">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line="280" w:lineRule="auto"/>
        <w:jc w:val="both"/>
      </w:pPr>
      <w:r>
        <w:rPr>
          <w:rFonts w:ascii="Times New Roman" w:cs="Times New Roman" w:eastAsia="Times New Roman" w:hAnsi="Times New Roman"/>
          <w:b/>
          <w:bCs/>
          <w:color w:val="1B2A4A"/>
          <w:sz w:val="22"/>
          <w:szCs w:val="22"/>
        </w:rPr>
        <w:t xml:space="preserve">1.11.c Non-Prohibition Principle: </w:t>
      </w:r>
      <w:r>
        <w:rPr>
          <w:rFonts w:ascii="Times New Roman" w:cs="Times New Roman" w:eastAsia="Times New Roman" w:hAnsi="Times New Roman"/>
          <w:color w:val="000000"/>
          <w:sz w:val="22"/>
          <w:szCs w:val="22"/>
        </w:rPr>
        <w:t xml:space="preserve">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Freedom of Movement and Labor</w:t>
      </w:r>
    </w:p>
    <w:p>
      <w:pPr>
        <w:spacing w:after="60" w:before="60" w:line="280" w:lineRule="auto"/>
        <w:jc w:val="both"/>
      </w:pPr>
      <w:r>
        <w:rPr>
          <w:rFonts w:ascii="Times New Roman" w:cs="Times New Roman" w:eastAsia="Times New Roman" w:hAnsi="Times New Roman"/>
          <w:color w:val="000000"/>
          <w:sz w:val="22"/>
          <w:szCs w:val="22"/>
        </w:rPr>
        <w:t xml:space="preserve">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100" w:before="280"/>
        <w:jc w:val="center"/>
      </w:pPr>
      <w:r>
        <w:rPr>
          <w:rFonts w:ascii="Times New Roman" w:cs="Times New Roman" w:eastAsia="Times New Roman" w:hAnsi="Times New Roman"/>
          <w:i/>
          <w:iCs/>
          <w:color w:val="7A7060"/>
          <w:sz w:val="18"/>
          <w:szCs w:val="18"/>
        </w:rPr>
        <w:t xml:space="preserve">—  Part E — Criminal Justice Rights (§§ 1.13 – 1.18)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1.13 — Right Against Arbitrary Detention</w:t>
      </w:r>
    </w:p>
    <w:p>
      <w:pPr>
        <w:spacing w:after="60" w:before="60" w:line="280" w:lineRule="auto"/>
        <w:jc w:val="both"/>
      </w:pPr>
      <w:r>
        <w:rPr>
          <w:rFonts w:ascii="Times New Roman" w:cs="Times New Roman" w:eastAsia="Times New Roman" w:hAnsi="Times New Roman"/>
          <w:color w:val="000000"/>
          <w:sz w:val="22"/>
          <w:szCs w:val="22"/>
        </w:rPr>
        <w:t xml:space="preserve">Any person detained or arrested by the State has two constitutionally guaranteed judicial rights that no executive, military authority, or emergency declaration may suspend or delay. Both are permanently unamendable under §15.3.</w:t>
      </w:r>
    </w:p>
    <w:p>
      <w:pPr>
        <w:spacing w:after="60" w:before="60" w:line="280" w:lineRule="auto"/>
        <w:jc w:val="both"/>
      </w:pPr>
      <w:r>
        <w:rPr>
          <w:rFonts w:ascii="Times New Roman" w:cs="Times New Roman" w:eastAsia="Times New Roman" w:hAnsi="Times New Roman"/>
          <w:b/>
          <w:bCs/>
          <w:color w:val="1B2A4A"/>
          <w:sz w:val="22"/>
          <w:szCs w:val="22"/>
        </w:rPr>
        <w:t xml:space="preserve">1.13.a First Appearance: </w:t>
      </w:r>
      <w:r>
        <w:rPr>
          <w:rFonts w:ascii="Times New Roman" w:cs="Times New Roman" w:eastAsia="Times New Roman" w:hAnsi="Times New Roman"/>
          <w:color w:val="000000"/>
          <w:sz w:val="22"/>
          <w:szCs w:val="22"/>
        </w:rPr>
        <w:t xml:space="preserve">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§1.15.b. The First Appearance is not a trial and does not determine guilt. It is a mandatory judicial gate on the State's power to hold a person. No investigative convenience, resource constraint, or emergency justifies delay beyond 24 hours.</w:t>
      </w:r>
    </w:p>
    <w:p>
      <w:pPr>
        <w:spacing w:after="60" w:before="60" w:line="280" w:lineRule="auto"/>
        <w:jc w:val="both"/>
      </w:pPr>
      <w:r>
        <w:rPr>
          <w:rFonts w:ascii="Times New Roman" w:cs="Times New Roman" w:eastAsia="Times New Roman" w:hAnsi="Times New Roman"/>
          <w:b/>
          <w:bCs/>
          <w:color w:val="1B2A4A"/>
          <w:sz w:val="22"/>
          <w:szCs w:val="22"/>
        </w:rPr>
        <w:t xml:space="preserve">1.13.b Habeas Corpus Response Deadline: </w:t>
      </w:r>
      <w:r>
        <w:rPr>
          <w:rFonts w:ascii="Times New Roman" w:cs="Times New Roman" w:eastAsia="Times New Roman" w:hAnsi="Times New Roman"/>
          <w:color w:val="000000"/>
          <w:sz w:val="22"/>
          <w:szCs w:val="22"/>
        </w:rPr>
        <w:t xml:space="preserve">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spacing w:after="60" w:before="60" w:line="280" w:lineRule="auto"/>
        <w:jc w:val="both"/>
      </w:pPr>
      <w:r>
        <w:rPr>
          <w:rFonts w:ascii="Times New Roman" w:cs="Times New Roman" w:eastAsia="Times New Roman" w:hAnsi="Times New Roman"/>
          <w:b/>
          <w:bCs/>
          <w:color w:val="1B2A4A"/>
          <w:sz w:val="22"/>
          <w:szCs w:val="22"/>
        </w:rPr>
        <w:t xml:space="preserve">1.13.c Habeas Corpus: </w:t>
      </w:r>
      <w:r>
        <w:rPr>
          <w:rFonts w:ascii="Times New Roman" w:cs="Times New Roman" w:eastAsia="Times New Roman" w:hAnsi="Times New Roman"/>
          <w:color w:val="000000"/>
          <w:sz w:val="22"/>
          <w:szCs w:val="22"/>
        </w:rPr>
        <w:t xml:space="preserve">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1.14 — Right to Counsel and to Be Informed</w:t>
      </w:r>
    </w:p>
    <w:p>
      <w:pPr>
        <w:spacing w:after="60" w:before="60" w:line="280" w:lineRule="auto"/>
        <w:jc w:val="both"/>
      </w:pPr>
      <w:r>
        <w:rPr>
          <w:rFonts w:ascii="Times New Roman" w:cs="Times New Roman" w:eastAsia="Times New Roman" w:hAnsi="Times New Roman"/>
          <w:b/>
          <w:bCs/>
          <w:color w:val="1B2A4A"/>
          <w:sz w:val="22"/>
          <w:szCs w:val="22"/>
        </w:rPr>
        <w:t xml:space="preserve">1.14.a Right to Counsel: </w:t>
      </w:r>
      <w:r>
        <w:rPr>
          <w:rFonts w:ascii="Times New Roman" w:cs="Times New Roman" w:eastAsia="Times New Roman" w:hAnsi="Times New Roman"/>
          <w:color w:val="000000"/>
          <w:sz w:val="22"/>
          <w:szCs w:val="22"/>
        </w:rPr>
        <w:t xml:space="preserve">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line="280" w:lineRule="auto"/>
        <w:jc w:val="both"/>
      </w:pPr>
      <w:r>
        <w:rPr>
          <w:rFonts w:ascii="Times New Roman" w:cs="Times New Roman" w:eastAsia="Times New Roman" w:hAnsi="Times New Roman"/>
          <w:b/>
          <w:bCs/>
          <w:color w:val="1B2A4A"/>
          <w:sz w:val="22"/>
          <w:szCs w:val="22"/>
        </w:rPr>
        <w:t xml:space="preserve">1.14.b Caseload Guarantee: </w:t>
      </w:r>
      <w:r>
        <w:rPr>
          <w:rFonts w:ascii="Times New Roman" w:cs="Times New Roman" w:eastAsia="Times New Roman" w:hAnsi="Times New Roman"/>
          <w:color w:val="000000"/>
          <w:sz w:val="22"/>
          <w:szCs w:val="22"/>
        </w:rPr>
        <w:t xml:space="preserve">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 This obligation is self-executing: in the absence of statutory caseload limits, a finding of constitutionally inadequate representation is available as a direct constitutional defence to any defendant who demonstrates that the volume of cases assigned to their counsel prevented genuine preparation of their defence. A court finding inadequate representation under this default must either appoint substitute counsel or grant such relief as is necessary to cure the constitutional deficiency.</w:t>
      </w:r>
    </w:p>
    <w:p>
      <w:pPr>
        <w:spacing w:after="60" w:before="60" w:line="280" w:lineRule="auto"/>
        <w:jc w:val="both"/>
      </w:pPr>
      <w:r>
        <w:rPr>
          <w:rFonts w:ascii="Times New Roman" w:cs="Times New Roman" w:eastAsia="Times New Roman" w:hAnsi="Times New Roman"/>
          <w:b/>
          <w:bCs/>
          <w:color w:val="1B2A4A"/>
          <w:sz w:val="22"/>
          <w:szCs w:val="22"/>
        </w:rPr>
        <w:t xml:space="preserve">1.14.c Right to Be Informed of Charges: </w:t>
      </w:r>
      <w:r>
        <w:rPr>
          <w:rFonts w:ascii="Times New Roman" w:cs="Times New Roman" w:eastAsia="Times New Roman" w:hAnsi="Times New Roman"/>
          <w:color w:val="000000"/>
          <w:sz w:val="22"/>
          <w:szCs w:val="22"/>
        </w:rPr>
        <w:t xml:space="preserve">Any person detained or accused must be informed promptly, in plain language, of the precise nature and legal grounds of their detention or charges before any questioning begins. This must be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1.14.d Right to Full Disclosure: </w:t>
      </w:r>
      <w:r>
        <w:rPr>
          <w:rFonts w:ascii="Times New Roman" w:cs="Times New Roman" w:eastAsia="Times New Roman" w:hAnsi="Times New Roman"/>
          <w:color w:val="000000"/>
          <w:sz w:val="22"/>
          <w:szCs w:val="22"/>
        </w:rPr>
        <w:t xml:space="preserve">Any accused person has the right to full disclosure of all State evidence, including exculpatory evidence, before trial. Willful withholding of exculpatory evidence is grounds for immediate dismissal of the case and is reported to the National Record System by the relevant Inspectorate.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1.15 — Due Process</w:t>
      </w:r>
    </w:p>
    <w:p>
      <w:pPr>
        <w:spacing w:after="60" w:before="60" w:line="280" w:lineRule="auto"/>
        <w:jc w:val="both"/>
      </w:pPr>
      <w:r>
        <w:rPr>
          <w:rFonts w:ascii="Times New Roman" w:cs="Times New Roman" w:eastAsia="Times New Roman" w:hAnsi="Times New Roman"/>
          <w:b/>
          <w:bCs/>
          <w:color w:val="1B2A4A"/>
          <w:sz w:val="22"/>
          <w:szCs w:val="22"/>
        </w:rPr>
        <w:t xml:space="preserve">1.15.a Speedy Trial Principle: </w:t>
      </w:r>
      <w:r>
        <w:rPr>
          <w:rFonts w:ascii="Times New Roman" w:cs="Times New Roman" w:eastAsia="Times New Roman" w:hAnsi="Times New Roman"/>
          <w:color w:val="000000"/>
          <w:sz w:val="22"/>
          <w:szCs w:val="22"/>
        </w:rPr>
        <w:t xml:space="preserve">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line="280" w:lineRule="auto"/>
        <w:jc w:val="both"/>
      </w:pPr>
      <w:r>
        <w:rPr>
          <w:rFonts w:ascii="Times New Roman" w:cs="Times New Roman" w:eastAsia="Times New Roman" w:hAnsi="Times New Roman"/>
          <w:b/>
          <w:bCs/>
          <w:color w:val="1B2A4A"/>
          <w:sz w:val="22"/>
          <w:szCs w:val="22"/>
        </w:rPr>
        <w:t xml:space="preserve">1.15.b Bail Proportionality: </w:t>
      </w:r>
      <w:r>
        <w:rPr>
          <w:rFonts w:ascii="Times New Roman" w:cs="Times New Roman" w:eastAsia="Times New Roman" w:hAnsi="Times New Roman"/>
          <w:color w:val="000000"/>
          <w:sz w:val="22"/>
          <w:szCs w:val="22"/>
        </w:rPr>
        <w:t xml:space="preserve">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line="280" w:lineRule="auto"/>
        <w:jc w:val="both"/>
      </w:pPr>
      <w:r>
        <w:rPr>
          <w:rFonts w:ascii="Times New Roman" w:cs="Times New Roman" w:eastAsia="Times New Roman" w:hAnsi="Times New Roman"/>
          <w:b/>
          <w:bCs/>
          <w:color w:val="1B2A4A"/>
          <w:sz w:val="22"/>
          <w:szCs w:val="22"/>
        </w:rPr>
        <w:t xml:space="preserve">1.15.c Protection from Trial Penalties: </w:t>
      </w:r>
      <w:r>
        <w:rPr>
          <w:rFonts w:ascii="Times New Roman" w:cs="Times New Roman" w:eastAsia="Times New Roman" w:hAnsi="Times New Roman"/>
          <w:color w:val="000000"/>
          <w:sz w:val="22"/>
          <w:szCs w:val="22"/>
        </w:rPr>
        <w:t xml:space="preserve">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is reported to the National Record System by the relevant Inspectorate against responsible officials. This obligation is self-executing: in the absence of a statute, no prosecutorial decision regarding charges, no plea offer, and no sentencing determination may reference, directly or indirectly, a defendant's exercise of their right to trial as a factor. Any evidence that the exercise of the trial right was treated as a negative factor in charging or sentencing constitutes a constitutional violation remediable by the court on application.</w:t>
      </w:r>
    </w:p>
    <w:p>
      <w:pPr>
        <w:spacing w:after="60" w:before="60" w:line="280" w:lineRule="auto"/>
        <w:jc w:val="both"/>
      </w:pPr>
      <w:r>
        <w:rPr>
          <w:rFonts w:ascii="Times New Roman" w:cs="Times New Roman" w:eastAsia="Times New Roman" w:hAnsi="Times New Roman"/>
          <w:b/>
          <w:bCs/>
          <w:color w:val="1B2A4A"/>
          <w:sz w:val="22"/>
          <w:szCs w:val="22"/>
        </w:rPr>
        <w:t xml:space="preserve">1.15.d Source Code Right: </w:t>
      </w:r>
      <w:r>
        <w:rPr>
          <w:rFonts w:ascii="Times New Roman" w:cs="Times New Roman" w:eastAsia="Times New Roman" w:hAnsi="Times New Roman"/>
          <w:color w:val="000000"/>
          <w:sz w:val="22"/>
          <w:szCs w:val="22"/>
        </w:rPr>
        <w:t xml:space="preserve">Any accused person has the right to inspect, challenge, and rebut any algorithm, source code, or raw dataset used as evidence or to generate a score influencing their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1.16 — Right to Silence and Protection from Self-Incrimination</w:t>
      </w:r>
    </w:p>
    <w:p>
      <w:pPr>
        <w:spacing w:after="60" w:before="60" w:line="280" w:lineRule="auto"/>
        <w:jc w:val="both"/>
      </w:pPr>
      <w:r>
        <w:rPr>
          <w:rFonts w:ascii="Times New Roman" w:cs="Times New Roman" w:eastAsia="Times New Roman" w:hAnsi="Times New Roman"/>
          <w:color w:val="000000"/>
          <w:sz w:val="22"/>
          <w:szCs w:val="22"/>
        </w:rPr>
        <w:t xml:space="preserve">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1.17 — Right to a Public Trial</w:t>
      </w:r>
    </w:p>
    <w:p>
      <w:pPr>
        <w:spacing w:after="60" w:before="60" w:line="280" w:lineRule="auto"/>
        <w:jc w:val="both"/>
      </w:pPr>
      <w:r>
        <w:rPr>
          <w:rFonts w:ascii="Times New Roman" w:cs="Times New Roman" w:eastAsia="Times New Roman" w:hAnsi="Times New Roman"/>
          <w:color w:val="000000"/>
          <w:sz w:val="22"/>
          <w:szCs w:val="22"/>
        </w:rPr>
        <w:t xml:space="preserve">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1.18 — Retroactivity and Double Jeopardy</w:t>
      </w:r>
    </w:p>
    <w:p>
      <w:pPr>
        <w:spacing w:after="60" w:before="60" w:line="280" w:lineRule="auto"/>
        <w:jc w:val="both"/>
      </w:pPr>
      <w:r>
        <w:rPr>
          <w:rFonts w:ascii="Times New Roman" w:cs="Times New Roman" w:eastAsia="Times New Roman" w:hAnsi="Times New Roman"/>
          <w:b/>
          <w:bCs/>
          <w:color w:val="1B2A4A"/>
          <w:sz w:val="22"/>
          <w:szCs w:val="22"/>
        </w:rPr>
        <w:t xml:space="preserve">1.18.a No Retroactive Criminal Laws: </w:t>
      </w:r>
      <w:r>
        <w:rPr>
          <w:rFonts w:ascii="Times New Roman" w:cs="Times New Roman" w:eastAsia="Times New Roman" w:hAnsi="Times New Roman"/>
          <w:color w:val="000000"/>
          <w:sz w:val="22"/>
          <w:szCs w:val="22"/>
        </w:rPr>
        <w:t xml:space="preserve">No person may be convicted of an act not defined as a criminal offense at the time it was committed. No penalty may exceed that applicable when the offense. Laws that reduce a penalty apply retroactively to the benefit of the accused.</w:t>
      </w:r>
    </w:p>
    <w:p>
      <w:pPr>
        <w:spacing w:after="60" w:before="60" w:line="280" w:lineRule="auto"/>
        <w:jc w:val="both"/>
      </w:pPr>
      <w:r>
        <w:rPr>
          <w:rFonts w:ascii="Times New Roman" w:cs="Times New Roman" w:eastAsia="Times New Roman" w:hAnsi="Times New Roman"/>
          <w:b/>
          <w:bCs/>
          <w:color w:val="1B2A4A"/>
          <w:sz w:val="22"/>
          <w:szCs w:val="22"/>
        </w:rPr>
        <w:t xml:space="preserve">1.18.b Double Jeopardy: </w:t>
      </w:r>
      <w:r>
        <w:rPr>
          <w:rFonts w:ascii="Times New Roman" w:cs="Times New Roman" w:eastAsia="Times New Roman" w:hAnsi="Times New Roman"/>
          <w:color w:val="000000"/>
          <w:sz w:val="22"/>
          <w:szCs w:val="22"/>
        </w:rPr>
        <w:t xml:space="preserve">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100" w:before="280"/>
        <w:jc w:val="center"/>
      </w:pPr>
      <w:r>
        <w:rPr>
          <w:rFonts w:ascii="Times New Roman" w:cs="Times New Roman" w:eastAsia="Times New Roman" w:hAnsi="Times New Roman"/>
          <w:i/>
          <w:iCs/>
          <w:color w:val="7A7060"/>
          <w:sz w:val="18"/>
          <w:szCs w:val="18"/>
        </w:rPr>
        <w:t xml:space="preserve">—  Part F — Social and Community Rights (§§ 1.20 – 1.24)  —</w:t>
      </w:r>
    </w:p>
    <w:p>
      <w:pPr>
        <w:spacing w:after="60" w:before="60" w:line="280" w:lineRule="auto"/>
        <w:jc w:val="both"/>
      </w:pPr>
      <w:r>
        <w:rPr>
          <w:rFonts w:ascii="Times New Roman" w:cs="Times New Roman" w:eastAsia="Times New Roman" w:hAnsi="Times New Roman"/>
          <w:color w:val="000000"/>
          <w:sz w:val="22"/>
          <w:szCs w:val="22"/>
        </w:rPr>
        <w:t xml:space="preserve">—  Part F (preface) — Democratic and Participation Rights (§ 1.19)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1.19 — Right to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1.19 Suffrage and Candidacy: </w:t>
      </w:r>
      <w:r>
        <w:rPr>
          <w:rFonts w:ascii="Times New Roman" w:cs="Times New Roman" w:eastAsia="Times New Roman" w:hAnsi="Times New Roman"/>
          <w:color w:val="000000"/>
          <w:sz w:val="22"/>
          <w:szCs w:val="22"/>
        </w:rPr>
        <w:t xml:space="preserve">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1.20 — Right to Marry and Found a Family</w:t>
      </w:r>
    </w:p>
    <w:p>
      <w:pPr>
        <w:spacing w:after="60" w:before="60" w:line="280" w:lineRule="auto"/>
        <w:jc w:val="both"/>
      </w:pPr>
      <w:r>
        <w:rPr>
          <w:rFonts w:ascii="Times New Roman" w:cs="Times New Roman" w:eastAsia="Times New Roman" w:hAnsi="Times New Roman"/>
          <w:color w:val="000000"/>
          <w:sz w:val="22"/>
          <w:szCs w:val="22"/>
        </w:rPr>
        <w:t xml:space="preserve">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Rights of Children</w:t>
      </w:r>
    </w:p>
    <w:p>
      <w:pPr>
        <w:spacing w:after="60" w:before="60" w:line="280" w:lineRule="auto"/>
        <w:jc w:val="both"/>
      </w:pPr>
      <w:r>
        <w:rPr>
          <w:rFonts w:ascii="Times New Roman" w:cs="Times New Roman" w:eastAsia="Times New Roman" w:hAnsi="Times New Roman"/>
          <w:color w:val="000000"/>
          <w:sz w:val="22"/>
          <w:szCs w:val="22"/>
        </w:rPr>
        <w:t xml:space="preserve">Every child has the right to protection from exploitation, abuse, and neglect. In all State actions affecting minors, the welfare and best interests of the child are the primary consideration. The prohibitions on forced labor (§1.3) and torture (§1.2) apply without exception to all persons under the age of 18.</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Environmental Accountability and Stewardship</w:t>
      </w:r>
    </w:p>
    <w:p>
      <w:pPr>
        <w:spacing w:after="60" w:before="60" w:line="280" w:lineRule="auto"/>
        <w:jc w:val="both"/>
      </w:pPr>
      <w:r>
        <w:rPr>
          <w:rFonts w:ascii="Times New Roman" w:cs="Times New Roman" w:eastAsia="Times New Roman" w:hAnsi="Times New Roman"/>
          <w:b/>
          <w:bCs/>
          <w:color w:val="1B2A4A"/>
          <w:sz w:val="22"/>
          <w:szCs w:val="22"/>
        </w:rPr>
        <w:t xml:space="preserve">1.22.a Government Non-Harm: </w:t>
      </w:r>
      <w:r>
        <w:rPr>
          <w:rFonts w:ascii="Times New Roman" w:cs="Times New Roman" w:eastAsia="Times New Roman" w:hAnsi="Times New Roman"/>
          <w:color w:val="000000"/>
          <w:sz w:val="22"/>
          <w:szCs w:val="22"/>
        </w:rPr>
        <w:t xml:space="preserve">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The Legislature may not define remediation timelines that indefinitely defer the obligation — timelines must be proportionate to the nature and scale of the contamination and technically achievable within that period. For any remediation extending beyond two years from the finding of contamination, the responsible party must publish annual progress reports to the National Record System; failure to publish constitutes a continuing violation of this Article. No official may authorize, direct, or participate in the concealment of government-caused or government-permitted environmental harm. Willful concealment triggers constitutional violation proceedings.</w:t>
      </w:r>
    </w:p>
    <w:p>
      <w:pPr>
        <w:spacing w:after="60" w:before="60" w:line="280" w:lineRule="auto"/>
        <w:jc w:val="both"/>
      </w:pPr>
      <w:r>
        <w:rPr>
          <w:rFonts w:ascii="Times New Roman" w:cs="Times New Roman" w:eastAsia="Times New Roman" w:hAnsi="Times New Roman"/>
          <w:b/>
          <w:bCs/>
          <w:color w:val="1B2A4A"/>
          <w:sz w:val="22"/>
          <w:szCs w:val="22"/>
        </w:rPr>
        <w:t xml:space="preserve">1.22.b Environmental Stewardship: </w:t>
      </w:r>
      <w:r>
        <w:rPr>
          <w:rFonts w:ascii="Times New Roman" w:cs="Times New Roman" w:eastAsia="Times New Roman" w:hAnsi="Times New Roman"/>
          <w:color w:val="000000"/>
          <w:sz w:val="22"/>
          <w:szCs w:val="22"/>
        </w:rPr>
        <w:t xml:space="preserve">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Federal Education Assistance and Constitutional Literacy</w:t>
      </w:r>
    </w:p>
    <w:p>
      <w:pPr>
        <w:spacing w:after="60" w:before="60" w:line="280" w:lineRule="auto"/>
        <w:jc w:val="both"/>
      </w:pPr>
      <w:r>
        <w:rPr>
          <w:rFonts w:ascii="Times New Roman" w:cs="Times New Roman" w:eastAsia="Times New Roman" w:hAnsi="Times New Roman"/>
          <w:b/>
          <w:bCs/>
          <w:color w:val="1B2A4A"/>
          <w:sz w:val="22"/>
          <w:szCs w:val="22"/>
        </w:rPr>
        <w:t xml:space="preserve">1.23.a Federal Education Assistance: </w:t>
      </w:r>
      <w:r>
        <w:rPr>
          <w:rFonts w:ascii="Times New Roman" w:cs="Times New Roman" w:eastAsia="Times New Roman" w:hAnsi="Times New Roman"/>
          <w:color w:val="000000"/>
          <w:sz w:val="22"/>
          <w:szCs w:val="22"/>
        </w:rPr>
        <w:t xml:space="preserve">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line="280" w:lineRule="auto"/>
        <w:jc w:val="both"/>
      </w:pPr>
      <w:r>
        <w:rPr>
          <w:rFonts w:ascii="Times New Roman" w:cs="Times New Roman" w:eastAsia="Times New Roman" w:hAnsi="Times New Roman"/>
          <w:b/>
          <w:bCs/>
          <w:color w:val="1B2A4A"/>
          <w:sz w:val="22"/>
          <w:szCs w:val="22"/>
        </w:rPr>
        <w:t xml:space="preserve">1.23.b Constitutional Literacy: </w:t>
      </w:r>
      <w:r>
        <w:rPr>
          <w:rFonts w:ascii="Times New Roman" w:cs="Times New Roman" w:eastAsia="Times New Roman" w:hAnsi="Times New Roman"/>
          <w:color w:val="000000"/>
          <w:sz w:val="22"/>
          <w:szCs w:val="22"/>
        </w:rPr>
        <w:t xml:space="preserve">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line="280" w:lineRule="auto"/>
        <w:jc w:val="both"/>
      </w:pPr>
      <w:r>
        <w:rPr>
          <w:rFonts w:ascii="Times New Roman" w:cs="Times New Roman" w:eastAsia="Times New Roman" w:hAnsi="Times New Roman"/>
          <w:b/>
          <w:bCs/>
          <w:color w:val="1B2A4A"/>
          <w:sz w:val="22"/>
          <w:szCs w:val="22"/>
        </w:rPr>
        <w:t xml:space="preserve">1.23.c Parental Right: </w:t>
      </w:r>
      <w:r>
        <w:rPr>
          <w:rFonts w:ascii="Times New Roman" w:cs="Times New Roman" w:eastAsia="Times New Roman" w:hAnsi="Times New Roman"/>
          <w:color w:val="000000"/>
          <w:sz w:val="22"/>
          <w:szCs w:val="22"/>
        </w:rPr>
        <w:t xml:space="preserve">Parents retain the right to educate children through alternative means provided the same constitutional literacy and basic literacy standards established under §1.23.b are demonstrably met.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Housing Access and Non-Exclusion</w:t>
      </w:r>
    </w:p>
    <w:p>
      <w:pPr>
        <w:spacing w:after="60" w:before="60" w:line="280" w:lineRule="auto"/>
        <w:jc w:val="both"/>
      </w:pPr>
      <w:r>
        <w:rPr>
          <w:rFonts w:ascii="Times New Roman" w:cs="Times New Roman" w:eastAsia="Times New Roman" w:hAnsi="Times New Roman"/>
          <w:b/>
          <w:bCs/>
          <w:color w:val="1B2A4A"/>
          <w:sz w:val="22"/>
          <w:szCs w:val="22"/>
        </w:rPr>
        <w:t xml:space="preserve">1.24.a Non-Exclusion Principle: </w:t>
      </w:r>
      <w:r>
        <w:rPr>
          <w:rFonts w:ascii="Times New Roman" w:cs="Times New Roman" w:eastAsia="Times New Roman" w:hAnsi="Times New Roman"/>
          <w:color w:val="000000"/>
          <w:sz w:val="22"/>
          <w:szCs w:val="22"/>
        </w:rPr>
        <w:t xml:space="preserve">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line="280" w:lineRule="auto"/>
        <w:jc w:val="both"/>
      </w:pPr>
      <w:r>
        <w:rPr>
          <w:rFonts w:ascii="Times New Roman" w:cs="Times New Roman" w:eastAsia="Times New Roman" w:hAnsi="Times New Roman"/>
          <w:b/>
          <w:bCs/>
          <w:color w:val="1B2A4A"/>
          <w:sz w:val="22"/>
          <w:szCs w:val="22"/>
        </w:rPr>
        <w:t xml:space="preserve">1.24.b BNF Housing Obligation: </w:t>
      </w:r>
      <w:r>
        <w:rPr>
          <w:rFonts w:ascii="Times New Roman" w:cs="Times New Roman" w:eastAsia="Times New Roman" w:hAnsi="Times New Roman"/>
          <w:color w:val="000000"/>
          <w:sz w:val="22"/>
          <w:szCs w:val="22"/>
        </w:rPr>
        <w:t xml:space="preserve">The Republic's obligation to ensure housing access for persons who cannot independently afford adequate shelter is fulfilled through the Basic Needs Floor (§10.1),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Emergency Derogation</w:t>
      </w:r>
    </w:p>
    <w:p>
      <w:pPr>
        <w:spacing w:after="60" w:before="60" w:line="280" w:lineRule="auto"/>
        <w:jc w:val="both"/>
      </w:pPr>
      <w:r>
        <w:rPr>
          <w:rFonts w:ascii="Times New Roman" w:cs="Times New Roman" w:eastAsia="Times New Roman" w:hAnsi="Times New Roman"/>
          <w:b/>
          <w:bCs/>
          <w:color w:val="1B2A4A"/>
          <w:sz w:val="22"/>
          <w:szCs w:val="22"/>
        </w:rPr>
        <w:t xml:space="preserve">1.25.a Declaration Requirements: </w:t>
      </w:r>
      <w:r>
        <w:rPr>
          <w:rFonts w:ascii="Times New Roman" w:cs="Times New Roman" w:eastAsia="Times New Roman" w:hAnsi="Times New Roman"/>
          <w:color w:val="000000"/>
          <w:sz w:val="22"/>
          <w:szCs w:val="22"/>
        </w:rPr>
        <w:t xml:space="preserve">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line="280" w:lineRule="auto"/>
        <w:jc w:val="both"/>
      </w:pPr>
      <w:r>
        <w:rPr>
          <w:rFonts w:ascii="Times New Roman" w:cs="Times New Roman" w:eastAsia="Times New Roman" w:hAnsi="Times New Roman"/>
          <w:b/>
          <w:bCs/>
          <w:color w:val="1B2A4A"/>
          <w:sz w:val="22"/>
          <w:szCs w:val="22"/>
        </w:rPr>
        <w:t xml:space="preserve">1.25.b Non-Derogable Rights: </w:t>
      </w:r>
      <w:r>
        <w:rPr>
          <w:rFonts w:ascii="Times New Roman" w:cs="Times New Roman" w:eastAsia="Times New Roman" w:hAnsi="Times New Roman"/>
          <w:color w:val="000000"/>
          <w:sz w:val="22"/>
          <w:szCs w:val="22"/>
        </w:rPr>
        <w:t xml:space="preserve">No Declaration of National Emergency may limit, suspend, or qualify: the right to life (§1.1); the prohibition on torture and cruel treatment (§1.2); the prohibition on slavery and forced labor (§1.3); the right against arbitrary detention and the right to habeas corpus (§1.13); the right to a public trial (§1.17); the prohibition of retroactive laws (§1.18); or the prohibition on refoulement (§1.27). These rights are absolute and apply without exception regardless of any declared emergency. This list is exhaustive — all other Article I rights are subject to the proportionality standard of §1.25.a during a valid Declaration of National Emergency.</w:t>
      </w:r>
    </w:p>
    <w:p>
      <w:pPr>
        <w:spacing w:after="60" w:before="60" w:line="280" w:lineRule="auto"/>
        <w:jc w:val="both"/>
      </w:pPr>
      <w:r>
        <w:rPr>
          <w:rFonts w:ascii="Times New Roman" w:cs="Times New Roman" w:eastAsia="Times New Roman" w:hAnsi="Times New Roman"/>
          <w:b/>
          <w:bCs/>
          <w:color w:val="1B2A4A"/>
          <w:sz w:val="22"/>
          <w:szCs w:val="22"/>
        </w:rPr>
        <w:t xml:space="preserve">1.25.c Inspectorate Continuity: </w:t>
      </w:r>
      <w:r>
        <w:rPr>
          <w:rFonts w:ascii="Times New Roman" w:cs="Times New Roman" w:eastAsia="Times New Roman" w:hAnsi="Times New Roman"/>
          <w:color w:val="000000"/>
          <w:sz w:val="22"/>
          <w:szCs w:val="22"/>
        </w:rPr>
        <w:t xml:space="preserve">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line="280" w:lineRule="auto"/>
        <w:jc w:val="both"/>
      </w:pPr>
      <w:r>
        <w:rPr>
          <w:rFonts w:ascii="Times New Roman" w:cs="Times New Roman" w:eastAsia="Times New Roman" w:hAnsi="Times New Roman"/>
          <w:b/>
          <w:bCs/>
          <w:color w:val="1B2A4A"/>
          <w:sz w:val="22"/>
          <w:szCs w:val="22"/>
        </w:rPr>
        <w:t xml:space="preserve">1.25.d Automatic Expiry and Judicial Review: </w:t>
      </w:r>
      <w:r>
        <w:rPr>
          <w:rFonts w:ascii="Times New Roman" w:cs="Times New Roman" w:eastAsia="Times New Roman" w:hAnsi="Times New Roman"/>
          <w:color w:val="000000"/>
          <w:sz w:val="22"/>
          <w:szCs w:val="22"/>
        </w:rPr>
        <w:t xml:space="preserve">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line="280" w:lineRule="auto"/>
        <w:jc w:val="both"/>
      </w:pPr>
      <w:r>
        <w:rPr>
          <w:rFonts w:ascii="Times New Roman" w:cs="Times New Roman" w:eastAsia="Times New Roman" w:hAnsi="Times New Roman"/>
          <w:b/>
          <w:bCs/>
          <w:color w:val="1B2A4A"/>
          <w:sz w:val="22"/>
          <w:szCs w:val="22"/>
        </w:rPr>
        <w:t xml:space="preserve">1.25.e No Permanent Emergency: </w:t>
      </w:r>
      <w:r>
        <w:rPr>
          <w:rFonts w:ascii="Times New Roman" w:cs="Times New Roman" w:eastAsia="Times New Roman" w:hAnsi="Times New Roman"/>
          <w:color w:val="000000"/>
          <w:sz w:val="22"/>
          <w:szCs w:val="22"/>
        </w:rPr>
        <w:t xml:space="preserve">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legislative act purporting to alter electoral schedules during a declared emergency is void and of no constitutional effect.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1.26 — Associated Community Residents</w:t>
      </w:r>
    </w:p>
    <w:p>
      <w:pPr>
        <w:spacing w:after="60" w:before="60" w:line="280" w:lineRule="auto"/>
        <w:jc w:val="both"/>
      </w:pPr>
      <w:r>
        <w:rPr>
          <w:rFonts w:ascii="Times New Roman" w:cs="Times New Roman" w:eastAsia="Times New Roman" w:hAnsi="Times New Roman"/>
          <w:b/>
          <w:bCs/>
          <w:color w:val="1B2A4A"/>
          <w:sz w:val="22"/>
          <w:szCs w:val="22"/>
        </w:rPr>
        <w:t xml:space="preserve">1.26 Associated Community Residents: </w:t>
      </w:r>
      <w:r>
        <w:rPr>
          <w:rFonts w:ascii="Times New Roman" w:cs="Times New Roman" w:eastAsia="Times New Roman" w:hAnsi="Times New Roman"/>
          <w:color w:val="000000"/>
          <w:sz w:val="22"/>
          <w:szCs w:val="22"/>
        </w:rPr>
        <w:t xml:space="preserve">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1.27 — Non-Refoulement</w:t>
      </w:r>
    </w:p>
    <w:p>
      <w:pPr>
        <w:spacing w:after="60" w:before="60" w:line="280" w:lineRule="auto"/>
        <w:jc w:val="both"/>
      </w:pPr>
      <w:r>
        <w:rPr>
          <w:rFonts w:ascii="Times New Roman" w:cs="Times New Roman" w:eastAsia="Times New Roman" w:hAnsi="Times New Roman"/>
          <w:b/>
          <w:bCs/>
          <w:color w:val="1B2A4A"/>
          <w:sz w:val="22"/>
          <w:szCs w:val="22"/>
        </w:rPr>
        <w:t xml:space="preserve">1.27 Non-Refoulement: </w:t>
      </w:r>
      <w:r>
        <w:rPr>
          <w:rFonts w:ascii="Times New Roman" w:cs="Times New Roman" w:eastAsia="Times New Roman" w:hAnsi="Times New Roman"/>
          <w:color w:val="000000"/>
          <w:sz w:val="22"/>
          <w:szCs w:val="22"/>
        </w:rPr>
        <w:t xml:space="preserve">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Pr>
        <w:spacing w:after="60" w:before="60" w:line="280" w:lineRule="auto"/>
        <w:jc w:val="both"/>
      </w:pPr>
      <w:r>
        <w:rPr>
          <w:rFonts w:ascii="Times New Roman" w:cs="Times New Roman" w:eastAsia="Times New Roman" w:hAnsi="Times New Roman"/>
          <w:b/>
          <w:bCs/>
          <w:color w:val="1B2A4A"/>
          <w:sz w:val="22"/>
          <w:szCs w:val="22"/>
        </w:rPr>
        <w:t xml:space="preserve">1.28 Medical Autonomy: </w:t>
      </w:r>
      <w:r>
        <w:rPr>
          <w:rFonts w:ascii="Times New Roman" w:cs="Times New Roman" w:eastAsia="Times New Roman" w:hAnsi="Times New Roman"/>
          <w:color w:val="000000"/>
          <w:sz w:val="22"/>
          <w:szCs w:val="22"/>
        </w:rPr>
        <w:t xml:space="preserve">Every person has the right to make medical decisions in consultation with a licensed medical professional free from State compulsion or prohibition of specific treatments, diagnoses, or courses of care. No government authority may require or forbid a particular medical procedure or course of treatment as between a willing patient and a licensed professional. The State may establish professional licensing standards, safety requirements, and scope of practice regulations. State governments may, pursuant to their domestic authority, regulate which medical services licensed professionals may offer within their jurisdiction. No State may impose criminal liability, civil liability, or any other adverse legal consequence on a citizen for receiving medical care in another State or Territory in which that care was lawfully provided; on any person who assists a citizen in obtaining or traveling to receive such care; on any medical professional who refers or provides information to a patient regarding care lawfully available elsewhere in the Republic; or on any medical professional licensed in another State or Territory for providing care that was lawful in the jurisdiction in which it was provided.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 — THE DUAL EXECUTIVE</w:t>
      </w:r>
    </w:p>
    <w:p>
      <w:pPr>
        <w:spacing w:after="60" w:before="60" w:line="280" w:lineRule="auto"/>
        <w:jc w:val="both"/>
      </w:pPr>
      <w:r>
        <w:rPr>
          <w:rFonts w:ascii="Times New Roman" w:cs="Times New Roman" w:eastAsia="Times New Roman" w:hAnsi="Times New Roman"/>
          <w:color w:val="000000"/>
          <w:sz w:val="22"/>
          <w:szCs w:val="22"/>
        </w:rPr>
        <w:t xml:space="preserve">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criminal offense committed while holding federal office during any prior period of federal service. No person may serve more than one presidential term.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 — The President</w:t>
      </w:r>
    </w:p>
    <w:p>
      <w:pPr>
        <w:spacing w:after="60" w:before="60" w:line="280" w:lineRule="auto"/>
        <w:jc w:val="both"/>
      </w:pPr>
      <w:r>
        <w:rPr>
          <w:rFonts w:ascii="Times New Roman" w:cs="Times New Roman" w:eastAsia="Times New Roman" w:hAnsi="Times New Roman"/>
          <w:b/>
          <w:bCs/>
          <w:color w:val="1B2A4A"/>
          <w:sz w:val="22"/>
          <w:szCs w:val="22"/>
        </w:rPr>
        <w:t xml:space="preserve">2.1 Presidential Term: </w:t>
      </w:r>
      <w:r>
        <w:rPr>
          <w:rFonts w:ascii="Times New Roman" w:cs="Times New Roman" w:eastAsia="Times New Roman" w:hAnsi="Times New Roman"/>
          <w:color w:val="000000"/>
          <w:sz w:val="22"/>
          <w:szCs w:val="22"/>
        </w:rPr>
        <w:t xml:space="preserve">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line="280" w:lineRule="auto"/>
        <w:jc w:val="both"/>
      </w:pPr>
      <w:r>
        <w:rPr>
          <w:rFonts w:ascii="Times New Roman" w:cs="Times New Roman" w:eastAsia="Times New Roman" w:hAnsi="Times New Roman"/>
          <w:b/>
          <w:bCs/>
          <w:color w:val="1B2A4A"/>
          <w:sz w:val="22"/>
          <w:szCs w:val="22"/>
        </w:rPr>
        <w:t xml:space="preserve">2.1.a Tier 1 — Immediate Defensive Response: </w:t>
      </w:r>
      <w:r>
        <w:rPr>
          <w:rFonts w:ascii="Times New Roman" w:cs="Times New Roman" w:eastAsia="Times New Roman" w:hAnsi="Times New Roman"/>
          <w:color w:val="000000"/>
          <w:sz w:val="22"/>
          <w:szCs w:val="22"/>
        </w:rPr>
        <w:t xml:space="preserve">The President may respond immediately to an active, imminent, or ongoing attack on Republic territory, Republic citizens abroad, or treaty allies without prior legislative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the Legislature defines by statute the conditions under which sustained Tier 1 operations require transition to Tier 2 authorisation.</w:t>
      </w:r>
    </w:p>
    <w:p>
      <w:pPr>
        <w:spacing w:after="60" w:before="60" w:line="280" w:lineRule="auto"/>
        <w:jc w:val="both"/>
      </w:pPr>
      <w:r>
        <w:rPr>
          <w:rFonts w:ascii="Times New Roman" w:cs="Times New Roman" w:eastAsia="Times New Roman" w:hAnsi="Times New Roman"/>
          <w:b/>
          <w:bCs/>
          <w:color w:val="1B2A4A"/>
          <w:sz w:val="22"/>
          <w:szCs w:val="22"/>
        </w:rPr>
        <w:t xml:space="preserve">2.1.b Tier 2 — Senate Armed Services Authorization: </w:t>
      </w:r>
      <w:r>
        <w:rPr>
          <w:rFonts w:ascii="Times New Roman" w:cs="Times New Roman" w:eastAsia="Times New Roman" w:hAnsi="Times New Roman"/>
          <w:color w:val="000000"/>
          <w:sz w:val="22"/>
          <w:szCs w:val="22"/>
        </w:rPr>
        <w:t xml:space="preserve">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spacing w:after="60" w:before="60" w:line="280" w:lineRule="auto"/>
        <w:jc w:val="both"/>
      </w:pPr>
      <w:r>
        <w:rPr>
          <w:rFonts w:ascii="Times New Roman" w:cs="Times New Roman" w:eastAsia="Times New Roman" w:hAnsi="Times New Roman"/>
          <w:b/>
          <w:bCs/>
          <w:color w:val="1B2A4A"/>
          <w:sz w:val="22"/>
          <w:szCs w:val="22"/>
        </w:rPr>
        <w:t xml:space="preserve">2.1.c Tier 3 — Legislative Declaration of Defense: </w:t>
      </w:r>
      <w:r>
        <w:rPr>
          <w:rFonts w:ascii="Times New Roman" w:cs="Times New Roman" w:eastAsia="Times New Roman" w:hAnsi="Times New Roman"/>
          <w:color w:val="000000"/>
          <w:sz w:val="22"/>
          <w:szCs w:val="22"/>
        </w:rPr>
        <w:t xml:space="preserve">All military operations beyond 30 days from initial deployment require a Legislative Declaration of Defense — passed by a 2/3 concurrent majority of both chambers — which simultaneously authorizes extended operations and triggers the Emergency Defense Allocation (§12.2). If the Legislature fails to pass a Declaration within 30 days of Senate Armed Services authorization, all operations except immediate defensive protection of Republic territory must cease. The five-year maximum and successive Declaration standard of §12.2 apply from the date of the first Legislative Declaration.</w:t>
      </w:r>
    </w:p>
    <w:p>
      <w:pPr>
        <w:spacing w:after="60" w:before="60" w:line="280" w:lineRule="auto"/>
        <w:jc w:val="both"/>
      </w:pPr>
      <w:r>
        <w:rPr>
          <w:rFonts w:ascii="Times New Roman" w:cs="Times New Roman" w:eastAsia="Times New Roman" w:hAnsi="Times New Roman"/>
          <w:b/>
          <w:bCs/>
          <w:color w:val="1B2A4A"/>
          <w:sz w:val="22"/>
          <w:szCs w:val="22"/>
        </w:rPr>
        <w:t xml:space="preserve">2.1.d Funding Lock: </w:t>
      </w:r>
      <w:r>
        <w:rPr>
          <w:rFonts w:ascii="Times New Roman" w:cs="Times New Roman" w:eastAsia="Times New Roman" w:hAnsi="Times New Roman"/>
          <w:color w:val="000000"/>
          <w:sz w:val="22"/>
          <w:szCs w:val="22"/>
        </w:rPr>
        <w:t xml:space="preserve">The President has no authority to spend domestic funds. All military expenditures require PM Certification of Funds. Tier 1 defensive operations trigger an automatic 96-hour Emergency Defense Allocation; this allocation is constitutionally self-executing and is not subject to PM Fiscal Objection or certification requirement for its duration.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w:t>
      </w:r>
    </w:p>
    <w:p>
      <w:pPr>
        <w:spacing w:after="60" w:before="60" w:line="280" w:lineRule="auto"/>
        <w:jc w:val="both"/>
      </w:pPr>
      <w:r>
        <w:rPr>
          <w:rFonts w:ascii="Times New Roman" w:cs="Times New Roman" w:eastAsia="Times New Roman" w:hAnsi="Times New Roman"/>
          <w:b/>
          <w:bCs/>
          <w:color w:val="1B2A4A"/>
          <w:sz w:val="22"/>
          <w:szCs w:val="22"/>
        </w:rPr>
        <w:t xml:space="preserve">2.1.e Privacy Firewall: </w:t>
      </w:r>
      <w:r>
        <w:rPr>
          <w:rFonts w:ascii="Times New Roman" w:cs="Times New Roman" w:eastAsia="Times New Roman" w:hAnsi="Times New Roman"/>
          <w:color w:val="000000"/>
          <w:sz w:val="22"/>
          <w:szCs w:val="22"/>
        </w:rPr>
        <w:t xml:space="preserve">Any order for domestic surveillance or intelligence activity directed at Republic citizens is constitutionally prohibited against the President and the Director of Intelligence, which the Inspectorates report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2.1.f Presidential Veto — Scope: </w:t>
      </w:r>
      <w:r>
        <w:rPr>
          <w:rFonts w:ascii="Times New Roman" w:cs="Times New Roman" w:eastAsia="Times New Roman" w:hAnsi="Times New Roman"/>
          <w:color w:val="000000"/>
          <w:sz w:val="22"/>
          <w:szCs w:val="22"/>
        </w:rPr>
        <w:t xml:space="preserve">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the Legislature's authority over appropriations is absolute.</w:t>
      </w:r>
    </w:p>
    <w:p>
      <w:pPr>
        <w:spacing w:after="60" w:before="60" w:line="280" w:lineRule="auto"/>
        <w:jc w:val="both"/>
      </w:pPr>
      <w:r>
        <w:rPr>
          <w:rFonts w:ascii="Times New Roman" w:cs="Times New Roman" w:eastAsia="Times New Roman" w:hAnsi="Times New Roman"/>
          <w:color w:val="000000"/>
          <w:sz w:val="22"/>
          <w:szCs w:val="22"/>
        </w:rPr>
        <w:t xml:space="preserve">2.1.f.i Judicial Review and Override: The Supreme Court reviews any veto within 48 hours on petition from either chamber's Speaker on two independent grounds: scope and justification. A veto found out of scope or unjustified is void.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line="280" w:lineRule="auto"/>
        <w:jc w:val="both"/>
      </w:pPr>
      <w:r>
        <w:rPr>
          <w:rFonts w:ascii="Times New Roman" w:cs="Times New Roman" w:eastAsia="Times New Roman" w:hAnsi="Times New Roman"/>
          <w:color w:val="000000"/>
          <w:sz w:val="22"/>
          <w:szCs w:val="22"/>
        </w:rPr>
        <w:t xml:space="preserve">2.1.f.ii Suspension for Repeated Void Vetoes: 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line="280" w:lineRule="auto"/>
        <w:jc w:val="both"/>
      </w:pPr>
      <w:r>
        <w:rPr>
          <w:rFonts w:ascii="Times New Roman" w:cs="Times New Roman" w:eastAsia="Times New Roman" w:hAnsi="Times New Roman"/>
          <w:b/>
          <w:bCs/>
          <w:color w:val="1B2A4A"/>
          <w:sz w:val="22"/>
          <w:szCs w:val="22"/>
        </w:rPr>
        <w:t xml:space="preserve">2.1.g Presidential Clemency: </w:t>
      </w:r>
      <w:r>
        <w:rPr>
          <w:rFonts w:ascii="Times New Roman" w:cs="Times New Roman" w:eastAsia="Times New Roman" w:hAnsi="Times New Roman"/>
          <w:color w:val="000000"/>
          <w:sz w:val="22"/>
          <w:szCs w:val="22"/>
        </w:rPr>
        <w:t xml:space="preserve">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any offense in which the granting official was a participant, co-conspirator, or direct beneficiary; any offense in which the President was a participant, co-conspirator, or direct beneficiary; any offense committed by a current or former official abusing their official position; or any offense for which the convicted person is simultaneously subject to constitutional violation proceedings. The President may not grant clemency to themselves. Every petition, every EI report, and every grant or decline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2.1.h Dual Executive Conflict Resolution During Active Operations: </w:t>
      </w:r>
      <w:r>
        <w:rPr>
          <w:rFonts w:ascii="Times New Roman" w:cs="Times New Roman" w:eastAsia="Times New Roman" w:hAnsi="Times New Roman"/>
          <w:color w:val="000000"/>
          <w:sz w:val="22"/>
          <w:szCs w:val="22"/>
        </w:rPr>
        <w:t xml:space="preserve">Where both executives issue conflicting orders affecting the same civil servants, institutions, or infrastructure during an active Tier 1, Tier 2, or Tier 3 military operation, the following resolution mechanism applies: (a) The President must provide a specific written objection within 6 hours of the PM's order, published to the National Record System, identifying the precise national security nexus and the specific operational harm the PM's order creates. (b) The dispute is immediately referred to the Emergency Panel under §4.2.e, which must rule within 24 hours on whether the President's objection constitutes a credible and specific national security concern. (c) Pending the Emergency Panel's ruling, PM domestic orders remain operative unless the Panel certifies the President's concern as credible and specific, in which case the conflicting portion of the PM's order is suspended pending full resolution. (d) A President who fails to file the written objection within 6 hours waives the conflict claim for that order; the PM's order stands. (e) This mechanism does not limit the PM's authority to issue domestic orders — it provides a structured process for resolving the narrow category of genuine operational conflicts.</w:t>
      </w:r>
    </w:p>
    <w:p>
      <w:pPr>
        <w:spacing w:after="60" w:before="60" w:line="280" w:lineRule="auto"/>
        <w:jc w:val="both"/>
      </w:pPr>
      <w:r>
        <w:rPr>
          <w:rFonts w:ascii="Times New Roman" w:cs="Times New Roman" w:eastAsia="Times New Roman" w:hAnsi="Times New Roman"/>
          <w:b/>
          <w:bCs/>
          <w:color w:val="1B2A4A"/>
          <w:sz w:val="22"/>
          <w:szCs w:val="22"/>
        </w:rPr>
        <w:t>2.1.i Presidential Officer Appointments and Removal:</w:t>
      </w:r>
      <w:r>
        <w:rPr>
          <w:rFonts w:ascii="Times New Roman" w:cs="Times New Roman" w:eastAsia="Times New Roman" w:hAnsi="Times New Roman"/>
          <w:b w:val="0"/>
          <w:color w:val="000000"/>
          <w:sz w:val="22"/>
          <w:szCs w:val="22"/>
        </w:rPr>
        <w:t xml:space="preserve"> The President nominates persons to lead the executive functions within the President's domain — including the Director of Intelligence, the Secretary for Foreign Affairs, the Secretary for Defense, and equivalent senior positions established by statute within the defense and foreign affairs domain. The Senate confirms each nomination by simple majority of its full seated membership within a period the Legislature defines by statute; failure to vote within that period results in Deemed Confirmation. All nominations, confirmations, and Deemed Confirmations are published to the National Record System within 24 hours. Presidential Officer Removal: The President may remove any officer confirmed under this provision by publishing a written Notice of Removal to the National Record System. Removal takes effect upon publication. The President's removal authority within this domain is unilateral — the Senate's role in appointments does not extend to tenure protection. An officer subject to an active §3.5 proceeding may not be removed by the President under this provision until those proceedings conclude, preventing the removal power from being used to obstruct a legislative accountability process.</w:t>
      </w:r>
    </w:p>
    <w:p>
      <w:pPr>
        <w:spacing w:after="60" w:before="60" w:line="280" w:lineRule="auto"/>
        <w:jc w:val="both"/>
      </w:pPr>
      <w:r>
        <w:rPr>
          <w:rFonts w:ascii="Times New Roman" w:cs="Times New Roman" w:eastAsia="Times New Roman" w:hAnsi="Times New Roman"/>
          <w:b/>
          <w:bCs/>
          <w:color w:val="1B2A4A"/>
          <w:sz w:val="22"/>
          <w:szCs w:val="22"/>
        </w:rPr>
        <w:t xml:space="preserve">2.1.i International Trade Authority: </w:t>
      </w:r>
      <w:r>
        <w:rPr>
          <w:rFonts w:ascii="Times New Roman" w:cs="Times New Roman" w:eastAsia="Times New Roman" w:hAnsi="Times New Roman"/>
          <w:color w:val="000000"/>
          <w:sz w:val="22"/>
          <w:szCs w:val="22"/>
        </w:rPr>
        <w:t xml:space="preserve">The President holds authority to negotiate and conclude international trade agreements on behalf of the Republic. Trade agreements are subject to the same ratification process as treaties under §3.2.e, including the 2/3 Senate vote requirement. Where a proposed trade agreement materially affects the domestic economic sphere — including domestic industry, labour conditions, or public services — the President must obtain the written concurrence of the Prime Minister before the agreement is concluded. A trade agreement concluded without required PM concurrence is void. Disputes about whether PM concurrence is required are resolved by the Supreme Court on expedited review. Where a trade agreement fails to receive Senate ratification or is void under this provision, the President may transmit the domestic provisions of the agreement to the Speaker of the House for consideration as legislation. The Speaker determines the appropriate referral. The provisions proceed through the ordinary legislative process under §3.3 if the House takes them up.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2.2 — The Prime Minister</w:t>
      </w:r>
    </w:p>
    <w:p>
      <w:pPr>
        <w:spacing w:after="60" w:before="60" w:line="280" w:lineRule="auto"/>
        <w:jc w:val="both"/>
      </w:pPr>
      <w:r>
        <w:rPr>
          <w:rFonts w:ascii="Times New Roman" w:cs="Times New Roman" w:eastAsia="Times New Roman" w:hAnsi="Times New Roman"/>
          <w:color w:val="000000"/>
          <w:sz w:val="22"/>
          <w:szCs w:val="22"/>
        </w:rPr>
        <w:t xml:space="preserve">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line="280" w:lineRule="auto"/>
        <w:jc w:val="both"/>
      </w:pPr>
      <w:r>
        <w:rPr>
          <w:rFonts w:ascii="Times New Roman" w:cs="Times New Roman" w:eastAsia="Times New Roman" w:hAnsi="Times New Roman"/>
          <w:b/>
          <w:bCs/>
          <w:color w:val="1B2A4A"/>
          <w:sz w:val="22"/>
          <w:szCs w:val="22"/>
        </w:rPr>
        <w:t xml:space="preserve">2.2.a The Record System Mandate: </w:t>
      </w:r>
      <w:r>
        <w:rPr>
          <w:rFonts w:ascii="Times New Roman" w:cs="Times New Roman" w:eastAsia="Times New Roman" w:hAnsi="Times New Roman"/>
          <w:color w:val="000000"/>
          <w:sz w:val="22"/>
          <w:szCs w:val="22"/>
        </w:rPr>
        <w:t xml:space="preserve">The Prime Minister must record all executive orders, contracts, and expenditures on the National Record System within 24 hours of issuance. Unrecorded orders are void.</w:t>
      </w:r>
    </w:p>
    <w:p>
      <w:pPr>
        <w:spacing w:after="60" w:before="60" w:line="280" w:lineRule="auto"/>
        <w:jc w:val="both"/>
      </w:pPr>
      <w:r>
        <w:rPr>
          <w:rFonts w:ascii="Times New Roman" w:cs="Times New Roman" w:eastAsia="Times New Roman" w:hAnsi="Times New Roman"/>
          <w:b/>
          <w:bCs/>
          <w:color w:val="1B2A4A"/>
          <w:sz w:val="22"/>
          <w:szCs w:val="22"/>
        </w:rPr>
        <w:t xml:space="preserve">2.2.b Duty of Refusal: </w:t>
      </w:r>
      <w:r>
        <w:rPr>
          <w:rFonts w:ascii="Times New Roman" w:cs="Times New Roman" w:eastAsia="Times New Roman" w:hAnsi="Times New Roman"/>
          <w:color w:val="000000"/>
          <w:sz w:val="22"/>
          <w:szCs w:val="22"/>
        </w:rPr>
        <w:t xml:space="preserve">Civil servants must refuse and report any order that lacks PM fund certification, violates Article I rights, or has not been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2.2.c Maximum Consecutive Service: </w:t>
      </w:r>
      <w:r>
        <w:rPr>
          <w:rFonts w:ascii="Times New Roman" w:cs="Times New Roman" w:eastAsia="Times New Roman" w:hAnsi="Times New Roman"/>
          <w:color w:val="000000"/>
          <w:sz w:val="22"/>
          <w:szCs w:val="22"/>
        </w:rPr>
        <w:t xml:space="preserve">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the Legislature defines by statute the administrative procedures for managing the PM transition at term expiry.</w:t>
      </w:r>
    </w:p>
    <w:p>
      <w:pPr>
        <w:spacing w:after="60" w:before="60" w:line="280" w:lineRule="auto"/>
        <w:jc w:val="both"/>
      </w:pPr>
      <w:r>
        <w:rPr>
          <w:rFonts w:ascii="Times New Roman" w:cs="Times New Roman" w:eastAsia="Times New Roman" w:hAnsi="Times New Roman"/>
          <w:b/>
          <w:bCs/>
          <w:color w:val="1B2A4A"/>
          <w:sz w:val="22"/>
          <w:szCs w:val="22"/>
        </w:rPr>
        <w:t xml:space="preserve">2.2.d Civil Service Integrity: </w:t>
      </w:r>
      <w:r>
        <w:rPr>
          <w:rFonts w:ascii="Times New Roman" w:cs="Times New Roman" w:eastAsia="Times New Roman" w:hAnsi="Times New Roman"/>
          <w:color w:val="000000"/>
          <w:sz w:val="22"/>
          <w:szCs w:val="22"/>
        </w:rPr>
        <w:t xml:space="preserve">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line="280" w:lineRule="auto"/>
        <w:jc w:val="both"/>
      </w:pPr>
      <w:r>
        <w:rPr>
          <w:rFonts w:ascii="Times New Roman" w:cs="Times New Roman" w:eastAsia="Times New Roman" w:hAnsi="Times New Roman"/>
          <w:color w:val="000000"/>
          <w:sz w:val="22"/>
          <w:szCs w:val="22"/>
        </w:rPr>
        <w:t xml:space="preserve">2.2.d.i Civil Service Statutory Mandate and constitutional violation: the Legislature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prohibited.</w:t>
      </w:r>
    </w:p>
    <w:p>
      <w:pPr>
        <w:spacing w:after="60" w:before="60" w:line="280" w:lineRule="auto"/>
        <w:jc w:val="both"/>
      </w:pPr>
      <w:r>
        <w:rPr>
          <w:rFonts w:ascii="Times New Roman" w:cs="Times New Roman" w:eastAsia="Times New Roman" w:hAnsi="Times New Roman"/>
          <w:b/>
          <w:bCs/>
          <w:color w:val="1B2A4A"/>
          <w:sz w:val="22"/>
          <w:szCs w:val="22"/>
        </w:rPr>
        <w:t xml:space="preserve">2.2.e Domestic Emergency Authority: </w:t>
      </w:r>
      <w:r>
        <w:rPr>
          <w:rFonts w:ascii="Times New Roman" w:cs="Times New Roman" w:eastAsia="Times New Roman" w:hAnsi="Times New Roman"/>
          <w:color w:val="000000"/>
          <w:sz w:val="22"/>
          <w:szCs w:val="22"/>
        </w:rPr>
        <w:t xml:space="preserve">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2.2.f PM Clemency: </w:t>
      </w:r>
      <w:r>
        <w:rPr>
          <w:rFonts w:ascii="Times New Roman" w:cs="Times New Roman" w:eastAsia="Times New Roman" w:hAnsi="Times New Roman"/>
          <w:color w:val="000000"/>
          <w:sz w:val="22"/>
          <w:szCs w:val="22"/>
        </w:rPr>
        <w:t xml:space="preserve">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offenses in which the PM was a participant or beneficiary, for offenses committed by officials abusing their position, or for persons simultaneously subject to constitutional violation proceedings. The PM may not grant clemency to themselves. Every petition, EI report, and executive decision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2.2.g Ministerial Appointments: </w:t>
      </w:r>
      <w:r>
        <w:rPr>
          <w:rFonts w:ascii="Times New Roman" w:cs="Times New Roman" w:eastAsia="Times New Roman" w:hAnsi="Times New Roman"/>
          <w:color w:val="000000"/>
          <w:sz w:val="22"/>
          <w:szCs w:val="22"/>
        </w:rPr>
        <w:t xml:space="preserve">The Prime Minister appoints and removes ministers to serve within the Domestic Affairs Council. All ministerial appointments and removals are published to the National Record System within 24 hours of taking effect. Ministers exercise only authority delegated by the PM within the PM's constitutional domain — no minister may act outside that domain regardless of how the delegation is framed. All ministerial orders, contracts, and expenditures are subject to the same NRS recording requirement as PM orders under §2.2.a; unrecorded ministerial orders are void. Civil servants are bound by the same duty of refusal under §2.2.b with respect to ministerial orders as they are with respect to PM orders. Ministers serve at the PM's pleasure and may be removed without cause; removal does not affect any ministerial accountability for prior conduct during their term of service.</w:t>
      </w:r>
    </w:p>
    <w:p>
      <w:pPr>
        <w:spacing w:after="60" w:before="60" w:line="280" w:lineRule="auto"/>
        <w:jc w:val="both"/>
      </w:pPr>
      <w:r>
        <w:rPr>
          <w:rFonts w:ascii="Times New Roman" w:cs="Times New Roman" w:eastAsia="Times New Roman" w:hAnsi="Times New Roman"/>
          <w:b/>
          <w:bCs/>
          <w:color w:val="1B2A4A"/>
          <w:sz w:val="22"/>
          <w:szCs w:val="22"/>
        </w:rPr>
        <w:t xml:space="preserve">2.2.h Administrative Acting Officer Framework: </w:t>
      </w:r>
      <w:r>
        <w:rPr>
          <w:rFonts w:ascii="Times New Roman" w:cs="Times New Roman" w:eastAsia="Times New Roman" w:hAnsi="Times New Roman"/>
          <w:color w:val="000000"/>
          <w:sz w:val="22"/>
          <w:szCs w:val="22"/>
        </w:rPr>
        <w:t xml:space="preserve">Where a Senate confirmation is required for any constitutionally established administrative position and the Senate has not confirmed within the statutory period, or where a confirmed officer vacates mid-term, the following framework governs acting status unless this Constitution expressly provides otherwise for a specific position. (1) Acting assumption: the designated successor staff member assumes acting status immediately; the PM must nominate a replacement within 60 days of vacancy. (2) PM removal — first 90 days: the PM may remove an acting officer without further process within 90 days of assumption. (3) Senate involvement — 90 to 180 days: after 90 days of acting status, removal requires a simple Senate majority. (4) Full threshold — beyond 180 days: after 180 days of acting status, removal requires the same threshold as removal of a permanently confirmed officer in that position. (5) Confirmation converts status: Senate confirmation at any time converts acting status to permanent appointment; the full term begins from the date of confirmation. This framework applies to the CLT Administrator (§5.4.b), the RSA Director (§9.3), the National Trust Administrator (§17.4.g), and Monetary Authority board members (§10.4.a). The PM may not use the acting officer framework to indefinitely circumvent the Senate's confirmation authority — the duty to nominate and the obligation to pursue confirmation in good faith are continuous constitutional obligations.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2.3 — PM Selection and Removal by the House</w:t>
      </w:r>
    </w:p>
    <w:p>
      <w:pPr>
        <w:spacing w:after="60" w:before="60" w:line="280" w:lineRule="auto"/>
        <w:jc w:val="both"/>
      </w:pPr>
      <w:r>
        <w:rPr>
          <w:rFonts w:ascii="Times New Roman" w:cs="Times New Roman" w:eastAsia="Times New Roman" w:hAnsi="Times New Roman"/>
          <w:color w:val="000000"/>
          <w:sz w:val="22"/>
          <w:szCs w:val="22"/>
        </w:rPr>
        <w:t xml:space="preserve">The Prime Minister serves at the confidence of the House.</w:t>
      </w:r>
    </w:p>
    <w:p>
      <w:pPr>
        <w:spacing w:after="60" w:before="60" w:line="280" w:lineRule="auto"/>
        <w:jc w:val="both"/>
      </w:pPr>
      <w:r>
        <w:rPr>
          <w:rFonts w:ascii="Times New Roman" w:cs="Times New Roman" w:eastAsia="Times New Roman" w:hAnsi="Times New Roman"/>
          <w:b/>
          <w:bCs/>
          <w:color w:val="1B2A4A"/>
          <w:sz w:val="22"/>
          <w:szCs w:val="22"/>
        </w:rPr>
        <w:t xml:space="preserve">2.3.a Selection: </w:t>
      </w:r>
      <w:r>
        <w:rPr>
          <w:rFonts w:ascii="Times New Roman" w:cs="Times New Roman" w:eastAsia="Times New Roman" w:hAnsi="Times New Roman"/>
          <w:color w:val="000000"/>
          <w:sz w:val="22"/>
          <w:szCs w:val="22"/>
        </w:rPr>
        <w:t xml:space="preserve">The House selects the Prime Minister by absolute majority — a majority of the full seated membership, not merely those present or voting; this definition of absolute majority applies throughout this Constitution wherever the term appears. The House must seat a PM within 60 days of its first convening following a general election. If no PM is seated within 60 days, the Caretaker Protocol of §2.3.c activates automatically. The House continues in full session and retains the ability to seat a PM at any time — any successful absolute majority confidence vote immediately displaces the caretaker. During any caretaker period arising from failure to seat a PM, the Legislative Inspectorate publishes a weekly report to the National Record System documenting: the PM formation votes taken, the candidates proposed, and each member's individual participation record. This record is publicly accessible and forms the permanent constitutional accountability record for each member's term.</w:t>
      </w:r>
    </w:p>
    <w:p>
      <w:pPr>
        <w:spacing w:after="60" w:before="60" w:line="280" w:lineRule="auto"/>
        <w:jc w:val="both"/>
      </w:pPr>
      <w:r>
        <w:rPr>
          <w:rFonts w:ascii="Times New Roman" w:cs="Times New Roman" w:eastAsia="Times New Roman" w:hAnsi="Times New Roman"/>
          <w:b/>
          <w:bCs/>
          <w:color w:val="1B2A4A"/>
          <w:sz w:val="22"/>
          <w:szCs w:val="22"/>
        </w:rPr>
        <w:t xml:space="preserve">2.3.b Constructive Vote of No Confidence: </w:t>
      </w:r>
      <w:r>
        <w:rPr>
          <w:rFonts w:ascii="Times New Roman" w:cs="Times New Roman" w:eastAsia="Times New Roman" w:hAnsi="Times New Roman"/>
          <w:color w:val="000000"/>
          <w:sz w:val="22"/>
          <w:szCs w:val="22"/>
        </w:rPr>
        <w:t xml:space="preserve">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line="280" w:lineRule="auto"/>
        <w:jc w:val="both"/>
      </w:pPr>
      <w:r>
        <w:rPr>
          <w:rFonts w:ascii="Times New Roman" w:cs="Times New Roman" w:eastAsia="Times New Roman" w:hAnsi="Times New Roman"/>
          <w:b/>
          <w:bCs/>
          <w:color w:val="1B2A4A"/>
          <w:sz w:val="22"/>
          <w:szCs w:val="22"/>
        </w:rPr>
        <w:t xml:space="preserve">2.3.c Caretaker Protocol: </w:t>
      </w:r>
      <w:r>
        <w:rPr>
          <w:rFonts w:ascii="Times New Roman" w:cs="Times New Roman" w:eastAsia="Times New Roman" w:hAnsi="Times New Roman"/>
          <w:color w:val="000000"/>
          <w:sz w:val="22"/>
          <w:szCs w:val="22"/>
        </w:rPr>
        <w:t xml:space="preserve">Two distinct scenarios govern the Caretaker Protocol. Vacancy during an active term: Where the PM office becomes vacant mid-term through death, resignation, incapacitation, or a successful constructive vote of no confidence under §2.3.b, the most senior Domestic Affairs Council Officer serves as Caretaker PM, restricted to maintenance of existing obligations only. No new policy or spending may be initiated during the interim. After 90 days of Caretaker service without the House seating a PM, the Senate may by simple majority designate an Interim PM — a person who has never held partisan elected office — with full PM powers. The House retains the ability to seat a PM at any time, immediately displacing the Interim PM. Failure to seat at term start: Where no Domestic Affairs Council exists because no PM has been appointed in the current term, the Senate designates an Interim PM immediately upon the 60-day period expiring. The Senate's designation in this scenario is mandatory — if the House has not seated a PM at day 61, the Senate must act within 14 days to designate an Interim PM from persons who have not held partisan elected office. The Interim PM governs in maintenance-only mode and is immediately displaced by any PM seated through the ordinary House confidence process. If the Senate fails to designate within the 14-day window, the Senate Speaker assumes Interim PM functions in maintenance-only mode until designation occurs. Exceptions applicable in both scenarios: The Caretaker or Interim PM retains the full domestic emergency authority of §2.2.e during any vacancy period. The Caretaker or Interim PM retains fund certification authority under §2.1.d for military operations active and duly authorized at the date of vacancy. The Caretaker or Interim PM may not issue fund certification for a new Tier 2 authorization arising during the vacancy period unless the Senate Armed Services Committee certifies in writing that operational necessity requires immediate authorization before a permanent PM can be seated; that certification is published to the National Record System within 6 hours of issuance.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2.4 — PM Legislative Objection</w:t>
      </w:r>
    </w:p>
    <w:p>
      <w:pPr>
        <w:spacing w:after="60" w:before="60" w:line="280" w:lineRule="auto"/>
        <w:jc w:val="both"/>
      </w:pPr>
      <w:r>
        <w:rPr>
          <w:rFonts w:ascii="Times New Roman" w:cs="Times New Roman" w:eastAsia="Times New Roman" w:hAnsi="Times New Roman"/>
          <w:color w:val="000000"/>
          <w:sz w:val="22"/>
          <w:szCs w:val="22"/>
        </w:rPr>
        <w:t xml:space="preserve">The Prime Minister holds two objection powers over enacted legislation. Both are suspensive — the Legislature retains the final word in all cases.</w:t>
      </w:r>
    </w:p>
    <w:p>
      <w:pPr>
        <w:spacing w:after="60" w:before="60" w:line="280" w:lineRule="auto"/>
        <w:jc w:val="both"/>
      </w:pPr>
      <w:r>
        <w:rPr>
          <w:rFonts w:ascii="Times New Roman" w:cs="Times New Roman" w:eastAsia="Times New Roman" w:hAnsi="Times New Roman"/>
          <w:b/>
          <w:bCs/>
          <w:color w:val="1B2A4A"/>
          <w:sz w:val="22"/>
          <w:szCs w:val="22"/>
        </w:rPr>
        <w:t xml:space="preserve">2.4.a Suspensive Veto: </w:t>
      </w:r>
      <w:r>
        <w:rPr>
          <w:rFonts w:ascii="Times New Roman" w:cs="Times New Roman" w:eastAsia="Times New Roman" w:hAnsi="Times New Roman"/>
          <w:color w:val="000000"/>
          <w:sz w:val="22"/>
          <w:szCs w:val="22"/>
        </w:rPr>
        <w:t xml:space="preserve">The Prime Minister may return any bill to the House with a written Statement of Objection specifying the grounds — 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§2.8 Emergency Governance Protocol. The PM may apply the suspensive veto to any single bill only once.</w:t>
      </w:r>
    </w:p>
    <w:p>
      <w:pPr>
        <w:spacing w:after="60" w:before="60" w:line="280" w:lineRule="auto"/>
        <w:jc w:val="both"/>
      </w:pPr>
      <w:r>
        <w:rPr>
          <w:rFonts w:ascii="Times New Roman" w:cs="Times New Roman" w:eastAsia="Times New Roman" w:hAnsi="Times New Roman"/>
          <w:b/>
          <w:bCs/>
          <w:color w:val="1B2A4A"/>
          <w:sz w:val="22"/>
          <w:szCs w:val="22"/>
        </w:rPr>
        <w:t xml:space="preserve">2.4.b Fiscal Objection: </w:t>
      </w:r>
      <w:r>
        <w:rPr>
          <w:rFonts w:ascii="Times New Roman" w:cs="Times New Roman" w:eastAsia="Times New Roman" w:hAnsi="Times New Roman"/>
          <w:color w:val="000000"/>
          <w:sz w:val="22"/>
          <w:szCs w:val="22"/>
        </w:rPr>
        <w:t xml:space="preserve">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line="280" w:lineRule="auto"/>
        <w:jc w:val="both"/>
      </w:pPr>
      <w:r>
        <w:rPr>
          <w:rFonts w:ascii="Times New Roman" w:cs="Times New Roman" w:eastAsia="Times New Roman" w:hAnsi="Times New Roman"/>
          <w:b/>
          <w:bCs/>
          <w:color w:val="1B2A4A"/>
          <w:sz w:val="22"/>
          <w:szCs w:val="22"/>
        </w:rPr>
        <w:t xml:space="preserve">2.4.c Limits: </w:t>
      </w:r>
      <w:r>
        <w:rPr>
          <w:rFonts w:ascii="Times New Roman" w:cs="Times New Roman" w:eastAsia="Times New Roman" w:hAnsi="Times New Roman"/>
          <w:color w:val="000000"/>
          <w:sz w:val="22"/>
          <w:szCs w:val="22"/>
        </w:rPr>
        <w:t xml:space="preserve">The suspensive veto provides a deliberation interval and forces the Legislature to recommit to the legislation; it does not convert PM policy preferences into law. Any objection lacking the required written statement is void.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2.5 — The Legislative Review Period</w:t>
      </w:r>
    </w:p>
    <w:p>
      <w:pPr>
        <w:spacing w:after="60" w:before="60" w:line="280" w:lineRule="auto"/>
        <w:jc w:val="both"/>
      </w:pPr>
      <w:r>
        <w:rPr>
          <w:rFonts w:ascii="Times New Roman" w:cs="Times New Roman" w:eastAsia="Times New Roman" w:hAnsi="Times New Roman"/>
          <w:color w:val="000000"/>
          <w:sz w:val="22"/>
          <w:szCs w:val="22"/>
        </w:rPr>
        <w:t xml:space="preserve">Every bill passed by the Legislature enters a Legislative Review Period during which both executives may respond within their constitutional domains: the President may issue a Presidential Veto under §2.1.f and the PM may issue a Suspensive Veto or Fiscal Objection under §2.4. the Legislature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line="280" w:lineRule="auto"/>
        <w:jc w:val="both"/>
      </w:pPr>
      <w:r>
        <w:rPr>
          <w:rFonts w:ascii="Times New Roman" w:cs="Times New Roman" w:eastAsia="Times New Roman" w:hAnsi="Times New Roman"/>
          <w:b/>
          <w:bCs/>
          <w:color w:val="1B2A4A"/>
          <w:sz w:val="22"/>
          <w:szCs w:val="22"/>
        </w:rPr>
        <w:t xml:space="preserve">2.5.a Emergency Legislative Continuity: </w:t>
      </w:r>
      <w:r>
        <w:rPr>
          <w:rFonts w:ascii="Times New Roman" w:cs="Times New Roman" w:eastAsia="Times New Roman" w:hAnsi="Times New Roman"/>
          <w:color w:val="000000"/>
          <w:sz w:val="22"/>
          <w:szCs w:val="22"/>
        </w:rPr>
        <w:t xml:space="preserve">If the House is physically unable to convene — in person or by any remote means — during the presidential legislative review period defined by statute under §2.5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2.6 — Succession</w:t>
      </w:r>
    </w:p>
    <w:p>
      <w:pPr>
        <w:spacing w:after="60" w:before="60" w:line="280" w:lineRule="auto"/>
        <w:jc w:val="both"/>
      </w:pPr>
      <w:r>
        <w:rPr>
          <w:rFonts w:ascii="Times New Roman" w:cs="Times New Roman" w:eastAsia="Times New Roman" w:hAnsi="Times New Roman"/>
          <w:b/>
          <w:bCs/>
          <w:color w:val="1B2A4A"/>
          <w:sz w:val="22"/>
          <w:szCs w:val="22"/>
        </w:rPr>
        <w:t xml:space="preserve">2.6.a Presidential Succession Line: </w:t>
      </w:r>
      <w:r>
        <w:rPr>
          <w:rFonts w:ascii="Times New Roman" w:cs="Times New Roman" w:eastAsia="Times New Roman" w:hAnsi="Times New Roman"/>
          <w:color w:val="000000"/>
          <w:sz w:val="22"/>
          <w:szCs w:val="22"/>
        </w:rPr>
        <w:t xml:space="preserve">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Where the Senate Speaker assumes the presidency under this section — a permanent succession event — their Senate seat is immediately vacated and the Deputy Speaker automatically assumes the Speaker role and the Speaker's position in the succession line from that moment. This seat vacation applies only to §2.6.a permanent succession; it does not apply to Acting Presidential Authority under §2.6.b. A successor who assumes the presidency by succession serves only until a special presidential election can be held — the Legislature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line="280" w:lineRule="auto"/>
        <w:jc w:val="both"/>
      </w:pPr>
      <w:r>
        <w:rPr>
          <w:rFonts w:ascii="Times New Roman" w:cs="Times New Roman" w:eastAsia="Times New Roman" w:hAnsi="Times New Roman"/>
          <w:color w:val="000000"/>
          <w:sz w:val="22"/>
          <w:szCs w:val="22"/>
        </w:rPr>
        <w:t xml:space="preserve"> 2.6.b Temporary Acting Presidential Authority: Where the President is temporarily unable to perform presidential functions — due to a planned medical procedure, scheduled absence, or sudden but recoverable incapacity — Acting Presidential Authority may be established through one of two processes: (a) Voluntary Transfer: The President publishes a declaration of temporary transfer to the National Record System, specifying the reason and expected duration. Acting Presidential Authority activates at the moment of NRS publication. (b) Involuntary Certification: Where the President is suddenly incapacitated and cannot make the voluntary declaration, the Prime Minister and the most senior sitting Supreme Court justice jointly certify the incapacity and publish the certification to the National Record System within 6 hours of the incapacity arising. Where the Prime Minister is the next in the succession line and therefore has a conflict of interest in certifying incapacity, the Deputy Speaker substitutes for the Prime Minister in the certification. Acting Presidential Authority activates upon publication of the joint certification. During any period of Acting Presidential Authority: (1) The Senate Speaker exercises all constitutional powers of the presidential office — including Tier 1 through Tier 3 military authority, treaty functions, intelligence oversight, and all other presidential responsibilities — as Acting President; (2) The Senate Speaker retains their Senate seat, which is not vacated during Acting Presidential Authority; (3) The Deputy Speaker assumes the Senate's presiding functions and the Speaker's position in the presidential succession line for the duration of the acting period; (4) No special presidential election is triggered; (5) The acting period does not constitute a succession event within the meaning of §2.6.a or §2.6.c and does not expend or initiate any presidential term. Acting Presidential Authority ends automatically upon: the President publishing a declaration of restoration to the National Record System; or the PM and most senior SC justice jointly certifying and publishing to the NRS that the incapacity has ended. Upon ending, the President immediately resumes full presidential authority, the Senate Speaker resumes their Senate presiding functions, and the Deputy Speaker reverts to the Deputy Speaker role. (c) 90-Day Permanence Assessment: If Acting Presidential Authority extends beyond 90 consecutive days without restoration, the PM and most senior SC justice must jointly assess whether the incapacity has become permanent and publish their assessment to the NRS within 7 days of the 90-day mark. If they certify permanent incapacity, §2.6.a succession activates immediately — Acting Presidential Authority converts to full succession, the Speaker's Senate seat is vacated, and the Deputy Speaker assumes the Speaker role permanently. If they certify continued temporary incapacity, Acting Presidential Authority continues and the assessment repeats every 30 days thereafter until restoration or permanent certification. Failure to conduct and publish the mandatory 90-day assessment within the required period is a constitutional failure for both the PM and the most senior SC justice.</w:t>
      </w:r>
    </w:p>
    <w:p>
      <w:pPr>
        <w:spacing w:after="60" w:before="60" w:line="280" w:lineRule="auto"/>
        <w:jc w:val="both"/>
      </w:pPr>
      <w:r>
        <w:rPr>
          <w:rFonts w:ascii="Times New Roman" w:cs="Times New Roman" w:eastAsia="Times New Roman" w:hAnsi="Times New Roman"/>
          <w:b/>
          <w:bCs/>
          <w:color w:val="1B2A4A"/>
          <w:sz w:val="22"/>
          <w:szCs w:val="22"/>
        </w:rPr>
        <w:t xml:space="preserve">2.6.c Succession-Based Presidential Term: </w:t>
      </w:r>
      <w:r>
        <w:rPr>
          <w:rFonts w:ascii="Times New Roman" w:cs="Times New Roman" w:eastAsia="Times New Roman" w:hAnsi="Times New Roman"/>
          <w:color w:val="000000"/>
          <w:sz w:val="22"/>
          <w:szCs w:val="22"/>
        </w:rPr>
        <w:t xml:space="preserve">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2.8 — Emergency Governance Protocol</w:t>
      </w:r>
    </w:p>
    <w:p>
      <w:pPr>
        <w:spacing w:after="60" w:before="60" w:line="280" w:lineRule="auto"/>
        <w:jc w:val="both"/>
      </w:pPr>
      <w:r>
        <w:rPr>
          <w:rFonts w:ascii="Times New Roman" w:cs="Times New Roman" w:eastAsia="Times New Roman" w:hAnsi="Times New Roman"/>
          <w:color w:val="000000"/>
          <w:sz w:val="22"/>
          <w:szCs w:val="22"/>
        </w:rPr>
        <w:t xml:space="preserve">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line="280" w:lineRule="auto"/>
        <w:jc w:val="both"/>
      </w:pPr>
      <w:r>
        <w:rPr>
          <w:rFonts w:ascii="Times New Roman" w:cs="Times New Roman" w:eastAsia="Times New Roman" w:hAnsi="Times New Roman"/>
          <w:b/>
          <w:bCs/>
          <w:color w:val="1B2A4A"/>
          <w:sz w:val="22"/>
          <w:szCs w:val="22"/>
        </w:rPr>
        <w:t xml:space="preserve">Expedited Activation — Catastrophic Attack: </w:t>
      </w:r>
      <w:r>
        <w:rPr>
          <w:rFonts w:ascii="Times New Roman" w:cs="Times New Roman" w:eastAsia="Times New Roman" w:hAnsi="Times New Roman"/>
          <w:color w:val="000000"/>
          <w:sz w:val="22"/>
          <w:szCs w:val="22"/>
        </w:rPr>
        <w:t xml:space="preserve">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§2.8 Emergency Governance Protocol and electing a Speaker.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2.9 — Clemency Limits and Legislative Amnesty</w:t>
      </w:r>
    </w:p>
    <w:p>
      <w:pPr>
        <w:spacing w:after="60" w:before="60" w:line="280" w:lineRule="auto"/>
        <w:jc w:val="both"/>
      </w:pPr>
      <w:r>
        <w:rPr>
          <w:rFonts w:ascii="Times New Roman" w:cs="Times New Roman" w:eastAsia="Times New Roman" w:hAnsi="Times New Roman"/>
          <w:b/>
          <w:bCs/>
          <w:color w:val="1B2A4A"/>
          <w:sz w:val="22"/>
          <w:szCs w:val="22"/>
        </w:rPr>
        <w:t xml:space="preserve">2.9.b Legislative Amnesty: </w:t>
      </w:r>
      <w:r>
        <w:rPr>
          <w:rFonts w:ascii="Times New Roman" w:cs="Times New Roman" w:eastAsia="Times New Roman" w:hAnsi="Times New Roman"/>
          <w:color w:val="000000"/>
          <w:sz w:val="22"/>
          <w:szCs w:val="22"/>
        </w:rPr>
        <w:t xml:space="preserve">Broad amnesty — the remission of criminal liability for a defined group of persons — is a political act requiring democratic authorization. Only the Legislature may grant amnesty, by statute passed by simple majority of both chambers. No executive may grant group amnesty. Legislative amnesty may not extend to constitutional constitutional violations, to offenses committed by officials using or abusing their official position, or to persons convicted of crimes against the fundamental rights of §1.2 and §1.3. Legislative amnesty statutes are subject to judicial review for constitutional compliance within 60 days of enactment.</w:t>
      </w:r>
    </w:p>
    <w:p>
      <w:pPr>
        <w:spacing w:after="60" w:before="60" w:line="280" w:lineRule="auto"/>
        <w:jc w:val="both"/>
      </w:pPr>
      <w:r>
        <w:rPr>
          <w:rFonts w:ascii="Times New Roman" w:cs="Times New Roman" w:eastAsia="Times New Roman" w:hAnsi="Times New Roman"/>
          <w:b/>
          <w:bCs/>
          <w:color w:val="1B2A4A"/>
          <w:sz w:val="22"/>
          <w:szCs w:val="22"/>
        </w:rPr>
        <w:t xml:space="preserve">2.9.c Self-Clemency Absolute Prohibition: </w:t>
      </w:r>
      <w:r>
        <w:rPr>
          <w:rFonts w:ascii="Times New Roman" w:cs="Times New Roman" w:eastAsia="Times New Roman" w:hAnsi="Times New Roman"/>
          <w:color w:val="000000"/>
          <w:sz w:val="22"/>
          <w:szCs w:val="22"/>
        </w:rPr>
        <w:t xml:space="preserve">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and may not be ratified by any subsequent official action.</w:t>
      </w:r>
    </w:p>
    <w:p>
      <w:pPr>
        <w:spacing w:after="60" w:before="60" w:line="280" w:lineRule="auto"/>
        <w:jc w:val="both"/>
      </w:pPr>
      <w:r>
        <w:rPr>
          <w:rFonts w:ascii="Times New Roman" w:cs="Times New Roman" w:eastAsia="Times New Roman" w:hAnsi="Times New Roman"/>
          <w:b/>
          <w:bCs/>
          <w:color w:val="1B2A4A"/>
          <w:sz w:val="22"/>
          <w:szCs w:val="22"/>
        </w:rPr>
        <w:t xml:space="preserve">2.9.d Cross-Chamber Clemency Review: </w:t>
      </w:r>
      <w:r>
        <w:rPr>
          <w:rFonts w:ascii="Times New Roman" w:cs="Times New Roman" w:eastAsia="Times New Roman" w:hAnsi="Times New Roman"/>
          <w:color w:val="000000"/>
          <w:sz w:val="22"/>
          <w:szCs w:val="22"/>
        </w:rPr>
        <w:t xml:space="preserve">Every clemency grant — whether by the President under §2.1.g or by the Prime Minister under §2.2.f — is subject to cross-chamber legislative review. Senate reviews PM clemency grants. The House reviews Presidential clemency grants. Within 7 days of any grant, the granting executive files a written explanatory report with the Executive Inspectorate stating: the identity of the recipient, the nature of the offense pardoned, the grounds for the grant, and any relevant circumstances the executive considered. The EI reviews the report for factual accuracy and completeness within 14 days and publishes its findings to the National Record System. The reviewing chamber then has 45 days from the date of EI publication to vote to disapprove the grant by simple majority of those present and voting. If no disapproval vote is held within the 45-day period, the grant is deemed approved and takes full effect. If the reviewing chamber votes to disapprove by simple majority within the 45-day period, the grant is void and the original sentence or legal status is reinstated. Where a grant is voided by disapproval, the executive may not resubmit clemency for the same recipient for one year from the date of the disapproval vote. The EI pre-grant factual background report required under §2.1.g and §2.2.f is distinct from the executive's post-grant explanatory report required by this provision — both are published to the National Record System and together form the complete clemency record for any grant. The reviewing chamber's 45-day period begins from the date of EI publication.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2.10 — Presidential Removal by the Legislature and Popular Vote</w:t>
      </w:r>
    </w:p>
    <w:p>
      <w:pPr>
        <w:spacing w:after="60" w:before="60" w:line="280" w:lineRule="auto"/>
        <w:jc w:val="both"/>
      </w:pPr>
      <w:r>
        <w:rPr>
          <w:rFonts w:ascii="Times New Roman" w:cs="Times New Roman" w:eastAsia="Times New Roman" w:hAnsi="Times New Roman"/>
          <w:color w:val="000000"/>
          <w:sz w:val="22"/>
          <w:szCs w:val="22"/>
        </w:rPr>
        <w:t xml:space="preserve">The President is removed exclusively through the two tracks of this section. §3.5 impeachment does not apply to the President. These tracks address situations where the President has not committed a technical constitutional violation but has lost the democratic confidence of the Legislature or the citizenry. Both tracks require either cross-institutional consensus or direct citizen participation — they cannot be used as routine political weapons by a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2.10.a Path 1 — Legislative Removal: </w:t>
      </w:r>
      <w:r>
        <w:rPr>
          <w:rFonts w:ascii="Times New Roman" w:cs="Times New Roman" w:eastAsia="Times New Roman" w:hAnsi="Times New Roman"/>
          <w:color w:val="000000"/>
          <w:sz w:val="22"/>
          <w:szCs w:val="22"/>
        </w:rPr>
        <w:t xml:space="preserve">The House may initiate presidential removal by a vote of 2/3 of its full membership. If the House initiates, the Senate conducts a trial under the mechanics of §3.5.c and may remove the President by a vote of 2/3 of its full membership. Both thresholds are of full seated membership, not merely those present on the day of the vote. This track is independent of and parallel to the Inspectorate reporting and political accountability mechanisms and the §3.5 impeachment track. Unlike §3.5 impeachment, which requires only a simple House majority to initiate, this track requires a 2/3 House majority at initiation — a higher threshold reflecting the President's direct electoral mandate. The House vote under this section must be accompanied by a Statement of Grounds — a written document specifying the basis for removal in plain language, published to the National Record System simultaneously with the vote. The Statement of Grounds serves the function of Articles of Impeachment for purposes of the §3.5.c Senate trial mechanics. The Statement must identify specific conduct, decisions, or failures constituting the basis for removal; a general vote of no confidence without specific stated grounds is not sufficient. The Senate trial is limited to the grounds stated — the Senate may not convict on grounds not included in the Statement.</w:t>
      </w:r>
    </w:p>
    <w:p>
      <w:pPr>
        <w:spacing w:after="60" w:before="60" w:line="280" w:lineRule="auto"/>
        <w:jc w:val="both"/>
      </w:pPr>
      <w:r>
        <w:rPr>
          <w:rFonts w:ascii="Times New Roman" w:cs="Times New Roman" w:eastAsia="Times New Roman" w:hAnsi="Times New Roman"/>
          <w:b/>
          <w:bCs/>
          <w:color w:val="1B2A4A"/>
          <w:sz w:val="22"/>
          <w:szCs w:val="22"/>
        </w:rPr>
        <w:t xml:space="preserve">2.10.b Path 2 — Senate Referral to Popular Recall: </w:t>
      </w:r>
      <w:r>
        <w:rPr>
          <w:rFonts w:ascii="Times New Roman" w:cs="Times New Roman" w:eastAsia="Times New Roman" w:hAnsi="Times New Roman"/>
          <w:color w:val="000000"/>
          <w:sz w:val="22"/>
          <w:szCs w:val="22"/>
        </w:rPr>
        <w:t xml:space="preserve">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favour of removal — not merely a majority of those who participate in the referendum. The Senate Speaker assumes Acting Presidential Authority under §2.6.b from the date the Senate votes to refer until the referendum result is certified — the Speaker's Senate seat is not vacated during this period, since the referendum may fail and the President may return to full authority. If the referendum fails, the President resumes full authority immediately upon certification and the Speaker's acting period ends. If the referendum succeeds, §2.6.a permanent succession activates at the moment of result certification — the Speaker's Senate seat is vacated at that point and the full succession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2.10.c One Referral Per Term: </w:t>
      </w:r>
      <w:r>
        <w:rPr>
          <w:rFonts w:ascii="Times New Roman" w:cs="Times New Roman" w:eastAsia="Times New Roman" w:hAnsi="Times New Roman"/>
          <w:color w:val="000000"/>
          <w:sz w:val="22"/>
          <w:szCs w:val="22"/>
        </w:rPr>
        <w:t xml:space="preserve">No second Senate referral to popular recall vote may be initiated against a President within the remainder of their current term following a referral under §2.10.b, regardless of the outcome of the first referendum. This restriction does not apply to the legislative removal track under §2.10.a, which operates independently and without term-based limitations on initiation.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III — THE LEGISLATURE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3.1 — The House</w:t>
      </w:r>
    </w:p>
    <w:p>
      <w:pPr>
        <w:spacing w:after="60" w:before="60" w:line="280" w:lineRule="auto"/>
        <w:jc w:val="both"/>
      </w:pPr>
      <w:r>
        <w:rPr>
          <w:rFonts w:ascii="Times New Roman" w:cs="Times New Roman" w:eastAsia="Times New Roman" w:hAnsi="Times New Roman"/>
          <w:b/>
          <w:bCs/>
          <w:color w:val="1B2A4A"/>
          <w:sz w:val="22"/>
          <w:szCs w:val="22"/>
        </w:rPr>
        <w:t xml:space="preserve">3.1.a House Membership Floor: </w:t>
      </w:r>
      <w:r>
        <w:rPr>
          <w:rFonts w:ascii="Times New Roman" w:cs="Times New Roman" w:eastAsia="Times New Roman" w:hAnsi="Times New Roman"/>
          <w:color w:val="000000"/>
          <w:sz w:val="22"/>
          <w:szCs w:val="22"/>
        </w:rPr>
        <w:t xml:space="preserve">the Legislature is the Republic's legislature — 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spacing w:after="60" w:before="60" w:line="280" w:lineRule="auto"/>
        <w:jc w:val="both"/>
      </w:pPr>
      <w:r>
        <w:rPr>
          <w:rFonts w:ascii="Times New Roman" w:cs="Times New Roman" w:eastAsia="Times New Roman" w:hAnsi="Times New Roman"/>
          <w:b/>
          <w:bCs/>
          <w:color w:val="1B2A4A"/>
          <w:sz w:val="22"/>
          <w:szCs w:val="22"/>
        </w:rPr>
        <w:t xml:space="preserve">3.1.b Census Authority: </w:t>
      </w:r>
      <w:r>
        <w:rPr>
          <w:rFonts w:ascii="Times New Roman" w:cs="Times New Roman" w:eastAsia="Times New Roman" w:hAnsi="Times New Roman"/>
          <w:color w:val="000000"/>
          <w:sz w:val="22"/>
          <w:szCs w:val="22"/>
        </w:rPr>
        <w:t xml:space="preserve">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line="280" w:lineRule="auto"/>
        <w:jc w:val="both"/>
      </w:pPr>
      <w:r>
        <w:rPr>
          <w:rFonts w:ascii="Times New Roman" w:cs="Times New Roman" w:eastAsia="Times New Roman" w:hAnsi="Times New Roman"/>
          <w:b/>
          <w:bCs/>
          <w:color w:val="1B2A4A"/>
          <w:sz w:val="22"/>
          <w:szCs w:val="22"/>
        </w:rPr>
        <w:t xml:space="preserve">3.1.c Single-Subject Rule: </w:t>
      </w:r>
      <w:r>
        <w:rPr>
          <w:rFonts w:ascii="Times New Roman" w:cs="Times New Roman" w:eastAsia="Times New Roman" w:hAnsi="Times New Roman"/>
          <w:color w:val="000000"/>
          <w:sz w:val="22"/>
          <w:szCs w:val="22"/>
        </w:rPr>
        <w:t xml:space="preserve">Every bill must address a single, clearly defined subject. Unrelated riders or omnibus additions nullify the entire act.</w:t>
      </w:r>
    </w:p>
    <w:p>
      <w:pPr>
        <w:spacing w:after="60" w:before="60" w:line="280" w:lineRule="auto"/>
        <w:jc w:val="both"/>
      </w:pPr>
      <w:r>
        <w:rPr>
          <w:rFonts w:ascii="Times New Roman" w:cs="Times New Roman" w:eastAsia="Times New Roman" w:hAnsi="Times New Roman"/>
          <w:b/>
          <w:bCs/>
          <w:color w:val="1B2A4A"/>
          <w:sz w:val="22"/>
          <w:szCs w:val="22"/>
        </w:rPr>
        <w:t xml:space="preserve">3.1.d Bill Exposure: </w:t>
      </w:r>
      <w:r>
        <w:rPr>
          <w:rFonts w:ascii="Times New Roman" w:cs="Times New Roman" w:eastAsia="Times New Roman" w:hAnsi="Times New Roman"/>
          <w:color w:val="000000"/>
          <w:sz w:val="22"/>
          <w:szCs w:val="22"/>
        </w:rPr>
        <w:t xml:space="preserve">The House must publish every bill in full on the National Record System for a minimum period the Legislature defines by statute before a final vote.</w:t>
      </w:r>
    </w:p>
    <w:p>
      <w:pPr>
        <w:spacing w:after="60" w:before="60" w:line="280" w:lineRule="auto"/>
        <w:jc w:val="both"/>
      </w:pPr>
      <w:r>
        <w:rPr>
          <w:rFonts w:ascii="Times New Roman" w:cs="Times New Roman" w:eastAsia="Times New Roman" w:hAnsi="Times New Roman"/>
          <w:b/>
          <w:bCs/>
          <w:color w:val="1B2A4A"/>
          <w:sz w:val="22"/>
          <w:szCs w:val="22"/>
        </w:rPr>
        <w:t xml:space="preserve">3.1.e Caretaker Activation and PM Formation: </w:t>
      </w:r>
      <w:r>
        <w:rPr>
          <w:rFonts w:ascii="Times New Roman" w:cs="Times New Roman" w:eastAsia="Times New Roman" w:hAnsi="Times New Roman"/>
          <w:color w:val="000000"/>
          <w:sz w:val="22"/>
          <w:szCs w:val="22"/>
        </w:rPr>
        <w:t xml:space="preserve">Failure to seat a PM within the statutory period defined under §2.3.a activates the Caretaker Protocol under §2.3.c. The House continues in session and retains the ability to seat a PM at any time. The LI publishes weekly accountability reports naming each member's participation record, as provided in §2.3.a.</w:t>
      </w:r>
    </w:p>
    <w:p>
      <w:pPr>
        <w:spacing w:after="60" w:before="60" w:line="280" w:lineRule="auto"/>
        <w:jc w:val="both"/>
      </w:pPr>
      <w:r>
        <w:rPr>
          <w:rFonts w:ascii="Times New Roman" w:cs="Times New Roman" w:eastAsia="Times New Roman" w:hAnsi="Times New Roman"/>
          <w:b/>
          <w:bCs/>
          <w:color w:val="1B2A4A"/>
          <w:sz w:val="22"/>
          <w:szCs w:val="22"/>
        </w:rPr>
        <w:t xml:space="preserve">3.1.f House Term Limits: </w:t>
      </w:r>
      <w:r>
        <w:rPr>
          <w:rFonts w:ascii="Times New Roman" w:cs="Times New Roman" w:eastAsia="Times New Roman" w:hAnsi="Times New Roman"/>
          <w:color w:val="1B2A4A"/>
          <w:sz w:val="22"/>
          <w:szCs w:val="22"/>
        </w:rPr>
        <w:t>No person may serve more than six consecutive 2-year terms in the House of the Legislature — a maximum of 12 consecutive years. After six consecutive terms, the member must sit out one full House electoral cycle (2 years) before standing for the House again. The cooling-off period runs from the date the sixth consecutive term expires, regardless of whether that term was completed or cut short by resignation, recall, or expulsion. After the mandatory cooling-off period, the member is again eligible with no further cumulative lifetime restriction. A partial term served following a mid-term vacancy appointment or special election counts as a full consecutive term for purposes of this limit. The constructive vote provisions of §2.3 operate independently of this term limit. A member who reaches the 6-term limit and whose cooling-off period coincides with a caretaker period serves the term-limit cooling-off from the later start date.</w:t>
      </w:r>
      <w:r>
        <w:rPr>
          <w:rFonts w:ascii="Times New Roman" w:cs="Times New Roman" w:eastAsia="Times New Roman" w:hAnsi="Times New Roman"/>
          <w:color w:val="000000"/>
          <w:sz w:val="22"/>
          <w:szCs w:val="22"/>
        </w:rPr>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3.2 — The Senate</w:t>
      </w:r>
    </w:p>
    <w:p>
      <w:pPr>
        <w:spacing w:after="60" w:before="60" w:line="280" w:lineRule="auto"/>
        <w:jc w:val="both"/>
      </w:pPr>
      <w:r>
        <w:rPr>
          <w:rFonts w:ascii="Times New Roman" w:cs="Times New Roman" w:eastAsia="Times New Roman" w:hAnsi="Times New Roman"/>
          <w:color w:val="000000"/>
          <w:sz w:val="22"/>
          <w:szCs w:val="22"/>
        </w:rPr>
        <w:t xml:space="preserve">The Senate represents the States. Each State sends two Senators elected statewide for staggered 6-year terms. The Speaker of the Senate is the presiding officer and first in the presidential line of succession.</w:t>
      </w:r>
    </w:p>
    <w:p>
      <w:pPr>
        <w:spacing w:after="60" w:before="60" w:line="280" w:lineRule="auto"/>
        <w:jc w:val="both"/>
      </w:pPr>
      <w:r>
        <w:rPr>
          <w:rFonts w:ascii="Times New Roman" w:cs="Times New Roman" w:eastAsia="Times New Roman" w:hAnsi="Times New Roman"/>
          <w:b/>
          <w:bCs/>
          <w:color w:val="1B2A4A"/>
          <w:sz w:val="22"/>
          <w:szCs w:val="22"/>
        </w:rPr>
        <w:t xml:space="preserve">3.2.a Senator Terms and Limits: </w:t>
      </w:r>
      <w:r>
        <w:rPr>
          <w:rFonts w:ascii="Times New Roman" w:cs="Times New Roman" w:eastAsia="Times New Roman" w:hAnsi="Times New Roman"/>
          <w:color w:val="000000"/>
          <w:sz w:val="22"/>
          <w:szCs w:val="22"/>
        </w:rPr>
        <w:t xml:space="preserve">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line="280" w:lineRule="auto"/>
        <w:jc w:val="both"/>
      </w:pPr>
      <w:r>
        <w:rPr>
          <w:rFonts w:ascii="Times New Roman" w:cs="Times New Roman" w:eastAsia="Times New Roman" w:hAnsi="Times New Roman"/>
          <w:b/>
          <w:bCs/>
          <w:color w:val="1B2A4A"/>
          <w:sz w:val="22"/>
          <w:szCs w:val="22"/>
        </w:rPr>
        <w:t xml:space="preserve">3.2.b Senate Speaker Role Limit: </w:t>
      </w:r>
      <w:r>
        <w:rPr>
          <w:rFonts w:ascii="Times New Roman" w:cs="Times New Roman" w:eastAsia="Times New Roman" w:hAnsi="Times New Roman"/>
          <w:color w:val="000000"/>
          <w:sz w:val="22"/>
          <w:szCs w:val="22"/>
        </w:rPr>
        <w:t xml:space="preserve">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line="280" w:lineRule="auto"/>
        <w:jc w:val="both"/>
      </w:pPr>
      <w:r>
        <w:rPr>
          <w:rFonts w:ascii="Times New Roman" w:cs="Times New Roman" w:eastAsia="Times New Roman" w:hAnsi="Times New Roman"/>
          <w:b/>
          <w:bCs/>
          <w:color w:val="1B2A4A"/>
          <w:sz w:val="22"/>
          <w:szCs w:val="22"/>
        </w:rPr>
        <w:t xml:space="preserve">3.2.c Senate Must Act on Every House Bill: </w:t>
      </w:r>
      <w:r>
        <w:rPr>
          <w:rFonts w:ascii="Times New Roman" w:cs="Times New Roman" w:eastAsia="Times New Roman" w:hAnsi="Times New Roman"/>
          <w:color w:val="000000"/>
          <w:sz w:val="22"/>
          <w:szCs w:val="22"/>
        </w:rPr>
        <w:t xml:space="preserve">The Senate must take up every House-passed bill within a period the Legislature defines by statute. If the Senate fails to act within this period, the bill is Deemed Approved and automatically passed to the executive review process.</w:t>
      </w:r>
    </w:p>
    <w:p>
      <w:pPr>
        <w:spacing w:after="60" w:before="60" w:line="280" w:lineRule="auto"/>
        <w:jc w:val="both"/>
      </w:pPr>
      <w:r>
        <w:rPr>
          <w:rFonts w:ascii="Times New Roman" w:cs="Times New Roman" w:eastAsia="Times New Roman" w:hAnsi="Times New Roman"/>
          <w:b/>
          <w:bCs/>
          <w:color w:val="1B2A4A"/>
          <w:sz w:val="22"/>
          <w:szCs w:val="22"/>
        </w:rPr>
        <w:t xml:space="preserve">3.2.d Judicial Confirmation: </w:t>
      </w:r>
      <w:r>
        <w:rPr>
          <w:rFonts w:ascii="Times New Roman" w:cs="Times New Roman" w:eastAsia="Times New Roman" w:hAnsi="Times New Roman"/>
          <w:color w:val="000000"/>
          <w:sz w:val="22"/>
          <w:szCs w:val="22"/>
        </w:rPr>
        <w:t xml:space="preserve">The Senate confirms judicial appointments by a supermajority the Legislature defines by statute — not less than 55% and not more than 67% of full Senate membership — within a period the Legislature defines. Failure to vote within that period results in the nominee being Deemed Confirmed.</w:t>
      </w:r>
    </w:p>
    <w:p>
      <w:pPr>
        <w:spacing w:after="60" w:before="60" w:line="280" w:lineRule="auto"/>
        <w:jc w:val="both"/>
      </w:pPr>
      <w:r>
        <w:rPr>
          <w:rFonts w:ascii="Times New Roman" w:cs="Times New Roman" w:eastAsia="Times New Roman" w:hAnsi="Times New Roman"/>
          <w:b/>
          <w:bCs/>
          <w:color w:val="1B2A4A"/>
          <w:sz w:val="22"/>
          <w:szCs w:val="22"/>
        </w:rPr>
        <w:t xml:space="preserve">3.2.e Treaty Ratification: </w:t>
      </w:r>
      <w:r>
        <w:rPr>
          <w:rFonts w:ascii="Times New Roman" w:cs="Times New Roman" w:eastAsia="Times New Roman" w:hAnsi="Times New Roman"/>
          <w:color w:val="000000"/>
          <w:sz w:val="22"/>
          <w:szCs w:val="22"/>
        </w:rPr>
        <w:t xml:space="preserve">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 This transparency requirement ensures treaty obligations are entered honestly and enforced consistently.</w:t>
      </w:r>
    </w:p>
    <w:p>
      <w:pPr>
        <w:spacing w:after="60" w:before="60" w:line="280" w:lineRule="auto"/>
        <w:jc w:val="both"/>
      </w:pPr>
      <w:r>
        <w:rPr>
          <w:rFonts w:ascii="Times New Roman" w:cs="Times New Roman" w:eastAsia="Times New Roman" w:hAnsi="Times New Roman"/>
          <w:color w:val="000000"/>
          <w:sz w:val="22"/>
          <w:szCs w:val="22"/>
        </w:rPr>
        <w:t xml:space="preserve">3.2.e.i Treaty Domestic Application: A ratified treaty is binding on the Republic as a matter of international obligation from the date of Senate ratification. Its provisions are directly applicable in domestic courts as federal law from the same date, unless: (a) the treaty expressly states that implementing legislation is required before domestic application; or (b) the treaty's operative provisions are insufficiently definite to be applied by courts without further legislative specification. The Legislature must by statute establish a treaty implementation framework within two years of Phase 4 activation. The framework may designate specific treaty categories or individual treaties as requiring implementing legislation before domestic courts may apply them. In the absence of a Legislature determination that a specific treaty requires implementing legislation, courts apply the treaty directly as federal law. A Legislature determination that a treaty requires implementing legislation is not itself subject to presidential veto — it is a legislative act governing the domestic legal order, not a policy objection within the President's domain.</w:t>
      </w:r>
    </w:p>
    <w:p>
      <w:pPr>
        <w:spacing w:after="60" w:before="60" w:line="280" w:lineRule="auto"/>
        <w:jc w:val="both"/>
      </w:pPr>
      <w:r>
        <w:rPr>
          <w:rFonts w:ascii="Times New Roman" w:cs="Times New Roman" w:eastAsia="Times New Roman" w:hAnsi="Times New Roman"/>
          <w:color w:val="000000"/>
          <w:sz w:val="22"/>
          <w:szCs w:val="22"/>
        </w:rPr>
        <w:t xml:space="preserve">3.2.e.ii Treaty Withdrawal: The President may initiate withdrawal from any ratified treaty by publishing a formal notice of withdrawal to the National Record System, specifying the treaty, the effective withdrawal date, and the grounds for withdrawal. The earliest permissible effective withdrawal date is six months from the date of NRS publication. The President must notify treaty partners through appropriate diplomatic channels simultaneously with NRS publication. Withdrawal operates differently for different treaty categories:</w:t>
      </w:r>
    </w:p>
    <w:p>
      <w:pPr>
        <w:spacing w:after="60" w:before="60" w:line="280" w:lineRule="auto"/>
        <w:jc w:val="both"/>
      </w:pPr>
      <w:r>
        <w:rPr>
          <w:rFonts w:ascii="Times New Roman" w:cs="Times New Roman" w:eastAsia="Times New Roman" w:hAnsi="Times New Roman"/>
          <w:color w:val="000000"/>
          <w:sz w:val="22"/>
          <w:szCs w:val="22"/>
        </w:rPr>
        <w:t xml:space="preserve">(a) General treaties — During the six-month notice period, the Senate may block withdrawal by a simple majority vote of full seated membership. A Senate block is published to the NRS and is final — withdrawal does not take effect and a new withdrawal notice may not be filed on the same treaty within one year of the block. Where the Senate does not vote to block within the six-month period, withdrawal takes effect automatically on the effective date.</w:t>
      </w:r>
    </w:p>
    <w:p>
      <w:pPr>
        <w:spacing w:after="60" w:before="60" w:line="280" w:lineRule="auto"/>
        <w:jc w:val="both"/>
      </w:pPr>
      <w:r>
        <w:rPr>
          <w:rFonts w:ascii="Times New Roman" w:cs="Times New Roman" w:eastAsia="Times New Roman" w:hAnsi="Times New Roman"/>
          <w:color w:val="000000"/>
          <w:sz w:val="22"/>
          <w:szCs w:val="22"/>
        </w:rPr>
        <w:t xml:space="preserve">(b) Mutual defense treaties — During the six-month notice period, the Senate must affirmatively confirm withdrawal by a simple majority vote of full seated membership before withdrawal takes effect. Where the Senate has not confirmed withdrawal within six months of the notice, withdrawal does not take effect and the treaty remains in force. The President may file a new withdrawal notice after 90 days. Withdrawal from a mutual defense treaty may not be initiated while the Republic is engaged in active Tier 2 or Tier 3 military operations under that treaty's obligations.</w:t>
      </w:r>
    </w:p>
    <w:p>
      <w:pPr>
        <w:spacing w:after="60" w:before="60" w:line="280" w:lineRule="auto"/>
        <w:jc w:val="both"/>
      </w:pPr>
      <w:r>
        <w:rPr>
          <w:rFonts w:ascii="Times New Roman" w:cs="Times New Roman" w:eastAsia="Times New Roman" w:hAnsi="Times New Roman"/>
          <w:color w:val="000000"/>
          <w:sz w:val="22"/>
          <w:szCs w:val="22"/>
        </w:rPr>
        <w:t xml:space="preserve">(c) Indigenous treaties — No treaty with an indigenous nation recognized under Article XIV may be withdrawn, abrogated, or unilaterally modified by the President or any other Republic authority. Article XIV governs all indigenous treaty obligations and this provision does not alter them.</w:t>
      </w:r>
    </w:p>
    <w:p>
      <w:pPr>
        <w:spacing w:after="60" w:before="60" w:line="280" w:lineRule="auto"/>
        <w:jc w:val="both"/>
      </w:pPr>
      <w:r>
        <w:rPr>
          <w:rFonts w:ascii="Times New Roman" w:cs="Times New Roman" w:eastAsia="Times New Roman" w:hAnsi="Times New Roman"/>
          <w:color w:val="000000"/>
          <w:sz w:val="22"/>
          <w:szCs w:val="22"/>
        </w:rPr>
        <w:t xml:space="preserve">(d) All withdrawal notices, Senate blocking votes, Senate confirmation votes, and withdrawal completion dates are published to the National Record System and constitute permanent entries in the Republic's constitutional record.</w:t>
      </w:r>
    </w:p>
    <w:p>
      <w:pPr>
        <w:spacing w:after="60" w:before="60" w:line="280" w:lineRule="auto"/>
        <w:jc w:val="both"/>
      </w:pPr>
      <w:r>
        <w:rPr>
          <w:rFonts w:ascii="Times New Roman" w:cs="Times New Roman" w:eastAsia="Times New Roman" w:hAnsi="Times New Roman"/>
          <w:b/>
          <w:bCs/>
          <w:color w:val="1B2A4A"/>
          <w:sz w:val="22"/>
          <w:szCs w:val="22"/>
        </w:rPr>
        <w:t xml:space="preserve">3.2.f Impeachment Trials: </w:t>
      </w:r>
      <w:r>
        <w:rPr>
          <w:rFonts w:ascii="Times New Roman" w:cs="Times New Roman" w:eastAsia="Times New Roman" w:hAnsi="Times New Roman"/>
          <w:color w:val="000000"/>
          <w:sz w:val="22"/>
          <w:szCs w:val="22"/>
        </w:rPr>
        <w:t xml:space="preserve">The Senate conducts all impeachment trials. Conviction and removal requires a 2/3 Senate vote.</w:t>
      </w:r>
    </w:p>
    <w:p>
      <w:pPr>
        <w:spacing w:after="60" w:before="60" w:line="280" w:lineRule="auto"/>
        <w:jc w:val="both"/>
      </w:pPr>
      <w:r>
        <w:rPr>
          <w:rFonts w:ascii="Times New Roman" w:cs="Times New Roman" w:eastAsia="Times New Roman" w:hAnsi="Times New Roman"/>
          <w:b/>
          <w:bCs/>
          <w:color w:val="1B2A4A"/>
          <w:sz w:val="22"/>
          <w:szCs w:val="22"/>
        </w:rPr>
        <w:t xml:space="preserve">3.2.g Survivor Quorum — Catastrophic Casualty Events: </w:t>
      </w:r>
      <w:r>
        <w:rPr>
          <w:rFonts w:ascii="Times New Roman" w:cs="Times New Roman" w:eastAsia="Times New Roman" w:hAnsi="Times New Roman"/>
          <w:color w:val="000000"/>
          <w:sz w:val="22"/>
          <w:szCs w:val="22"/>
        </w:rPr>
        <w:t xml:space="preserve">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60" w:before="60" w:line="280" w:lineRule="auto"/>
        <w:jc w:val="both"/>
      </w:pPr>
      <w:r>
        <w:rPr>
          <w:rFonts w:ascii="Times New Roman" w:cs="Times New Roman" w:eastAsia="Times New Roman" w:hAnsi="Times New Roman"/>
          <w:b/>
          <w:bCs/>
          <w:color w:val="1B2A4A"/>
          <w:sz w:val="22"/>
          <w:szCs w:val="22"/>
        </w:rPr>
        <w:t xml:space="preserve">3.2.h Senate Speaker Vacancy: </w:t>
      </w:r>
      <w:r>
        <w:rPr>
          <w:rFonts w:ascii="Times New Roman" w:cs="Times New Roman" w:eastAsia="Times New Roman" w:hAnsi="Times New Roman"/>
          <w:color w:val="000000"/>
          <w:sz w:val="22"/>
          <w:szCs w:val="22"/>
        </w:rPr>
        <w:t xml:space="preserve">Upon any vacancy in the Senate Speaker role — whether through death, resignation, expulsion, recall, or term expiration outside a normal session start — the Deputy Speaker assumes the Senate Speaker's role in the presidential succession line under §2.6.a immediately and without further vote. The Senate must elect a new Speaker within 72 hours of the vacancy arising. If the Senate cannot convene within 72 hours due to a catastrophic external event qualifying under §3.2.g,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spacing w:after="60" w:before="60" w:line="280" w:lineRule="auto"/>
        <w:jc w:val="both"/>
      </w:pPr>
      <w:r>
        <w:rPr>
          <w:rFonts w:ascii="Times New Roman" w:cs="Times New Roman" w:eastAsia="Times New Roman" w:hAnsi="Times New Roman"/>
          <w:b/>
          <w:bCs/>
          <w:color w:val="1B2A4A"/>
          <w:sz w:val="22"/>
          <w:szCs w:val="22"/>
        </w:rPr>
        <w:t xml:space="preserve">3.2.i Senate Amendment Authority: </w:t>
      </w:r>
      <w:r>
        <w:rPr>
          <w:rFonts w:ascii="Times New Roman" w:cs="Times New Roman" w:eastAsia="Times New Roman" w:hAnsi="Times New Roman"/>
          <w:color w:val="000000"/>
          <w:sz w:val="22"/>
          <w:szCs w:val="22"/>
        </w:rPr>
        <w:t xml:space="preserve">The Senate's review of a House-passed bill extends to proposing amendments. Senate amendments must be germane — limited to the subject matter, purposes, and appropriations present in the bill as passed by the House. The Senate may not introduce new subject matter, new appropriations, or purposes not present in the original bill. Where the Senate approves a bill with amendments, the amended bill is returned to the House. The House must act within a period the Legislature defines by statute: it may accept the Senate amendments by simple majority, whereupon the bill as amended proceeds to the Legislative Review Period under §2.5; or it may reject the Senate amendments, whereupon the Senate must within a further statutory period either approve the original bill or allow it to fail. No further rounds of amendment are permitted in that session once the House has rejected Senate amendments. The Deemed Approval period of §3.2.c is suspended from the date the Senate returns an amended bill to the House until the date the House acts. The Legislative Inspectorate shall publish a germaneness analysis to the National Record System for any bill returned to the House with Senate amendments, assessing whether those amendments conform to the subject matter of the original bill. The Prime Minister must give the Legislative Inspectorate's germaneness analysis due consideration before acting on the bill during the Legislative Review Period under §2.5. All versions of a bill — as passed by the House, as amended by the Senate, and as finally agreed — are recorded on the National Record System with the signature of the presiding officer of the relevant chamber.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3.3 — The Life Cycle of a Law</w:t>
      </w:r>
    </w:p>
    <w:p>
      <w:pPr>
        <w:spacing w:after="60" w:before="60" w:line="280" w:lineRule="auto"/>
        <w:jc w:val="both"/>
      </w:pPr>
      <w:r>
        <w:rPr>
          <w:rFonts w:ascii="Times New Roman" w:cs="Times New Roman" w:eastAsia="Times New Roman" w:hAnsi="Times New Roman"/>
          <w:b/>
          <w:bCs/>
          <w:color w:val="1B2A4A"/>
          <w:sz w:val="22"/>
          <w:szCs w:val="22"/>
        </w:rPr>
        <w:t xml:space="preserve">3.3.a Legislative Mandate Enforcement: </w:t>
      </w:r>
      <w:r>
        <w:rPr>
          <w:rFonts w:ascii="Times New Roman" w:cs="Times New Roman" w:eastAsia="Times New Roman" w:hAnsi="Times New Roman"/>
          <w:color w:val="000000"/>
          <w:sz w:val="22"/>
          <w:szCs w:val="22"/>
        </w:rPr>
        <w:t xml:space="preserve">If the Legislature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spacing w:after="60" w:before="60" w:line="280" w:lineRule="auto"/>
        <w:jc w:val="both"/>
      </w:pPr>
      <w:r>
        <w:rPr>
          <w:rFonts w:ascii="Times New Roman" w:cs="Times New Roman" w:eastAsia="Times New Roman" w:hAnsi="Times New Roman"/>
          <w:b/>
          <w:bCs/>
          <w:color w:val="1B2A4A"/>
          <w:sz w:val="22"/>
          <w:szCs w:val="22"/>
        </w:rPr>
        <w:t xml:space="preserve">3.3.b Standard Passage: </w:t>
      </w:r>
      <w:r>
        <w:rPr>
          <w:rFonts w:ascii="Times New Roman" w:cs="Times New Roman" w:eastAsia="Times New Roman" w:hAnsi="Times New Roman"/>
          <w:color w:val="000000"/>
          <w:sz w:val="22"/>
          <w:szCs w:val="22"/>
        </w:rPr>
        <w:t xml:space="preserve">Bills pass by simple majority in both chambers, subject to the Legislative Review Period (§2.5).</w:t>
      </w:r>
    </w:p>
    <w:p>
      <w:pPr>
        <w:spacing w:after="60" w:before="60" w:line="280" w:lineRule="auto"/>
        <w:jc w:val="both"/>
      </w:pPr>
      <w:r>
        <w:rPr>
          <w:rFonts w:ascii="Times New Roman" w:cs="Times New Roman" w:eastAsia="Times New Roman" w:hAnsi="Times New Roman"/>
          <w:b/>
          <w:bCs/>
          <w:color w:val="1B2A4A"/>
          <w:sz w:val="22"/>
          <w:szCs w:val="22"/>
        </w:rPr>
        <w:t xml:space="preserve">3.3.c Presidential Veto Override: </w:t>
      </w:r>
      <w:r>
        <w:rPr>
          <w:rFonts w:ascii="Times New Roman" w:cs="Times New Roman" w:eastAsia="Times New Roman" w:hAnsi="Times New Roman"/>
          <w:color w:val="000000"/>
          <w:sz w:val="22"/>
          <w:szCs w:val="22"/>
        </w:rPr>
        <w:t xml:space="preserve">A Presidential Veto requires a 2/3 vote in both chambers simultaneously to override.</w:t>
      </w:r>
    </w:p>
    <w:p>
      <w:pPr>
        <w:spacing w:after="60" w:before="60" w:line="280" w:lineRule="auto"/>
        <w:jc w:val="both"/>
      </w:pPr>
      <w:r>
        <w:rPr>
          <w:rFonts w:ascii="Times New Roman" w:cs="Times New Roman" w:eastAsia="Times New Roman" w:hAnsi="Times New Roman"/>
          <w:b/>
          <w:bCs/>
          <w:color w:val="1B2A4A"/>
          <w:sz w:val="22"/>
          <w:szCs w:val="22"/>
        </w:rPr>
        <w:t xml:space="preserve">3.3.d Record System Entry: </w:t>
      </w:r>
      <w:r>
        <w:rPr>
          <w:rFonts w:ascii="Times New Roman" w:cs="Times New Roman" w:eastAsia="Times New Roman" w:hAnsi="Times New Roman"/>
          <w:color w:val="000000"/>
          <w:sz w:val="22"/>
          <w:szCs w:val="22"/>
        </w:rPr>
        <w:t xml:space="preserve">The presiding officer of each chamber digitally signs each enacted law and records it on the National Record System with a timestamp.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3.4 — Electoral Districts</w:t>
      </w:r>
    </w:p>
    <w:p>
      <w:pPr>
        <w:spacing w:after="60" w:before="60" w:line="280" w:lineRule="auto"/>
        <w:jc w:val="both"/>
      </w:pPr>
      <w:r>
        <w:rPr>
          <w:rFonts w:ascii="Times New Roman" w:cs="Times New Roman" w:eastAsia="Times New Roman" w:hAnsi="Times New Roman"/>
          <w:color w:val="000000"/>
          <w:sz w:val="22"/>
          <w:szCs w:val="22"/>
        </w:rPr>
        <w:t xml:space="preserve">Districts are redrawn on the census cycle the Legislature defines under §3.4.g, concurrent with the Legislative Inspectorate's population census</w:t>
      </w:r>
    </w:p>
    <w:p>
      <w:pPr>
        <w:spacing w:after="60" w:before="60" w:line="280" w:lineRule="auto"/>
        <w:jc w:val="both"/>
      </w:pPr>
      <w:r>
        <w:rPr>
          <w:rFonts w:ascii="Times New Roman" w:cs="Times New Roman" w:eastAsia="Times New Roman" w:hAnsi="Times New Roman"/>
          <w:b/>
          <w:bCs/>
          <w:color w:val="1B2A4A"/>
          <w:sz w:val="22"/>
          <w:szCs w:val="22"/>
        </w:rPr>
        <w:t xml:space="preserve">3.4.a Criteria Hierarchy: </w:t>
      </w:r>
      <w:r>
        <w:rPr>
          <w:rFonts w:ascii="Times New Roman" w:cs="Times New Roman" w:eastAsia="Times New Roman" w:hAnsi="Times New Roman"/>
          <w:color w:val="000000"/>
          <w:sz w:val="22"/>
          <w:szCs w:val="22"/>
        </w:rPr>
        <w:t xml:space="preserve">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line="280" w:lineRule="auto"/>
        <w:jc w:val="both"/>
      </w:pPr>
      <w:r>
        <w:rPr>
          <w:rFonts w:ascii="Times New Roman" w:cs="Times New Roman" w:eastAsia="Times New Roman" w:hAnsi="Times New Roman"/>
          <w:b/>
          <w:bCs/>
          <w:color w:val="1B2A4A"/>
          <w:sz w:val="22"/>
          <w:szCs w:val="22"/>
        </w:rPr>
        <w:t xml:space="preserve">3.4.b Prohibited Inputs: </w:t>
      </w:r>
      <w:r>
        <w:rPr>
          <w:rFonts w:ascii="Times New Roman" w:cs="Times New Roman" w:eastAsia="Times New Roman" w:hAnsi="Times New Roman"/>
          <w:color w:val="000000"/>
          <w:sz w:val="22"/>
          <w:szCs w:val="22"/>
        </w:rPr>
        <w:t xml:space="preserve">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is reported to the National Record System by the relevant Inspectorate.</w:t>
      </w:r>
    </w:p>
    <w:p>
      <w:pPr>
        <w:spacing w:after="60" w:before="60" w:line="280" w:lineRule="auto"/>
        <w:jc w:val="both"/>
      </w:pPr>
      <w:r>
        <w:rPr>
          <w:rFonts w:ascii="Times New Roman" w:cs="Times New Roman" w:eastAsia="Times New Roman" w:hAnsi="Times New Roman"/>
          <w:b/>
          <w:bCs/>
          <w:color w:val="1B2A4A"/>
          <w:sz w:val="22"/>
          <w:szCs w:val="22"/>
        </w:rPr>
        <w:t xml:space="preserve">3.4.c Drawing Authority — States: </w:t>
      </w:r>
      <w:r>
        <w:rPr>
          <w:rFonts w:ascii="Times New Roman" w:cs="Times New Roman" w:eastAsia="Times New Roman" w:hAnsi="Times New Roman"/>
          <w:color w:val="000000"/>
          <w:sz w:val="22"/>
          <w:szCs w:val="22"/>
        </w:rPr>
        <w:t xml:space="preserve">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the Legislature defines.</w:t>
      </w:r>
    </w:p>
    <w:p>
      <w:pPr>
        <w:spacing w:after="60" w:before="60" w:line="280" w:lineRule="auto"/>
        <w:jc w:val="both"/>
      </w:pPr>
      <w:r>
        <w:rPr>
          <w:rFonts w:ascii="Times New Roman" w:cs="Times New Roman" w:eastAsia="Times New Roman" w:hAnsi="Times New Roman"/>
          <w:b/>
          <w:bCs/>
          <w:color w:val="1B2A4A"/>
          <w:sz w:val="22"/>
          <w:szCs w:val="22"/>
        </w:rPr>
        <w:t xml:space="preserve">3.4.d Drawing Authority — Federal Territories: </w:t>
      </w:r>
      <w:r>
        <w:rPr>
          <w:rFonts w:ascii="Times New Roman" w:cs="Times New Roman" w:eastAsia="Times New Roman" w:hAnsi="Times New Roman"/>
          <w:color w:val="000000"/>
          <w:sz w:val="22"/>
          <w:szCs w:val="22"/>
        </w:rPr>
        <w:t xml:space="preserve">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line="280" w:lineRule="auto"/>
        <w:jc w:val="both"/>
      </w:pPr>
      <w:r>
        <w:rPr>
          <w:rFonts w:ascii="Times New Roman" w:cs="Times New Roman" w:eastAsia="Times New Roman" w:hAnsi="Times New Roman"/>
          <w:b/>
          <w:bCs/>
          <w:color w:val="1B2A4A"/>
          <w:sz w:val="22"/>
          <w:szCs w:val="22"/>
        </w:rPr>
        <w:t xml:space="preserve">3.4.e National Compliance Review: </w:t>
      </w:r>
      <w:r>
        <w:rPr>
          <w:rFonts w:ascii="Times New Roman" w:cs="Times New Roman" w:eastAsia="Times New Roman" w:hAnsi="Times New Roman"/>
          <w:color w:val="000000"/>
          <w:sz w:val="22"/>
          <w:szCs w:val="22"/>
        </w:rPr>
        <w:t xml:space="preserve">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3.4.f Court Adjudication: </w:t>
      </w:r>
      <w:r>
        <w:rPr>
          <w:rFonts w:ascii="Times New Roman" w:cs="Times New Roman" w:eastAsia="Times New Roman" w:hAnsi="Times New Roman"/>
          <w:color w:val="000000"/>
          <w:sz w:val="22"/>
          <w:szCs w:val="22"/>
        </w:rPr>
        <w:t xml:space="preserve">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line="280" w:lineRule="auto"/>
        <w:jc w:val="both"/>
      </w:pPr>
      <w:r>
        <w:rPr>
          <w:rFonts w:ascii="Times New Roman" w:cs="Times New Roman" w:eastAsia="Times New Roman" w:hAnsi="Times New Roman"/>
          <w:b/>
          <w:bCs/>
          <w:color w:val="1B2A4A"/>
          <w:sz w:val="22"/>
          <w:szCs w:val="22"/>
        </w:rPr>
        <w:t xml:space="preserve">3.4.g Continuity: </w:t>
      </w:r>
      <w:r>
        <w:rPr>
          <w:rFonts w:ascii="Times New Roman" w:cs="Times New Roman" w:eastAsia="Times New Roman" w:hAnsi="Times New Roman"/>
          <w:color w:val="000000"/>
          <w:sz w:val="22"/>
          <w:szCs w:val="22"/>
        </w:rPr>
        <w:t xml:space="preserve">A valid district map remains in effect until the next census cycle. the Legislature defines the census cycle period by statute, not to exceed 10 years.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3.5 — Impeachment Initiation (House-Originated)</w:t>
      </w:r>
    </w:p>
    <w:p>
      <w:pPr>
        <w:spacing w:after="60" w:before="60" w:line="280" w:lineRule="auto"/>
        <w:jc w:val="both"/>
      </w:pPr>
      <w:r>
        <w:rPr>
          <w:rFonts w:ascii="Times New Roman" w:cs="Times New Roman" w:eastAsia="Times New Roman" w:hAnsi="Times New Roman"/>
          <w:color w:val="000000"/>
          <w:sz w:val="22"/>
          <w:szCs w:val="22"/>
        </w:rPr>
        <w:t xml:space="preserve">This section governs the political impeachment track — initiated by the House and distinct from the Inspectorate reporting and political accountability mechanisms. This section applies to: officers appointed by and serving in the President's executive domain — including intelligence directors, senior diplomatic officers, and military commanders serving in civilian advisory capacities — and to inferior court judges. The President is not subject to this section — presidential removal is governed exclusively by §2.10. The Prime Minister is not subject to this section — PM removal is governed exclusively by the constructive no-confidence mechanism of §2.3.b. Supreme Court justices are not subject to this section — SC removal is governed exclusively by §4.1.c. Legislative members of the House and Senate are not subject to this section — their removal is governed exclusively by §3.6.</w:t>
      </w:r>
    </w:p>
    <w:p>
      <w:pPr>
        <w:spacing w:after="60" w:before="60" w:line="280" w:lineRule="auto"/>
        <w:jc w:val="both"/>
      </w:pPr>
      <w:r>
        <w:rPr>
          <w:rFonts w:ascii="Times New Roman" w:cs="Times New Roman" w:eastAsia="Times New Roman" w:hAnsi="Times New Roman"/>
          <w:b/>
          <w:bCs/>
          <w:color w:val="1B2A4A"/>
          <w:sz w:val="22"/>
          <w:szCs w:val="22"/>
        </w:rPr>
        <w:t xml:space="preserve">3.5.a Impeachment Inquiry: </w:t>
      </w:r>
      <w:r>
        <w:rPr>
          <w:rFonts w:ascii="Times New Roman" w:cs="Times New Roman" w:eastAsia="Times New Roman" w:hAnsi="Times New Roman"/>
          <w:color w:val="000000"/>
          <w:sz w:val="22"/>
          <w:szCs w:val="22"/>
        </w:rPr>
        <w:t xml:space="preserve">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line="280" w:lineRule="auto"/>
        <w:jc w:val="both"/>
      </w:pPr>
      <w:r>
        <w:rPr>
          <w:rFonts w:ascii="Times New Roman" w:cs="Times New Roman" w:eastAsia="Times New Roman" w:hAnsi="Times New Roman"/>
          <w:b/>
          <w:bCs/>
          <w:color w:val="1B2A4A"/>
          <w:sz w:val="22"/>
          <w:szCs w:val="22"/>
        </w:rPr>
        <w:t xml:space="preserve">3.5.b Articles of Impeachment: </w:t>
      </w:r>
      <w:r>
        <w:rPr>
          <w:rFonts w:ascii="Times New Roman" w:cs="Times New Roman" w:eastAsia="Times New Roman" w:hAnsi="Times New Roman"/>
          <w:color w:val="000000"/>
          <w:sz w:val="22"/>
          <w:szCs w:val="22"/>
        </w:rPr>
        <w:t xml:space="preserve">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upon the chamber's own constitutional processes, not upon Inspectorate findings alone. Where impeachment and Inspectorate findings coincide, both processes proceed concurrently on their respective tracks status. The two tracks proceed independently and the more restrictive consequence applies.</w:t>
      </w:r>
    </w:p>
    <w:p>
      <w:pPr>
        <w:spacing w:after="60" w:before="60" w:line="280" w:lineRule="auto"/>
        <w:jc w:val="both"/>
      </w:pPr>
      <w:r>
        <w:rPr>
          <w:rFonts w:ascii="Times New Roman" w:cs="Times New Roman" w:eastAsia="Times New Roman" w:hAnsi="Times New Roman"/>
          <w:b/>
          <w:bCs/>
          <w:color w:val="1B2A4A"/>
          <w:sz w:val="22"/>
          <w:szCs w:val="22"/>
        </w:rPr>
        <w:t xml:space="preserve">3.5.c Senate Trial: </w:t>
      </w:r>
      <w:r>
        <w:rPr>
          <w:rFonts w:ascii="Times New Roman" w:cs="Times New Roman" w:eastAsia="Times New Roman" w:hAnsi="Times New Roman"/>
          <w:color w:val="000000"/>
          <w:sz w:val="22"/>
          <w:szCs w:val="22"/>
        </w:rPr>
        <w:t xml:space="preserve">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line="280" w:lineRule="auto"/>
        <w:jc w:val="both"/>
      </w:pPr>
      <w:r>
        <w:rPr>
          <w:rFonts w:ascii="Times New Roman" w:cs="Times New Roman" w:eastAsia="Times New Roman" w:hAnsi="Times New Roman"/>
          <w:b/>
          <w:bCs/>
          <w:color w:val="1B2A4A"/>
          <w:sz w:val="22"/>
          <w:szCs w:val="22"/>
        </w:rPr>
        <w:t xml:space="preserve">3.5.d Executive Continuity During Impeachment: </w:t>
      </w:r>
      <w:r>
        <w:rPr>
          <w:rFonts w:ascii="Times New Roman" w:cs="Times New Roman" w:eastAsia="Times New Roman" w:hAnsi="Times New Roman"/>
          <w:color w:val="000000"/>
          <w:sz w:val="22"/>
          <w:szCs w:val="22"/>
        </w:rPr>
        <w:t xml:space="preserve">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3.6 — Legislative Expulsion by Peers</w:t>
      </w:r>
    </w:p>
    <w:p>
      <w:pPr>
        <w:spacing w:after="60" w:before="60" w:line="280" w:lineRule="auto"/>
        <w:jc w:val="both"/>
      </w:pPr>
      <w:r>
        <w:rPr>
          <w:rFonts w:ascii="Times New Roman" w:cs="Times New Roman" w:eastAsia="Times New Roman" w:hAnsi="Times New Roman"/>
          <w:color w:val="000000"/>
          <w:sz w:val="22"/>
          <w:szCs w:val="22"/>
        </w:rPr>
        <w:t xml:space="preserve">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line="280" w:lineRule="auto"/>
        <w:jc w:val="both"/>
      </w:pPr>
      <w:r>
        <w:rPr>
          <w:rFonts w:ascii="Times New Roman" w:cs="Times New Roman" w:eastAsia="Times New Roman" w:hAnsi="Times New Roman"/>
          <w:b/>
          <w:bCs/>
          <w:color w:val="1B2A4A"/>
          <w:sz w:val="22"/>
          <w:szCs w:val="22"/>
        </w:rPr>
        <w:t xml:space="preserve">3.6.a House Expulsion: </w:t>
      </w:r>
      <w:r>
        <w:rPr>
          <w:rFonts w:ascii="Times New Roman" w:cs="Times New Roman" w:eastAsia="Times New Roman" w:hAnsi="Times New Roman"/>
          <w:color w:val="000000"/>
          <w:sz w:val="22"/>
          <w:szCs w:val="22"/>
        </w:rPr>
        <w:t xml:space="preserve">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3.6.b Senate Expulsion: </w:t>
      </w:r>
      <w:r>
        <w:rPr>
          <w:rFonts w:ascii="Times New Roman" w:cs="Times New Roman" w:eastAsia="Times New Roman" w:hAnsi="Times New Roman"/>
          <w:color w:val="000000"/>
          <w:sz w:val="22"/>
          <w:szCs w:val="22"/>
        </w:rPr>
        <w:t xml:space="preserve">The Senate may expel any of its members by a 2/3 vote of the full Senate membership, subject to the same published investigation and National Record System publication requirements.</w:t>
      </w:r>
    </w:p>
    <w:p>
      <w:pPr>
        <w:spacing w:after="60" w:before="60" w:line="280" w:lineRule="auto"/>
        <w:jc w:val="both"/>
      </w:pPr>
      <w:r>
        <w:rPr>
          <w:rFonts w:ascii="Times New Roman" w:cs="Times New Roman" w:eastAsia="Times New Roman" w:hAnsi="Times New Roman"/>
          <w:b/>
          <w:bCs/>
          <w:color w:val="1B2A4A"/>
          <w:sz w:val="22"/>
          <w:szCs w:val="22"/>
        </w:rPr>
        <w:t xml:space="preserve">3.6.c Anti-Weaponization Threshold: </w:t>
      </w:r>
      <w:r>
        <w:rPr>
          <w:rFonts w:ascii="Times New Roman" w:cs="Times New Roman" w:eastAsia="Times New Roman" w:hAnsi="Times New Roman"/>
          <w:color w:val="000000"/>
          <w:sz w:val="22"/>
          <w:szCs w:val="22"/>
        </w:rPr>
        <w:t xml:space="preserve">Any expulsion vote that takes effect within 30 days of a vote on a bill or resolution that was published to the National Record System as calendared business at least five days before expulsion proceedings were initiated, and which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line="280" w:lineRule="auto"/>
        <w:jc w:val="both"/>
      </w:pPr>
      <w:r>
        <w:rPr>
          <w:rFonts w:ascii="Times New Roman" w:cs="Times New Roman" w:eastAsia="Times New Roman" w:hAnsi="Times New Roman"/>
          <w:b/>
          <w:bCs/>
          <w:color w:val="1B2A4A"/>
          <w:sz w:val="22"/>
          <w:szCs w:val="22"/>
        </w:rPr>
        <w:t xml:space="preserve">3.6.d Consequences and Restoration: </w:t>
      </w:r>
      <w:r>
        <w:rPr>
          <w:rFonts w:ascii="Times New Roman" w:cs="Times New Roman" w:eastAsia="Times New Roman" w:hAnsi="Times New Roman"/>
          <w:color w:val="000000"/>
          <w:sz w:val="22"/>
          <w:szCs w:val="22"/>
        </w:rPr>
        <w:t xml:space="preserve">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3.6.e Recall Mechanisms — States and Territories: </w:t>
      </w:r>
      <w:r>
        <w:rPr>
          <w:rFonts w:ascii="Times New Roman" w:cs="Times New Roman" w:eastAsia="Times New Roman" w:hAnsi="Times New Roman"/>
          <w:color w:val="000000"/>
          <w:sz w:val="22"/>
          <w:szCs w:val="22"/>
        </w:rPr>
        <w:t xml:space="preserve">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§3.6.d applies if chamber expulsion takes effect first, regardless of any concurrent recall proceeding. The federal government may not restrict or penalise States or Territories for establishing or exercising recall mechanisms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3.6.f Vacancy Filling — States and Territories: </w:t>
      </w:r>
      <w:r>
        <w:rPr>
          <w:rFonts w:ascii="Times New Roman" w:cs="Times New Roman" w:eastAsia="Times New Roman" w:hAnsi="Times New Roman"/>
          <w:color w:val="000000"/>
          <w:sz w:val="22"/>
          <w:szCs w:val="22"/>
        </w:rPr>
        <w:t xml:space="preserve">When a House or Senate seat becomes vacant mid-term through death, resignation, expulsion, or recall, the relevant State or Territory determines the replacement process by its own statute — 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 In the absence of a statute under this section, no federal legislative seat may remain vacant beyond one full legislative session from the date the vacancy arose. The Electoral Commission must initiate the filling process no later than the first day of the session following the vacancy if no statute has been enacted.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3.7 — Statutory Independent Agencies</w:t>
      </w:r>
    </w:p>
    <w:p>
      <w:pPr>
        <w:spacing w:after="60" w:before="60" w:line="280" w:lineRule="auto"/>
        <w:jc w:val="both"/>
      </w:pPr>
      <w:r>
        <w:rPr>
          <w:rFonts w:ascii="Times New Roman" w:cs="Times New Roman" w:eastAsia="Times New Roman" w:hAnsi="Times New Roman"/>
          <w:b/>
          <w:bCs/>
          <w:color w:val="1B2A4A"/>
          <w:sz w:val="22"/>
          <w:szCs w:val="22"/>
        </w:rPr>
        <w:t xml:space="preserve">3.7.a Authorization: </w:t>
      </w:r>
      <w:r>
        <w:rPr>
          <w:rFonts w:ascii="Times New Roman" w:cs="Times New Roman" w:eastAsia="Times New Roman" w:hAnsi="Times New Roman"/>
          <w:color w:val="000000"/>
          <w:sz w:val="22"/>
          <w:szCs w:val="22"/>
        </w:rPr>
        <w:t xml:space="preserve">The Legislature may by statute establish independent agencies exercising regulatory, prosecutorial, or other executive functions and designate their directors as statutory independent officers. A director’s term may not exceed eight years per appointment. The enabling statute governs all other terms of service.</w:t>
      </w:r>
    </w:p>
    <w:p>
      <w:pPr>
        <w:spacing w:after="60" w:before="60" w:line="280" w:lineRule="auto"/>
        <w:jc w:val="both"/>
      </w:pPr>
      <w:r>
        <w:rPr>
          <w:rFonts w:ascii="Times New Roman" w:cs="Times New Roman" w:eastAsia="Times New Roman" w:hAnsi="Times New Roman"/>
          <w:b/>
          <w:bCs/>
          <w:color w:val="1B2A4A"/>
          <w:sz w:val="22"/>
          <w:szCs w:val="22"/>
        </w:rPr>
        <w:t xml:space="preserve">3.7.b Appointment: </w:t>
      </w:r>
      <w:r>
        <w:rPr>
          <w:rFonts w:ascii="Times New Roman" w:cs="Times New Roman" w:eastAsia="Times New Roman" w:hAnsi="Times New Roman"/>
          <w:color w:val="000000"/>
          <w:sz w:val="22"/>
          <w:szCs w:val="22"/>
        </w:rPr>
        <w:t xml:space="preserve">A statutory independent officer is nominated by the PM and confirmed by the Senate by simple majority. A nominee not acted upon within 90 days is deemed confirmed. A director who has served more than 18 months without Senate confirmation reverts to standard ministerial appointment.</w:t>
      </w:r>
    </w:p>
    <w:p>
      <w:pPr>
        <w:spacing w:after="60" w:before="60" w:line="280" w:lineRule="auto"/>
        <w:jc w:val="both"/>
      </w:pPr>
      <w:r>
        <w:rPr>
          <w:rFonts w:ascii="Times New Roman" w:cs="Times New Roman" w:eastAsia="Times New Roman" w:hAnsi="Times New Roman"/>
          <w:b/>
          <w:bCs/>
          <w:color w:val="1B2A4A"/>
          <w:sz w:val="22"/>
          <w:szCs w:val="22"/>
        </w:rPr>
        <w:t xml:space="preserve">3.7.c Removal: </w:t>
      </w:r>
      <w:r>
        <w:rPr>
          <w:rFonts w:ascii="Times New Roman" w:cs="Times New Roman" w:eastAsia="Times New Roman" w:hAnsi="Times New Roman"/>
          <w:color w:val="000000"/>
          <w:sz w:val="22"/>
          <w:szCs w:val="22"/>
        </w:rPr>
        <w:t xml:space="preserve">The PM may remove a statutory independent officer only on grounds specified in the enabling statute. Removal is initiated by publishing a written notice to the NRS identifying the statutory ground relied upon. The director remains in office throughout the 21-day review period following publication. If within that period the Senate votes by simple majority to block the removal, the notice is void and the director continues in office for the full remainder of their term. If the Senate does not act within 21 days, the removal takes effect upon expiration of the period.</w:t>
      </w:r>
    </w:p>
    <w:p>
      <w:pPr>
        <w:spacing w:after="60" w:before="60" w:line="280" w:lineRule="auto"/>
        <w:jc w:val="both"/>
      </w:pPr>
      <w:r>
        <w:rPr>
          <w:rFonts w:ascii="Times New Roman" w:cs="Times New Roman" w:eastAsia="Times New Roman" w:hAnsi="Times New Roman"/>
          <w:b/>
          <w:bCs/>
          <w:color w:val="1B2A4A"/>
          <w:sz w:val="22"/>
          <w:szCs w:val="22"/>
        </w:rPr>
        <w:t xml:space="preserve">3.7.d Oversight: </w:t>
      </w:r>
      <w:r>
        <w:rPr>
          <w:rFonts w:ascii="Times New Roman" w:cs="Times New Roman" w:eastAsia="Times New Roman" w:hAnsi="Times New Roman"/>
          <w:color w:val="000000"/>
          <w:sz w:val="22"/>
          <w:szCs w:val="22"/>
        </w:rPr>
        <w:t xml:space="preserve">Each agency established under this section is subject to audit by the Executive Inspectorate with respect to the constitutional conduct of its officers, and by the Legislative Inspectorate with respect to compliance with its enabling statute. Both Inspectorates publish their findings to the NRS. The director shall submit an annual report to the Legislature.</w:t>
      </w:r>
    </w:p>
    <w:p>
      <w:pPr>
        <w:spacing w:after="60" w:before="60" w:line="280" w:lineRule="auto"/>
        <w:jc w:val="both"/>
      </w:pPr>
      <w:r>
        <w:rPr>
          <w:rFonts w:ascii="Times New Roman" w:cs="Times New Roman" w:eastAsia="Times New Roman" w:hAnsi="Times New Roman"/>
          <w:b/>
          <w:bCs/>
          <w:color w:val="1B2A4A"/>
          <w:sz w:val="22"/>
          <w:szCs w:val="22"/>
        </w:rPr>
        <w:t xml:space="preserve">3.7.e Limits: </w:t>
      </w:r>
      <w:r>
        <w:rPr>
          <w:rFonts w:ascii="Times New Roman" w:cs="Times New Roman" w:eastAsia="Times New Roman" w:hAnsi="Times New Roman"/>
          <w:color w:val="000000"/>
          <w:sz w:val="22"/>
          <w:szCs w:val="22"/>
        </w:rPr>
        <w:t xml:space="preserve">An agency’s operational independence does not preclude legislative appropriation control, impeachment under §3.5, or Inspectorate referral. No enabling statute may insulate an agency’s officers from criminal liability or constitutional accountability.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IV — THE JUDICIAL ARCHITECTURE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4.1 — Court Structure</w:t>
      </w:r>
    </w:p>
    <w:p>
      <w:pPr>
        <w:spacing w:after="60" w:before="60" w:line="280" w:lineRule="auto"/>
        <w:jc w:val="both"/>
      </w:pPr>
      <w:r>
        <w:rPr>
          <w:rFonts w:ascii="Times New Roman" w:cs="Times New Roman" w:eastAsia="Times New Roman" w:hAnsi="Times New Roman"/>
          <w:color w:val="000000"/>
          <w:sz w:val="22"/>
          <w:szCs w:val="22"/>
        </w:rPr>
        <w:t xml:space="preserve">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line="280" w:lineRule="auto"/>
        <w:jc w:val="both"/>
      </w:pPr>
      <w:r>
        <w:rPr>
          <w:rFonts w:ascii="Times New Roman" w:cs="Times New Roman" w:eastAsia="Times New Roman" w:hAnsi="Times New Roman"/>
          <w:b/>
          <w:bCs/>
          <w:color w:val="1B2A4A"/>
          <w:sz w:val="22"/>
          <w:szCs w:val="22"/>
        </w:rPr>
        <w:t xml:space="preserve">4.1.a Establishment: </w:t>
      </w:r>
      <w:r>
        <w:rPr>
          <w:rFonts w:ascii="Times New Roman" w:cs="Times New Roman" w:eastAsia="Times New Roman" w:hAnsi="Times New Roman"/>
          <w:color w:val="000000"/>
          <w:sz w:val="22"/>
          <w:szCs w:val="22"/>
        </w:rPr>
        <w:t xml:space="preserve">Only the House may create or abolish inferior courts by statute.</w:t>
      </w:r>
    </w:p>
    <w:p>
      <w:pPr>
        <w:spacing w:after="60" w:before="60" w:line="280" w:lineRule="auto"/>
        <w:jc w:val="both"/>
      </w:pPr>
      <w:r>
        <w:rPr>
          <w:rFonts w:ascii="Times New Roman" w:cs="Times New Roman" w:eastAsia="Times New Roman" w:hAnsi="Times New Roman"/>
          <w:b/>
          <w:bCs/>
          <w:color w:val="1B2A4A"/>
          <w:sz w:val="22"/>
          <w:szCs w:val="22"/>
        </w:rPr>
        <w:t xml:space="preserve">4.1.b Appointment of Inferior Court Judges: </w:t>
      </w:r>
      <w:r>
        <w:rPr>
          <w:rFonts w:ascii="Times New Roman" w:cs="Times New Roman" w:eastAsia="Times New Roman" w:hAnsi="Times New Roman"/>
          <w:color w:val="000000"/>
          <w:sz w:val="22"/>
          <w:szCs w:val="22"/>
        </w:rPr>
        <w:t xml:space="preserve">The PM nominates lower court judges within 90 days of any vacancy; the House confirms by a supermajority of not less than 55% and not more than 67% of the full seated membership of the House — the Legislature may by statute define the specific threshold within this constitutional range within a Legislature-defined period; the Supreme Court commissions all confirmed judges. If the House fails to vote on any nomination within the Legislature-defined confirmation period, the nominee is Deemed Confirmed and the Supreme Court commissions them immediately.</w:t>
      </w:r>
    </w:p>
    <w:p>
      <w:pPr>
        <w:spacing w:after="60" w:before="60" w:line="280" w:lineRule="auto"/>
        <w:jc w:val="both"/>
      </w:pPr>
      <w:r>
        <w:rPr>
          <w:rFonts w:ascii="Times New Roman" w:cs="Times New Roman" w:eastAsia="Times New Roman" w:hAnsi="Times New Roman"/>
          <w:b/>
          <w:bCs/>
          <w:color w:val="1B2A4A"/>
          <w:sz w:val="22"/>
          <w:szCs w:val="22"/>
        </w:rPr>
        <w:t xml:space="preserve">Candidate Disclosure and EI Review: </w:t>
      </w:r>
      <w:r>
        <w:rPr>
          <w:rFonts w:ascii="Times New Roman" w:cs="Times New Roman" w:eastAsia="Times New Roman" w:hAnsi="Times New Roman"/>
          <w:color w:val="000000"/>
          <w:sz w:val="22"/>
          <w:szCs w:val="22"/>
        </w:rPr>
        <w:t xml:space="preserve">Before the House confirmation vote on any PM-nominated inferior court judge, the PM must submit a candidate disclosure record for the nominated judge to the Executive Inspectorate. The record must include the nominee's professional background, credentials in law and judicial experience, financial disclosures, and prior government positions. The Executive Inspectorate reviews the submitted record for factual accuracy and publishes the record together with its recommendation to the National Record System before the confirming chamber votes. Any citizen who identifies a discrepancy in a published nominee record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PM Failure — Senate Nomination: </w:t>
      </w:r>
      <w:r>
        <w:rPr>
          <w:rFonts w:ascii="Times New Roman" w:cs="Times New Roman" w:eastAsia="Times New Roman" w:hAnsi="Times New Roman"/>
          <w:color w:val="000000"/>
          <w:sz w:val="22"/>
          <w:szCs w:val="22"/>
        </w:rPr>
        <w:t xml:space="preserve">Where the PM fails to nominate within 90 days of a vacancy, the Senate may nominate a candidate. The Senate's nominee must meet the same professional qualifications the PM would be expected to apply and is subject to the same EI disclosure review as a PM-nominated candidate under §4.1.b before the House confirmation vote. That nomination proceeds to House confirmation on the same supermajority standard and Deemed Confirmed timeline.</w:t>
      </w:r>
    </w:p>
    <w:p>
      <w:pPr>
        <w:spacing w:after="60" w:before="60" w:line="280" w:lineRule="auto"/>
        <w:jc w:val="both"/>
      </w:pPr>
      <w:r>
        <w:rPr>
          <w:rFonts w:ascii="Times New Roman" w:cs="Times New Roman" w:eastAsia="Times New Roman" w:hAnsi="Times New Roman"/>
          <w:color w:val="000000"/>
          <w:sz w:val="22"/>
          <w:szCs w:val="22"/>
        </w:rPr>
        <w:t xml:space="preserve">180-Day Constitutional Ceiling: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 The Legislature-defined confirmation period for inferior court judge nominations may not be set at a duration that, when combined with the time elapsed between the vacancy arising and the nomination being submitted, would cause Deemed Confirmation to occur after the 180-day constitutional ceiling from the date of vacancy.</w:t>
      </w:r>
    </w:p>
    <w:p>
      <w:pPr>
        <w:spacing w:after="60" w:before="60" w:line="280" w:lineRule="auto"/>
        <w:jc w:val="both"/>
      </w:pPr>
      <w:r>
        <w:rPr>
          <w:rFonts w:ascii="Times New Roman" w:cs="Times New Roman" w:eastAsia="Times New Roman" w:hAnsi="Times New Roman"/>
          <w:b/>
          <w:bCs/>
          <w:color w:val="1B2A4A"/>
          <w:sz w:val="22"/>
          <w:szCs w:val="22"/>
        </w:rPr>
        <w:t xml:space="preserve">Prorated Confirmation Period: </w:t>
      </w:r>
      <w:r>
        <w:rPr>
          <w:rFonts w:ascii="Times New Roman" w:cs="Times New Roman" w:eastAsia="Times New Roman" w:hAnsi="Times New Roman"/>
          <w:color w:val="000000"/>
          <w:sz w:val="22"/>
          <w:szCs w:val="22"/>
        </w:rPr>
        <w:t xml:space="preserve">Where a nomination is submitted late — whether by the PM after the 90-day trigger or by the Supreme Court after PM failure — the confirmation period is automatically shortened to the remaining time within the 180-day ceiling, with Deemed Confirmation occurring at the ceiling date if no vote is held.</w:t>
      </w:r>
    </w:p>
    <w:p>
      <w:pPr>
        <w:spacing w:after="60" w:before="60" w:line="280" w:lineRule="auto"/>
        <w:jc w:val="both"/>
      </w:pPr>
      <w:r>
        <w:rPr>
          <w:rFonts w:ascii="Times New Roman" w:cs="Times New Roman" w:eastAsia="Times New Roman" w:hAnsi="Times New Roman"/>
          <w:b/>
          <w:bCs/>
          <w:color w:val="1B2A4A"/>
          <w:sz w:val="22"/>
          <w:szCs w:val="22"/>
        </w:rPr>
        <w:t xml:space="preserve">4.1.d Judicial Tenure Protection: </w:t>
      </w:r>
      <w:r>
        <w:rPr>
          <w:rFonts w:ascii="Times New Roman" w:cs="Times New Roman" w:eastAsia="Times New Roman" w:hAnsi="Times New Roman"/>
          <w:color w:val="000000"/>
          <w:sz w:val="22"/>
          <w:szCs w:val="22"/>
        </w:rPr>
        <w:t xml:space="preserve">Inferior court judges, once commissioned under §4.1.b, serve during good behavior — their authority as commissioned judges is not time-limited. The Legislature may by statute establish a maximum service age or a maximum total service period for inferior court judges, provided the maximum total service period is not less than 15 years from the date of first commissioning. The Legislature may not establish fixed-term appointments of shorter duration — a judge may not be commissioned for a term of less than 15 years. This protection ensures that the removal mechanism of §4.1.c is the operative mechanism of judicial accountability. A judge whose statutory maximum service period expires is not removed through any of the three tracks; the service period expiration is a constitutional transition of a different kind, and the Legislature must by statute define the transition process including the vacancy-filling timeline that governs service period expirations.</w:t>
      </w:r>
    </w:p>
    <w:p>
      <w:pPr>
        <w:spacing w:after="60" w:before="60" w:line="280" w:lineRule="auto"/>
        <w:jc w:val="both"/>
      </w:pPr>
      <w:r>
        <w:rPr>
          <w:rFonts w:ascii="Times New Roman" w:cs="Times New Roman" w:eastAsia="Times New Roman" w:hAnsi="Times New Roman"/>
          <w:b/>
          <w:bCs/>
          <w:color w:val="1B2A4A"/>
          <w:sz w:val="22"/>
          <w:szCs w:val="22"/>
        </w:rPr>
        <w:t xml:space="preserve">4.1.c Judicial Removal: </w:t>
      </w:r>
      <w:r>
        <w:rPr>
          <w:rFonts w:ascii="Times New Roman" w:cs="Times New Roman" w:eastAsia="Times New Roman" w:hAnsi="Times New Roman"/>
          <w:color w:val="000000"/>
          <w:sz w:val="22"/>
          <w:szCs w:val="22"/>
        </w:rPr>
        <w:t xml:space="preserve">Supreme Court Justice Removal: A Supreme Court justice may be removed by a concurrent vote of 2/3 of the full seated membership of both chambers. The House must first pass a Statement of Grounds — a written document specifying the specific conduct, decisions, or failures constituting the basis for removal, published to the National Record System simultaneously with the House vote — by a 2/3 majority of its full seated membership. The Senate then conducts a trial under §3.5.c mechanics, limited to the grounds stated. The Senate may not convict on grounds not included in the Statement. Removal requires a 2/3 majority of the full seated Senate membership. Both thresholds are of full seated membership, not merely those present on the day of the vote. No popular recall mechanism applies to Supreme Court justices — judicial independence requires insulation from democratic pressure on specific rulings. Inferior court judges are removed through the §3.5 impeachment process, which applies to all inferior court judges in full.</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4.2 — The Supreme Court</w:t>
      </w:r>
    </w:p>
    <w:p>
      <w:pPr>
        <w:spacing w:after="60" w:before="60" w:line="280" w:lineRule="auto"/>
        <w:jc w:val="both"/>
      </w:pPr>
      <w:r>
        <w:rPr>
          <w:rFonts w:ascii="Times New Roman" w:cs="Times New Roman" w:eastAsia="Times New Roman" w:hAnsi="Times New Roman"/>
          <w:b/>
          <w:bCs/>
          <w:color w:val="1B2A4A"/>
          <w:sz w:val="22"/>
          <w:szCs w:val="22"/>
        </w:rPr>
        <w:t xml:space="preserve">Open-Candidacy Judicial Selection: </w:t>
      </w:r>
      <w:r>
        <w:rPr>
          <w:rFonts w:ascii="Times New Roman" w:cs="Times New Roman" w:eastAsia="Times New Roman" w:hAnsi="Times New Roman"/>
          <w:color w:val="000000"/>
          <w:sz w:val="22"/>
          <w:szCs w:val="22"/>
        </w:rPr>
        <w:t xml:space="preserve">Each open Supreme Court seat is filled through an open-candidacy election process. Any citizen on the Supreme Court Candidate Registry maintained by the Judicial Inspectorate may register as a candidate. A Judicial Selection Board publishes an advisory assessment of registered candidates. Citizens elect justices by national Ranked Choice Vote. No political branch nominates or controls access to the ballot — the Registry is the eligibility filter, the Board is the expert voice, and the electorate makes the final determination.</w:t>
      </w:r>
    </w:p>
    <w:p>
      <w:pPr>
        <w:spacing w:after="60" w:before="60" w:line="280" w:lineRule="auto"/>
        <w:jc w:val="both"/>
      </w:pPr>
      <w:r>
        <w:rPr>
          <w:rFonts w:ascii="Times New Roman" w:cs="Times New Roman" w:eastAsia="Times New Roman" w:hAnsi="Times New Roman"/>
          <w:color w:val="000000"/>
          <w:sz w:val="22"/>
          <w:szCs w:val="22"/>
        </w:rPr>
        <w:t xml:space="preserve">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line="280" w:lineRule="auto"/>
        <w:jc w:val="both"/>
      </w:pPr>
      <w:r>
        <w:rPr>
          <w:rFonts w:ascii="Times New Roman" w:cs="Times New Roman" w:eastAsia="Times New Roman" w:hAnsi="Times New Roman"/>
          <w:b/>
          <w:bCs/>
          <w:color w:val="1B2A4A"/>
          <w:sz w:val="22"/>
          <w:szCs w:val="22"/>
        </w:rPr>
        <w:t xml:space="preserve">4.2.a Candidate Registration: </w:t>
      </w:r>
      <w:r>
        <w:rPr>
          <w:rFonts w:ascii="Times New Roman" w:cs="Times New Roman" w:eastAsia="Times New Roman" w:hAnsi="Times New Roman"/>
          <w:color w:val="000000"/>
          <w:sz w:val="22"/>
          <w:szCs w:val="22"/>
        </w:rPr>
        <w:t xml:space="preserve">Any citizen whose name appears on the Judicial Inspectorate's Supreme Court Candidate Registry maintained under §8.4.e may register as a candidate for an open Supreme Court seat by filing a complete disclosure record with the Executive Inspectorate. The disclosure record must include: full professional history, all judicial or legal appointments held, any financial interests that could affect impartiality, and confirmation of continued Registry eligibility. The EI reviews each disclosure record for factual accuracy and completeness within 14 days of filing and publishes its findings to the National Record System. A candidate whose disclosure record contains a material inaccuracy or who no longer meets Registry criteria is removed from the ballot; the EI publishes the grounds. All other registered candidates proceed to JI certification and the public election. The Electoral Commission administers all Supreme Court elections and may not exclude any EI-reviewed, JI-certified candidate from the ballot.</w:t>
      </w:r>
    </w:p>
    <w:p>
      <w:pPr>
        <w:spacing w:after="60" w:before="60" w:line="280" w:lineRule="auto"/>
        <w:jc w:val="both"/>
      </w:pPr>
      <w:r>
        <w:rPr>
          <w:rFonts w:ascii="Times New Roman" w:cs="Times New Roman" w:eastAsia="Times New Roman" w:hAnsi="Times New Roman"/>
          <w:b/>
          <w:bCs/>
          <w:color w:val="1B2A4A"/>
          <w:sz w:val="22"/>
          <w:szCs w:val="22"/>
        </w:rPr>
        <w:t xml:space="preserve">4.2.b Judicial Selection Board: </w:t>
      </w:r>
      <w:r>
        <w:rPr>
          <w:rFonts w:ascii="Times New Roman" w:cs="Times New Roman" w:eastAsia="Times New Roman" w:hAnsi="Times New Roman"/>
          <w:color w:val="000000"/>
          <w:sz w:val="22"/>
          <w:szCs w:val="22"/>
        </w:rPr>
        <w:t xml:space="preserve">A Judicial Selection Board publishes an advisory assessment of all registered candidates before each Supreme Court election. The Board consists of five members selected by lottery from inferior court judges who have served at least ten continuous years on the bench and who are not currently candidates for the open seat. No political branch appoints Board members — the lottery is administered by the Judicial Inspectorate from among all eligible judges. Board members serve for the duration of one selection cycle, from candidate registration through election certification. The Board assesses each candidate's judicial record, demonstrated legal reasoning, and professional independence as relevant to the Supreme Court's constitutional mandate. The assessment is advisory — the Board has no authority to remove candidates from the ballot and makes no endorsement. The full assessment is published to the National Record System no later than 60 days before the election and is publicly accessible at no cost.</w:t>
      </w:r>
    </w:p>
    <w:p>
      <w:pPr>
        <w:spacing w:after="60" w:before="60" w:line="280" w:lineRule="auto"/>
        <w:jc w:val="both"/>
      </w:pPr>
      <w:r>
        <w:rPr>
          <w:rFonts w:ascii="Times New Roman" w:cs="Times New Roman" w:eastAsia="Times New Roman" w:hAnsi="Times New Roman"/>
          <w:b/>
          <w:bCs/>
          <w:color w:val="1B2A4A"/>
          <w:sz w:val="22"/>
          <w:szCs w:val="22"/>
        </w:rPr>
        <w:t xml:space="preserve">4.2.c Judicial Inspectorate Certification: </w:t>
      </w:r>
      <w:r>
        <w:rPr>
          <w:rFonts w:ascii="Times New Roman" w:cs="Times New Roman" w:eastAsia="Times New Roman" w:hAnsi="Times New Roman"/>
          <w:color w:val="000000"/>
          <w:sz w:val="22"/>
          <w:szCs w:val="22"/>
        </w:rPr>
        <w:t xml:space="preserve">Before any candidate may appear on the ballot, the Judicial Inspectorate confirms that the candidate remains on the Supreme Court Candidate Registry, that no disqualifying change in circumstances has occurred since Registry admission, and that the specific eligibility criteria of §8.4.e continue to be met. The JI does not conduct a new independent assessment — it confirms Registry status. Candidates who fail JI certification may not proceed to the public election; the JI publishes the grounds for any certification refusal to the National Record System. A candidate who disputes a certification refusal may challenge it before an Appellate Court within 14 days; the candidate remains listed as pending during that review period. All certification determinations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4.2.d Public Election: </w:t>
      </w:r>
      <w:r>
        <w:rPr>
          <w:rFonts w:ascii="Times New Roman" w:cs="Times New Roman" w:eastAsia="Times New Roman" w:hAnsi="Times New Roman"/>
          <w:color w:val="000000"/>
          <w:sz w:val="22"/>
          <w:szCs w:val="22"/>
        </w:rPr>
        <w:t xml:space="preserve">Following JI certification, all certified candidates are placed on the ballot for a national direct election by Ranked Choice Voting on the next National Election Day, or by special election within 90 days for mid-term vacancies under §4.2.e. The winner is the candidate who achieves a national RCV majority among all certified candidates. Where a special election produces no RCV majority on first count, the standard RCV elimination process continues until one candidate holds a majority of active ballots. The Electoral Commission administers the election and certifies the result to the National Record System. The elected justice takes office upon taking the Official Oath, which is recorded on the National Record System within 24 hours of administration.</w:t>
      </w:r>
    </w:p>
    <w:p>
      <w:pPr>
        <w:spacing w:after="60" w:before="60" w:line="280" w:lineRule="auto"/>
        <w:jc w:val="both"/>
      </w:pPr>
      <w:r>
        <w:rPr>
          <w:rFonts w:ascii="Times New Roman" w:cs="Times New Roman" w:eastAsia="Times New Roman" w:hAnsi="Times New Roman"/>
          <w:b/>
          <w:bCs/>
          <w:color w:val="1B2A4A"/>
          <w:sz w:val="22"/>
          <w:szCs w:val="22"/>
        </w:rPr>
        <w:t>4.2.e Mid-Term Vacancies:</w:t>
      </w:r>
      <w:r>
        <w:rPr>
          <w:rFonts w:ascii="Times New Roman" w:cs="Times New Roman" w:eastAsia="Times New Roman" w:hAnsi="Times New Roman"/>
          <w:b w:val="0"/>
          <w:color w:val="000000"/>
          <w:sz w:val="22"/>
          <w:szCs w:val="22"/>
        </w:rPr>
        <w:t xml:space="preserve"> Where a Supreme Court seat becomes vacant mid-term through death, resignation, removal, or expulsion, a special election is held within 180 days. The full open-candidacy process of §4.2.a through §4.2.d applies, with timelines adjusted to fit the 180-day window: candidate registration closes at day 30; EI review completes by day 60; Judicial Selection Board assessment is published by day 90; JI certification completes by day 120; election is held no later than day 180. The replacement justice serves only the remainder of the original 12-year term, not a new term. Where the adjusted timeline cannot be met due to extraordinary circumstances, the Judicial Inspectorate may extend the window by no more than 30 days and publishes the extension and grounds to the National Record System. The Temporary Associate Justice designated under §4.2.g continues to serve throughout the election period and until the replacement justice is seated.</w:t>
      </w:r>
    </w:p>
    <w:p>
      <w:pPr>
        <w:spacing w:after="60" w:before="60" w:line="280" w:lineRule="auto"/>
        <w:jc w:val="both"/>
      </w:pPr>
      <w:r>
        <w:rPr>
          <w:rFonts w:ascii="Times New Roman" w:cs="Times New Roman" w:eastAsia="Times New Roman" w:hAnsi="Times New Roman"/>
          <w:b/>
          <w:bCs/>
          <w:color w:val="1B2A4A"/>
          <w:sz w:val="22"/>
          <w:szCs w:val="22"/>
        </w:rPr>
        <w:t xml:space="preserve">4.2.f Emergency Panel for Tier 1 Scope Challenges: </w:t>
      </w:r>
      <w:r>
        <w:rPr>
          <w:rFonts w:ascii="Times New Roman" w:cs="Times New Roman" w:eastAsia="Times New Roman" w:hAnsi="Times New Roman"/>
          <w:color w:val="000000"/>
          <w:sz w:val="22"/>
          <w:szCs w:val="22"/>
        </w:rPr>
        <w:t xml:space="preserve">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maintain continuity: at least two members of the sitting Emergency Panel must have served on the prior cycle's Panel. Where fewer than two prior Panel members remain available for the new cycle due to retirement, term expiration, or incapacity, the Supreme Court designates the most senior available justices with prior Panel experience as replacements; if no prior Panel members are available, continuity is satisfied by the most senior available justices by years of service on the Court.</w:t>
      </w:r>
    </w:p>
    <w:p>
      <w:pPr>
        <w:spacing w:after="60" w:before="60" w:line="280" w:lineRule="auto"/>
        <w:jc w:val="both"/>
      </w:pPr>
      <w:r>
        <w:rPr>
          <w:rFonts w:ascii="Times New Roman" w:cs="Times New Roman" w:eastAsia="Times New Roman" w:hAnsi="Times New Roman"/>
          <w:b/>
          <w:bCs/>
          <w:color w:val="1B2A4A"/>
          <w:sz w:val="22"/>
          <w:szCs w:val="22"/>
        </w:rPr>
        <w:t>4.2.g Vacancy Operating Rules:</w:t>
      </w:r>
      <w:r>
        <w:rPr>
          <w:rFonts w:ascii="Times New Roman" w:cs="Times New Roman" w:eastAsia="Times New Roman" w:hAnsi="Times New Roman"/>
          <w:b w:val="0"/>
          <w:color w:val="000000"/>
          <w:sz w:val="22"/>
          <w:szCs w:val="22"/>
        </w:rPr>
        <w:t xml:space="preserve"> Where a Supreme Court seat becomes vacant, the most senior Appellate Court judge by continuous time served on the Appellate bench — with the eldest by age as the tiebreaker — is automatically designated as Temporary Associate Justice within five days of the vacancy being published to the National Record System. No nomination, confirmation, or legislative action is required; the designation is automatic by operation of this provision. The Temporary Associate Justice: (a) holds a full vote in all cases heard by the Court during the vacancy period; (b) may not participate in any case arising from a ruling they authored or in which they joined on the Appellate Court — in such cases the remaining justices constitute the full panel; (c) may not stand as a candidate in any election to fill the permanent seat to which they are designated as Temporary Associate Justice; (d) returns to their Appellate Court position, without loss of seniority or tenure, upon the seating of the permanently elected replacement justice. Where the designated judge is unavailable, the next most senior Appellate Court judge by the same criteria is designated. Where a case triggers clause (b) recusal and the remaining justices produce an equal division, the lower court's ruling is affirmed without creating binding precedent. The Legislature may not reduce, eliminate, or delay the temporary designation by statute.</w:t>
      </w:r>
    </w:p>
    <w:p>
      <w:pPr>
        <w:spacing w:after="60" w:before="60" w:line="280" w:lineRule="auto"/>
        <w:jc w:val="both"/>
      </w:pPr>
      <w:r>
        <w:rPr>
          <w:rFonts w:ascii="Times New Roman" w:cs="Times New Roman" w:eastAsia="Times New Roman" w:hAnsi="Times New Roman"/>
          <w:b/>
          <w:bCs/>
          <w:color w:val="1B2A4A"/>
          <w:sz w:val="22"/>
          <w:szCs w:val="22"/>
        </w:rPr>
        <w:t xml:space="preserve">4.2.h Judicial Recusal: </w:t>
      </w:r>
      <w:r>
        <w:rPr>
          <w:rFonts w:ascii="Times New Roman" w:cs="Times New Roman" w:eastAsia="Times New Roman" w:hAnsi="Times New Roman"/>
          <w:color w:val="000000"/>
          <w:sz w:val="22"/>
          <w:szCs w:val="22"/>
        </w:rPr>
        <w:t xml:space="preserve">the Legislature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 Constitutional Default Standard: In the absence of a statutory recusal framework two years after Phase 4 activation, a Supreme Court justice must recuse from any proceeding where their impartiality could reasonably be questioned by an informed and reasonable observer with knowledge of the relevant facts. This default standard is self-executing and directly enforceable. Any party to a proceeding before the Court may petition for recusal under this standard. The recusal determination on that petition is made by the remaining justices by majority. A statutory framework enacted after the two-year period supersedes this default prospectively.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4.3 — Judicial Independence and Scope of Authority</w:t>
      </w:r>
    </w:p>
    <w:p>
      <w:pPr>
        <w:spacing w:after="60" w:before="60" w:line="280" w:lineRule="auto"/>
        <w:jc w:val="both"/>
      </w:pPr>
      <w:r>
        <w:rPr>
          <w:rFonts w:ascii="Times New Roman" w:cs="Times New Roman" w:eastAsia="Times New Roman" w:hAnsi="Times New Roman"/>
          <w:color w:val="000000"/>
          <w:sz w:val="22"/>
          <w:szCs w:val="22"/>
        </w:rPr>
        <w:t xml:space="preserve">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60" w:line="280" w:lineRule="auto"/>
        <w:jc w:val="both"/>
      </w:pPr>
      <w:r>
        <w:rPr>
          <w:rFonts w:ascii="Times New Roman" w:cs="Times New Roman" w:eastAsia="Times New Roman" w:hAnsi="Times New Roman"/>
          <w:b/>
          <w:bCs/>
          <w:color w:val="1B2A4A"/>
          <w:sz w:val="22"/>
          <w:szCs w:val="22"/>
        </w:rPr>
        <w:t xml:space="preserve">4.3.a Declaration of Unconstitutionality: </w:t>
      </w:r>
      <w:r>
        <w:rPr>
          <w:rFonts w:ascii="Times New Roman" w:cs="Times New Roman" w:eastAsia="Times New Roman" w:hAnsi="Times New Roman"/>
          <w:color w:val="000000"/>
          <w:sz w:val="22"/>
          <w:szCs w:val="22"/>
        </w:rPr>
        <w:t xml:space="preserve">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the Legislature to legislate a replacement. Lower courts may apply this doctrine but constitutional questions must be certified to the Supreme Court on appeal.</w:t>
      </w:r>
    </w:p>
    <w:p>
      <w:pPr>
        <w:spacing w:after="60" w:before="60" w:line="280" w:lineRule="auto"/>
        <w:jc w:val="both"/>
      </w:pPr>
      <w:r>
        <w:rPr>
          <w:rFonts w:ascii="Times New Roman" w:cs="Times New Roman" w:eastAsia="Times New Roman" w:hAnsi="Times New Roman"/>
          <w:b/>
          <w:bCs/>
          <w:color w:val="1B2A4A"/>
          <w:sz w:val="22"/>
          <w:szCs w:val="22"/>
        </w:rPr>
        <w:t xml:space="preserve">4.3.b Organizational Standing: </w:t>
      </w:r>
      <w:r>
        <w:rPr>
          <w:rFonts w:ascii="Times New Roman" w:cs="Times New Roman" w:eastAsia="Times New Roman" w:hAnsi="Times New Roman"/>
          <w:color w:val="000000"/>
          <w:sz w:val="22"/>
          <w:szCs w:val="22"/>
        </w:rPr>
        <w:t xml:space="preserve">An organization may bring a constitutional claim on behalf of its members where: (a) at least one member would individually have standing to bring the claim — suffering a concrete, articulable injury of the kind alleged; (b) the claim is germane to the organization's established constitutional purpose; and (c) neither the claim nor the relief sought requires the participation of individual members as parties. Organizational standing does not expand the court's jurisdiction beyond the concrete injury requirement — it recognizes that constitutional violations affecting a class of persons are judicially addressable without requiring each affected person to file separately. An organization invoking this provision must identify at least one member with specific, articulable injury and publish that identification to the National Record System concurrent with filing.</w:t>
      </w:r>
    </w:p>
    <w:p>
      <w:pPr>
        <w:spacing w:after="60" w:before="60" w:line="280" w:lineRule="auto"/>
        <w:jc w:val="both"/>
      </w:pPr>
      <w:r>
        <w:rPr>
          <w:rFonts w:ascii="Times New Roman" w:cs="Times New Roman" w:eastAsia="Times New Roman" w:hAnsi="Times New Roman"/>
          <w:b/>
          <w:bCs/>
          <w:color w:val="1B2A4A"/>
          <w:sz w:val="22"/>
          <w:szCs w:val="22"/>
        </w:rPr>
        <w:t xml:space="preserve">4.3.c Ripeness and Mootness: </w:t>
      </w:r>
      <w:r>
        <w:rPr>
          <w:rFonts w:ascii="Times New Roman" w:cs="Times New Roman" w:eastAsia="Times New Roman" w:hAnsi="Times New Roman"/>
          <w:color w:val="000000"/>
          <w:sz w:val="22"/>
          <w:szCs w:val="22"/>
        </w:rPr>
        <w:t xml:space="preserve">Courts may not rule on cases that are not ripe for decision — where the alleged injury has not yet materialized into a concrete harm and the claim rests on speculative future events. Courts may not rule on cases that have become moot — where the dispute has been resolved, the injury has ceased, or changed circumstances have eliminated any live controversy between the parties. The prohibition on advisory opinions in §4.3 applies equally to unripe and moot cases. A case does not become moot solely because the challenged government action has ended if: (a) the action is capable of repetition yet evading review — recurring conduct that regularly concludes before courts can rule; or (b) the defendant voluntarily ceased the challenged conduct but the court has no assurance the conduct will not resume. The Supreme Court determines ripeness and mootness standards by published decision; the Legislature may not alter these standards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4.4 — Interstate Recognition of Judgments and Public Acts</w:t>
      </w:r>
    </w:p>
    <w:p>
      <w:pPr>
        <w:spacing w:after="60" w:before="60" w:line="280" w:lineRule="auto"/>
        <w:jc w:val="both"/>
      </w:pPr>
      <w:r>
        <w:rPr>
          <w:rFonts w:ascii="Times New Roman" w:cs="Times New Roman" w:eastAsia="Times New Roman" w:hAnsi="Times New Roman"/>
          <w:color w:val="000000"/>
          <w:sz w:val="22"/>
          <w:szCs w:val="22"/>
        </w:rPr>
        <w:t xml:space="preserve">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line="280" w:lineRule="auto"/>
        <w:jc w:val="both"/>
      </w:pPr>
      <w:r>
        <w:rPr>
          <w:rFonts w:ascii="Times New Roman" w:cs="Times New Roman" w:eastAsia="Times New Roman" w:hAnsi="Times New Roman"/>
          <w:b/>
          <w:bCs/>
          <w:color w:val="1B2A4A"/>
          <w:sz w:val="22"/>
          <w:szCs w:val="22"/>
        </w:rPr>
        <w:t xml:space="preserve">4.4.a Judicial Judgments: </w:t>
      </w:r>
      <w:r>
        <w:rPr>
          <w:rFonts w:ascii="Times New Roman" w:cs="Times New Roman" w:eastAsia="Times New Roman" w:hAnsi="Times New Roman"/>
          <w:color w:val="000000"/>
          <w:sz w:val="22"/>
          <w:szCs w:val="22"/>
        </w:rPr>
        <w:t xml:space="preserve">A final judgment of any State or Territory court — including money judgments, injunctions, custody and guardianship orders, divorce decrees, probate orders, and restraining orders — must be recognized and enforced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the judgment is facially contrary to a fundamental right guaranteed by Article I; or enforcement would require an act the Legislature has defined by statute as categorically unenforceable. These grounds are exhaustive — a State or Territory court may not create additional bases for non-recognition.</w:t>
      </w:r>
    </w:p>
    <w:p>
      <w:pPr>
        <w:spacing w:after="60" w:before="60" w:line="280" w:lineRule="auto"/>
        <w:jc w:val="both"/>
      </w:pPr>
      <w:r>
        <w:rPr>
          <w:rFonts w:ascii="Times New Roman" w:cs="Times New Roman" w:eastAsia="Times New Roman" w:hAnsi="Times New Roman"/>
          <w:b/>
          <w:bCs/>
          <w:color w:val="1B2A4A"/>
          <w:sz w:val="22"/>
          <w:szCs w:val="22"/>
        </w:rPr>
        <w:t xml:space="preserve">4.4.b NRS Authentication: </w:t>
      </w:r>
      <w:r>
        <w:rPr>
          <w:rFonts w:ascii="Times New Roman" w:cs="Times New Roman" w:eastAsia="Times New Roman" w:hAnsi="Times New Roman"/>
          <w:color w:val="000000"/>
          <w:sz w:val="22"/>
          <w:szCs w:val="22"/>
        </w:rPr>
        <w:t xml:space="preserve">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line="280" w:lineRule="auto"/>
        <w:jc w:val="both"/>
      </w:pPr>
      <w:r>
        <w:rPr>
          <w:rFonts w:ascii="Times New Roman" w:cs="Times New Roman" w:eastAsia="Times New Roman" w:hAnsi="Times New Roman"/>
          <w:b/>
          <w:bCs/>
          <w:color w:val="1B2A4A"/>
          <w:sz w:val="22"/>
          <w:szCs w:val="22"/>
        </w:rPr>
        <w:t xml:space="preserve">4.4.c Public Acts and Official Records: </w:t>
      </w:r>
      <w:r>
        <w:rPr>
          <w:rFonts w:ascii="Times New Roman" w:cs="Times New Roman" w:eastAsia="Times New Roman" w:hAnsi="Times New Roman"/>
          <w:color w:val="000000"/>
          <w:sz w:val="22"/>
          <w:szCs w:val="22"/>
        </w:rPr>
        <w:t xml:space="preserve">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line="280" w:lineRule="auto"/>
        <w:jc w:val="both"/>
      </w:pPr>
      <w:r>
        <w:rPr>
          <w:rFonts w:ascii="Times New Roman" w:cs="Times New Roman" w:eastAsia="Times New Roman" w:hAnsi="Times New Roman"/>
          <w:b/>
          <w:bCs/>
          <w:color w:val="1B2A4A"/>
          <w:sz w:val="22"/>
          <w:szCs w:val="22"/>
        </w:rPr>
        <w:t xml:space="preserve">4.4.d Status Orders — Special Protections: </w:t>
      </w:r>
      <w:r>
        <w:rPr>
          <w:rFonts w:ascii="Times New Roman" w:cs="Times New Roman" w:eastAsia="Times New Roman" w:hAnsi="Times New Roman"/>
          <w:color w:val="000000"/>
          <w:sz w:val="22"/>
          <w:szCs w:val="22"/>
        </w:rPr>
        <w:t xml:space="preserve">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line="280" w:lineRule="auto"/>
        <w:jc w:val="both"/>
      </w:pPr>
      <w:r>
        <w:rPr>
          <w:rFonts w:ascii="Times New Roman" w:cs="Times New Roman" w:eastAsia="Times New Roman" w:hAnsi="Times New Roman"/>
          <w:b/>
          <w:bCs/>
          <w:color w:val="1B2A4A"/>
          <w:sz w:val="22"/>
          <w:szCs w:val="22"/>
        </w:rPr>
        <w:t xml:space="preserve">4.4.e Limits — No Obligation Beyond Republic Borders: </w:t>
      </w:r>
      <w:r>
        <w:rPr>
          <w:rFonts w:ascii="Times New Roman" w:cs="Times New Roman" w:eastAsia="Times New Roman" w:hAnsi="Times New Roman"/>
          <w:color w:val="000000"/>
          <w:sz w:val="22"/>
          <w:szCs w:val="22"/>
        </w:rPr>
        <w:t xml:space="preserve">This section governs recognition within the Republic only — it creates no obligation regarding foreign government judgments or pre-ratification court orders. the Legislature may by statute provide for recognition of foreign judgments on terms it defines; this section neither requires nor prohibits such recognition.</w:t>
      </w:r>
    </w:p>
    <w:p>
      <w:pPr>
        <w:spacing w:after="60" w:before="60" w:line="280" w:lineRule="auto"/>
        <w:jc w:val="both"/>
      </w:pPr>
      <w:r>
        <w:rPr>
          <w:rFonts w:ascii="Times New Roman" w:cs="Times New Roman" w:eastAsia="Times New Roman" w:hAnsi="Times New Roman"/>
          <w:b/>
          <w:bCs/>
          <w:color w:val="1B2A4A"/>
          <w:sz w:val="22"/>
          <w:szCs w:val="22"/>
        </w:rPr>
        <w:t xml:space="preserve">4.4.f Legislative Implementation Mandates: </w:t>
      </w:r>
      <w:r>
        <w:rPr>
          <w:rFonts w:ascii="Times New Roman" w:cs="Times New Roman" w:eastAsia="Times New Roman" w:hAnsi="Times New Roman"/>
          <w:color w:val="000000"/>
          <w:sz w:val="22"/>
          <w:szCs w:val="22"/>
        </w:rPr>
        <w:t xml:space="preserve">the Legislature must by statute define what constitutes a final judgment for each category of judicial proceeding covered by §4.4.a. Until the Legislature acts on any category, a judgment is final for purposes of §4.4.a if it is not subject to an automatic stay under the issuing State or Territory's procedural law, regardless of whether an appeal is pending. the Legislature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the Legislature must enact both statutes within three years of this section's ratification. the Legislature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 — CITIZENSHIP, RESIDENCY, AND NATIONAL IDENTITY</w:t>
      </w:r>
    </w:p>
    <w:p>
      <w:pPr>
        <w:spacing w:after="60" w:before="60" w:line="280" w:lineRule="auto"/>
        <w:jc w:val="both"/>
      </w:pPr>
      <w:r>
        <w:rPr>
          <w:rFonts w:ascii="Times New Roman" w:cs="Times New Roman" w:eastAsia="Times New Roman" w:hAnsi="Times New Roman"/>
          <w:color w:val="000000"/>
          <w:sz w:val="22"/>
          <w:szCs w:val="22"/>
        </w:rPr>
        <w:t xml:space="preserve">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5.1 — Citizens</w:t>
      </w:r>
    </w:p>
    <w:p>
      <w:pPr>
        <w:spacing w:after="60" w:before="60" w:line="280" w:lineRule="auto"/>
        <w:jc w:val="both"/>
      </w:pPr>
      <w:r>
        <w:rPr>
          <w:rFonts w:ascii="Times New Roman" w:cs="Times New Roman" w:eastAsia="Times New Roman" w:hAnsi="Times New Roman"/>
          <w:color w:val="000000"/>
          <w:sz w:val="22"/>
          <w:szCs w:val="22"/>
        </w:rPr>
        <w:t xml:space="preserve">Citizenship grants the right to vote, hold elected office, and serve in roles requiring national defense clearance.</w:t>
      </w:r>
    </w:p>
    <w:p>
      <w:pPr>
        <w:spacing w:after="60" w:before="60" w:line="280" w:lineRule="auto"/>
        <w:jc w:val="both"/>
      </w:pPr>
      <w:r>
        <w:rPr>
          <w:rFonts w:ascii="Times New Roman" w:cs="Times New Roman" w:eastAsia="Times New Roman" w:hAnsi="Times New Roman"/>
          <w:b/>
          <w:bCs/>
          <w:color w:val="1B2A4A"/>
          <w:sz w:val="22"/>
          <w:szCs w:val="22"/>
        </w:rPr>
        <w:t xml:space="preserve">5.1.a Inherent Citizenship: </w:t>
      </w:r>
      <w:r>
        <w:rPr>
          <w:rFonts w:ascii="Times New Roman" w:cs="Times New Roman" w:eastAsia="Times New Roman" w:hAnsi="Times New Roman"/>
          <w:color w:val="000000"/>
          <w:sz w:val="22"/>
          <w:szCs w:val="22"/>
        </w:rPr>
        <w:t xml:space="preserve">A child is automatically a citizen if at least one parent is a Citizen or Legal Resident at birth. This status is permanent and irrevocable.</w:t>
      </w:r>
    </w:p>
    <w:p>
      <w:pPr>
        <w:spacing w:after="60" w:before="60" w:line="280" w:lineRule="auto"/>
        <w:jc w:val="both"/>
      </w:pPr>
      <w:r>
        <w:rPr>
          <w:rFonts w:ascii="Times New Roman" w:cs="Times New Roman" w:eastAsia="Times New Roman" w:hAnsi="Times New Roman"/>
          <w:color w:val="000000"/>
          <w:sz w:val="22"/>
          <w:szCs w:val="22"/>
        </w:rPr>
        <w:t xml:space="preserve">5.1.a.i Statelessness Prevention: A child born on Republic territory to parents holding neither Citizen nor Legal Resident status is an Inhabitant from birth, with full Article I protections and Basic Needs Floor access. Where no other country recognises the child as a citizen, the Republic must provide a determination process consistent with the protection principles of §6.4 — including protection from removal during the proceeding. A child determined to hold no citizenship elsewhere is eligible for Legal Residency from birth. Time held as an Inhabitant under this provision counts in full toward the five-year residency requirement of §5.1.c.</w:t>
      </w:r>
    </w:p>
    <w:p>
      <w:pPr>
        <w:spacing w:after="60" w:before="60" w:line="280" w:lineRule="auto"/>
        <w:jc w:val="both"/>
      </w:pPr>
      <w:r>
        <w:rPr>
          <w:rFonts w:ascii="Times New Roman" w:cs="Times New Roman" w:eastAsia="Times New Roman" w:hAnsi="Times New Roman"/>
          <w:b/>
          <w:bCs/>
          <w:color w:val="1B2A4A"/>
          <w:sz w:val="22"/>
          <w:szCs w:val="22"/>
        </w:rPr>
        <w:t xml:space="preserve">5.1.b Coming of Age: </w:t>
      </w:r>
      <w:r>
        <w:rPr>
          <w:rFonts w:ascii="Times New Roman" w:cs="Times New Roman" w:eastAsia="Times New Roman" w:hAnsi="Times New Roman"/>
          <w:color w:val="000000"/>
          <w:sz w:val="22"/>
          <w:szCs w:val="22"/>
        </w:rPr>
        <w:t xml:space="preserve">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5.1.c Naturalization: </w:t>
      </w:r>
      <w:r>
        <w:rPr>
          <w:rFonts w:ascii="Times New Roman" w:cs="Times New Roman" w:eastAsia="Times New Roman" w:hAnsi="Times New Roman"/>
          <w:color w:val="000000"/>
          <w:sz w:val="22"/>
          <w:szCs w:val="22"/>
        </w:rPr>
        <w:t xml:space="preserve">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 residents who meet all criteria without using such programs qualify on the same terms.</w:t>
      </w:r>
    </w:p>
    <w:p>
      <w:pPr>
        <w:spacing w:after="60" w:before="60" w:line="280" w:lineRule="auto"/>
        <w:jc w:val="both"/>
      </w:pPr>
      <w:r>
        <w:rPr>
          <w:rFonts w:ascii="Times New Roman" w:cs="Times New Roman" w:eastAsia="Times New Roman" w:hAnsi="Times New Roman"/>
          <w:b/>
          <w:bCs/>
          <w:color w:val="1B2A4A"/>
          <w:sz w:val="22"/>
          <w:szCs w:val="22"/>
        </w:rPr>
        <w:t xml:space="preserve">5.1.d National Service Path: </w:t>
      </w:r>
      <w:r>
        <w:rPr>
          <w:rFonts w:ascii="Times New Roman" w:cs="Times New Roman" w:eastAsia="Times New Roman" w:hAnsi="Times New Roman"/>
          <w:color w:val="000000"/>
          <w:sz w:val="22"/>
          <w:szCs w:val="22"/>
        </w:rPr>
        <w:t xml:space="preserve">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line="280" w:lineRule="auto"/>
        <w:jc w:val="both"/>
      </w:pPr>
      <w:r>
        <w:rPr>
          <w:rFonts w:ascii="Times New Roman" w:cs="Times New Roman" w:eastAsia="Times New Roman" w:hAnsi="Times New Roman"/>
          <w:b/>
          <w:bCs/>
          <w:color w:val="1B2A4A"/>
          <w:sz w:val="22"/>
          <w:szCs w:val="22"/>
        </w:rPr>
        <w:t xml:space="preserve">5.1.e Citizenship Irrevocability: </w:t>
      </w:r>
      <w:r>
        <w:rPr>
          <w:rFonts w:ascii="Times New Roman" w:cs="Times New Roman" w:eastAsia="Times New Roman" w:hAnsi="Times New Roman"/>
          <w:color w:val="000000"/>
          <w:sz w:val="22"/>
          <w:szCs w:val="22"/>
        </w:rPr>
        <w:t xml:space="preserve">Citizenship may not be revoked by the Legislature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line="280" w:lineRule="auto"/>
        <w:jc w:val="both"/>
      </w:pPr>
      <w:r>
        <w:rPr>
          <w:rFonts w:ascii="Times New Roman" w:cs="Times New Roman" w:eastAsia="Times New Roman" w:hAnsi="Times New Roman"/>
          <w:b/>
          <w:bCs/>
          <w:color w:val="1B2A4A"/>
          <w:sz w:val="22"/>
          <w:szCs w:val="22"/>
        </w:rPr>
        <w:t xml:space="preserve">5.1.f Derivative Status: </w:t>
      </w:r>
      <w:r>
        <w:rPr>
          <w:rFonts w:ascii="Times New Roman" w:cs="Times New Roman" w:eastAsia="Times New Roman" w:hAnsi="Times New Roman"/>
          <w:color w:val="000000"/>
          <w:sz w:val="22"/>
          <w:szCs w:val="22"/>
        </w:rPr>
        <w:t xml:space="preserve">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spacing w:after="60" w:before="60" w:line="280" w:lineRule="auto"/>
        <w:jc w:val="both"/>
      </w:pPr>
      <w:r>
        <w:rPr>
          <w:rFonts w:ascii="Times New Roman" w:cs="Times New Roman" w:eastAsia="Times New Roman" w:hAnsi="Times New Roman"/>
          <w:b/>
          <w:bCs/>
          <w:color w:val="1B2A4A"/>
          <w:sz w:val="22"/>
          <w:szCs w:val="22"/>
        </w:rPr>
        <w:t xml:space="preserve">5.1.g Accelerated Naturalization — Long-Term Pre-Ratification Residents: </w:t>
      </w:r>
      <w:r>
        <w:rPr>
          <w:rFonts w:ascii="Times New Roman" w:cs="Times New Roman" w:eastAsia="Times New Roman" w:hAnsi="Times New Roman"/>
          <w:color w:val="000000"/>
          <w:sz w:val="22"/>
          <w:szCs w:val="22"/>
        </w:rPr>
        <w:t xml:space="preserve">Any person who resided continuously within the territory of the Republic for five or more years immediately prior to Day Zero ratification but did not hold voting rights under the predecessor government — including persons disenfranchised by discriminatory laws subsequently nullified under §19.2 — may apply for naturalization under an accelerated process the Legislature must establish by statute within one year of Phase 4 activation. The accelerated process must waive the Constitutional Logic Test requirement and must complete within 90 days of application. This provision ensures that long-term residents denied political participation by the predecessor government are not disadvantaged relative to those whose participation was recognized under §5.5.a. It does not extend to persons present within the territory for less than five continuous years before Day Zero. Time held as an Inhabitant under this provision counts in full toward any applicable waiting period for subsequent citizenship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5.2 — Legal Residents</w:t>
      </w:r>
    </w:p>
    <w:p>
      <w:pPr>
        <w:spacing w:after="60" w:before="60" w:line="280" w:lineRule="auto"/>
        <w:jc w:val="both"/>
      </w:pPr>
      <w:r>
        <w:rPr>
          <w:rFonts w:ascii="Times New Roman" w:cs="Times New Roman" w:eastAsia="Times New Roman" w:hAnsi="Times New Roman"/>
          <w:b/>
          <w:bCs/>
          <w:color w:val="1B2A4A"/>
          <w:sz w:val="22"/>
          <w:szCs w:val="22"/>
        </w:rPr>
        <w:t xml:space="preserve">5.2 Legal Resident Rights: </w:t>
      </w:r>
      <w:r>
        <w:rPr>
          <w:rFonts w:ascii="Times New Roman" w:cs="Times New Roman" w:eastAsia="Times New Roman" w:hAnsi="Times New Roman"/>
          <w:color w:val="000000"/>
          <w:sz w:val="22"/>
          <w:szCs w:val="22"/>
        </w:rPr>
        <w:t xml:space="preserve">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5.3 — Custodial Care of Citizen Children</w:t>
      </w:r>
    </w:p>
    <w:p>
      <w:pPr>
        <w:spacing w:after="60" w:before="60" w:line="280" w:lineRule="auto"/>
        <w:jc w:val="both"/>
      </w:pPr>
      <w:r>
        <w:rPr>
          <w:rFonts w:ascii="Times New Roman" w:cs="Times New Roman" w:eastAsia="Times New Roman" w:hAnsi="Times New Roman"/>
          <w:b/>
          <w:bCs/>
          <w:color w:val="1B2A4A"/>
          <w:sz w:val="22"/>
          <w:szCs w:val="22"/>
        </w:rPr>
        <w:t xml:space="preserve">5.3 Custodial Care of Citizen Children: </w:t>
      </w:r>
      <w:r>
        <w:rPr>
          <w:rFonts w:ascii="Times New Roman" w:cs="Times New Roman" w:eastAsia="Times New Roman" w:hAnsi="Times New Roman"/>
          <w:color w:val="000000"/>
          <w:sz w:val="22"/>
          <w:szCs w:val="22"/>
        </w:rPr>
        <w:t xml:space="preserve">Where a parent or guardian who is the primary caregiver of a citizen child is removed from the Republic under §6.2,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5.4 — The Constitutional Logic Test</w:t>
      </w:r>
    </w:p>
    <w:p>
      <w:pPr>
        <w:spacing w:after="60" w:before="60" w:line="280" w:lineRule="auto"/>
        <w:jc w:val="both"/>
      </w:pPr>
      <w:r>
        <w:rPr>
          <w:rFonts w:ascii="Times New Roman" w:cs="Times New Roman" w:eastAsia="Times New Roman" w:hAnsi="Times New Roman"/>
          <w:color w:val="000000"/>
          <w:sz w:val="22"/>
          <w:szCs w:val="22"/>
        </w:rPr>
        <w:t xml:space="preserve">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 This constitutional floor is the minimum content: the test must assess knowledge sufficient to understand the structure, powers, limits, and rights established by this Constitution. Any statute that reduces the CLT below this floor is void; any citizen may challenge such a statute in any court of competent jurisdiction.</w:t>
      </w:r>
    </w:p>
    <w:p>
      <w:pPr>
        <w:spacing w:after="60" w:before="60" w:line="280" w:lineRule="auto"/>
        <w:jc w:val="both"/>
      </w:pPr>
      <w:r>
        <w:rPr>
          <w:rFonts w:ascii="Times New Roman" w:cs="Times New Roman" w:eastAsia="Times New Roman" w:hAnsi="Times New Roman"/>
          <w:b/>
          <w:bCs/>
          <w:color w:val="1B2A4A"/>
          <w:sz w:val="22"/>
          <w:szCs w:val="22"/>
        </w:rPr>
        <w:t xml:space="preserve">5.4.a Senate Authority over the CLT Standard: </w:t>
      </w:r>
      <w:r>
        <w:rPr>
          <w:rFonts w:ascii="Times New Roman" w:cs="Times New Roman" w:eastAsia="Times New Roman" w:hAnsi="Times New Roman"/>
          <w:color w:val="000000"/>
          <w:sz w:val="22"/>
          <w:szCs w:val="22"/>
        </w:rPr>
        <w:t xml:space="preserve">The Senate establishes and maintains the content and passing threshold of the Constitutional Logic Test by statute, subject to the constitutional floor of this section. Any change that raises the standard requires a simple majority of the Senate. Any change that lowers the standard — reducing the knowledge required or the passing threshold — requires a 2/3 supermajority of the Senate. If the Senate deadlocks on any proposed change, the existing version of the test and passing threshold remains in force. The Legislature may by statute establish an independent administrator for the CLT and provide for that administrator’s independence, term, and removal consistent with §3.7 of this Constitution.</w:t>
      </w:r>
    </w:p>
    <w:p>
      <w:pPr>
        <w:spacing w:after="60" w:before="60" w:line="280" w:lineRule="auto"/>
        <w:jc w:val="both"/>
      </w:pPr>
      <w:r>
        <w:rPr>
          <w:rFonts w:ascii="Times New Roman" w:cs="Times New Roman" w:eastAsia="Times New Roman" w:hAnsi="Times New Roman"/>
          <w:b/>
          <w:bCs/>
          <w:color w:val="1B2A4A"/>
          <w:sz w:val="22"/>
          <w:szCs w:val="22"/>
        </w:rPr>
        <w:t xml:space="preserve">5.4.c Status Quo Maintenance: </w:t>
      </w:r>
      <w:r>
        <w:rPr>
          <w:rFonts w:ascii="Times New Roman" w:cs="Times New Roman" w:eastAsia="Times New Roman" w:hAnsi="Times New Roman"/>
          <w:color w:val="000000"/>
          <w:sz w:val="22"/>
          <w:szCs w:val="22"/>
        </w:rPr>
        <w:t xml:space="preserve">If the Senate deadlocks on any proposed change to the CLT standard, the existing version of the test and passing threshold remains in force. Deadlock cannot be used to force a change by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5.5 — Day Zero Grandfather Clause</w:t>
      </w:r>
    </w:p>
    <w:p>
      <w:pPr>
        <w:spacing w:after="60" w:before="60" w:line="280" w:lineRule="auto"/>
        <w:jc w:val="both"/>
      </w:pPr>
      <w:r>
        <w:rPr>
          <w:rFonts w:ascii="Times New Roman" w:cs="Times New Roman" w:eastAsia="Times New Roman" w:hAnsi="Times New Roman"/>
          <w:b/>
          <w:bCs/>
          <w:color w:val="1B2A4A"/>
          <w:sz w:val="22"/>
          <w:szCs w:val="22"/>
        </w:rPr>
        <w:t xml:space="preserve">5.5.a Automatic Citizenship Grant: </w:t>
      </w:r>
      <w:r>
        <w:rPr>
          <w:rFonts w:ascii="Times New Roman" w:cs="Times New Roman" w:eastAsia="Times New Roman" w:hAnsi="Times New Roman"/>
          <w:color w:val="000000"/>
          <w:sz w:val="22"/>
          <w:szCs w:val="22"/>
        </w:rPr>
        <w:t xml:space="preserve">All individuals holding voting rights on Day Zero of ratification are automatically granted active Citizen Voting Credentials and recognized as full citizens without further testing.</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 — IMMIGRATION AND RESIDENCY</w:t>
      </w:r>
    </w:p>
    <w:p>
      <w:pPr>
        <w:spacing w:after="60" w:before="60" w:line="280" w:lineRule="auto"/>
        <w:jc w:val="both"/>
      </w:pPr>
      <w:r>
        <w:rPr>
          <w:rFonts w:ascii="Times New Roman" w:cs="Times New Roman" w:eastAsia="Times New Roman" w:hAnsi="Times New Roman"/>
          <w:color w:val="000000"/>
          <w:sz w:val="22"/>
          <w:szCs w:val="22"/>
        </w:rPr>
        <w:t xml:space="preserve">The Republic's immigration framework rests on Legislative Supremacy and Ministerial Execution. Power over the demographic future belongs to the House and the People — no executive may manipulate citizenship or residency for political gain.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6.1 — The Dual-Gate System</w:t>
      </w:r>
    </w:p>
    <w:p>
      <w:pPr>
        <w:spacing w:after="60" w:before="60" w:line="280" w:lineRule="auto"/>
        <w:jc w:val="both"/>
      </w:pPr>
      <w:r>
        <w:rPr>
          <w:rFonts w:ascii="Times New Roman" w:cs="Times New Roman" w:eastAsia="Times New Roman" w:hAnsi="Times New Roman"/>
          <w:color w:val="000000"/>
          <w:sz w:val="22"/>
          <w:szCs w:val="22"/>
        </w:rPr>
        <w:t xml:space="preserve">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line="280" w:lineRule="auto"/>
        <w:jc w:val="both"/>
      </w:pPr>
      <w:r>
        <w:rPr>
          <w:rFonts w:ascii="Times New Roman" w:cs="Times New Roman" w:eastAsia="Times New Roman" w:hAnsi="Times New Roman"/>
          <w:b/>
          <w:bCs/>
          <w:color w:val="1B2A4A"/>
          <w:sz w:val="22"/>
          <w:szCs w:val="22"/>
        </w:rPr>
        <w:t xml:space="preserve">6.1.a Gate 1 — State Sponsorship: </w:t>
      </w:r>
      <w:r>
        <w:rPr>
          <w:rFonts w:ascii="Times New Roman" w:cs="Times New Roman" w:eastAsia="Times New Roman" w:hAnsi="Times New Roman"/>
          <w:color w:val="000000"/>
          <w:sz w:val="22"/>
          <w:szCs w:val="22"/>
        </w:rPr>
        <w:t xml:space="preserve">A sponsoring State certifies that the applicant has been reviewed through the State's own vetting process and that the State accepts responsibility for notification obligations during the application period. States may establish their own sponsorship criteria by statute, provided they do not discriminate on the basis of any characteristic protected by §1.8.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line="280" w:lineRule="auto"/>
        <w:jc w:val="both"/>
      </w:pPr>
      <w:r>
        <w:rPr>
          <w:rFonts w:ascii="Times New Roman" w:cs="Times New Roman" w:eastAsia="Times New Roman" w:hAnsi="Times New Roman"/>
          <w:b/>
          <w:bCs/>
          <w:color w:val="1B2A4A"/>
          <w:sz w:val="22"/>
          <w:szCs w:val="22"/>
        </w:rPr>
        <w:t xml:space="preserve">6.1.b Gate 2 — Federal Certification: </w:t>
      </w:r>
      <w:r>
        <w:rPr>
          <w:rFonts w:ascii="Times New Roman" w:cs="Times New Roman" w:eastAsia="Times New Roman" w:hAnsi="Times New Roman"/>
          <w:color w:val="000000"/>
          <w:sz w:val="22"/>
          <w:szCs w:val="22"/>
        </w:rPr>
        <w:t xml:space="preserve">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Electoral Inspectorate annually publishes — is presumptively discriminatory and void unless the Legislature demonstrates a compelling non-discriminatory justification before the Supreme Court within 90 days of the EI publication.</w:t>
      </w:r>
    </w:p>
    <w:p>
      <w:pPr>
        <w:spacing w:after="60" w:before="60" w:line="280" w:lineRule="auto"/>
        <w:jc w:val="both"/>
      </w:pPr>
      <w:r>
        <w:rPr>
          <w:rFonts w:ascii="Times New Roman" w:cs="Times New Roman" w:eastAsia="Times New Roman" w:hAnsi="Times New Roman"/>
          <w:b/>
          <w:bCs/>
          <w:color w:val="1B2A4A"/>
          <w:sz w:val="22"/>
          <w:szCs w:val="22"/>
        </w:rPr>
        <w:t xml:space="preserve">6.1.c Presidential Role: </w:t>
      </w:r>
      <w:r>
        <w:rPr>
          <w:rFonts w:ascii="Times New Roman" w:cs="Times New Roman" w:eastAsia="Times New Roman" w:hAnsi="Times New Roman"/>
          <w:color w:val="000000"/>
          <w:sz w:val="22"/>
          <w:szCs w:val="22"/>
        </w:rPr>
        <w:t xml:space="preserve">Once an applicant clears both gates, the President must ministerially issue residency credentials within a period the Legislature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constitutional violation and are subject to proceedings.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6.2 — Enforcement and Removal</w:t>
      </w:r>
    </w:p>
    <w:p>
      <w:pPr>
        <w:spacing w:after="60" w:before="60" w:line="280" w:lineRule="auto"/>
        <w:jc w:val="both"/>
      </w:pPr>
      <w:r>
        <w:rPr>
          <w:rFonts w:ascii="Times New Roman" w:cs="Times New Roman" w:eastAsia="Times New Roman" w:hAnsi="Times New Roman"/>
          <w:b/>
          <w:bCs/>
          <w:color w:val="1B2A4A"/>
          <w:sz w:val="22"/>
          <w:szCs w:val="22"/>
        </w:rPr>
        <w:t xml:space="preserve">6.2 Removal Authority: </w:t>
      </w:r>
      <w:r>
        <w:rPr>
          <w:rFonts w:ascii="Times New Roman" w:cs="Times New Roman" w:eastAsia="Times New Roman" w:hAnsi="Times New Roman"/>
          <w:color w:val="000000"/>
          <w:sz w:val="22"/>
          <w:szCs w:val="22"/>
        </w:rPr>
        <w:t xml:space="preserve">Only the Federal government may remove individuals from the Republic — States may not conduct deportations. Removal occurs only for violations of laws the Legislature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the Legislature provides — §6.4.b's protection during proceedings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6.3 — Application Appeals</w:t>
      </w:r>
    </w:p>
    <w:p>
      <w:pPr>
        <w:spacing w:after="60" w:before="60" w:line="280" w:lineRule="auto"/>
        <w:jc w:val="both"/>
      </w:pPr>
      <w:r>
        <w:rPr>
          <w:rFonts w:ascii="Times New Roman" w:cs="Times New Roman" w:eastAsia="Times New Roman" w:hAnsi="Times New Roman"/>
          <w:color w:val="000000"/>
          <w:sz w:val="22"/>
          <w:szCs w:val="22"/>
        </w:rPr>
        <w:t xml:space="preserve">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line="280" w:lineRule="auto"/>
        <w:jc w:val="both"/>
      </w:pPr>
      <w:r>
        <w:rPr>
          <w:rFonts w:ascii="Times New Roman" w:cs="Times New Roman" w:eastAsia="Times New Roman" w:hAnsi="Times New Roman"/>
          <w:b/>
          <w:bCs/>
          <w:color w:val="1B2A4A"/>
          <w:sz w:val="22"/>
          <w:szCs w:val="22"/>
        </w:rPr>
        <w:t xml:space="preserve">6.3.a Judicial Challenge: </w:t>
      </w:r>
      <w:r>
        <w:rPr>
          <w:rFonts w:ascii="Times New Roman" w:cs="Times New Roman" w:eastAsia="Times New Roman" w:hAnsi="Times New Roman"/>
          <w:color w:val="000000"/>
          <w:sz w:val="22"/>
          <w:szCs w:val="22"/>
        </w:rPr>
        <w:t xml:space="preserve">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line="280" w:lineRule="auto"/>
        <w:jc w:val="both"/>
      </w:pPr>
      <w:r>
        <w:rPr>
          <w:rFonts w:ascii="Times New Roman" w:cs="Times New Roman" w:eastAsia="Times New Roman" w:hAnsi="Times New Roman"/>
          <w:b/>
          <w:bCs/>
          <w:color w:val="1B2A4A"/>
          <w:sz w:val="22"/>
          <w:szCs w:val="22"/>
        </w:rPr>
        <w:t xml:space="preserve">6.3.b National Security Denials: </w:t>
      </w:r>
      <w:r>
        <w:rPr>
          <w:rFonts w:ascii="Times New Roman" w:cs="Times New Roman" w:eastAsia="Times New Roman" w:hAnsi="Times New Roman"/>
          <w:color w:val="000000"/>
          <w:sz w:val="22"/>
          <w:szCs w:val="22"/>
        </w:rPr>
        <w:t xml:space="preserve">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6.4 — Asylum and Protection</w:t>
      </w:r>
    </w:p>
    <w:p>
      <w:pPr>
        <w:spacing w:after="60" w:before="60" w:line="280" w:lineRule="auto"/>
        <w:jc w:val="both"/>
      </w:pPr>
      <w:r>
        <w:rPr>
          <w:rFonts w:ascii="Times New Roman" w:cs="Times New Roman" w:eastAsia="Times New Roman" w:hAnsi="Times New Roman"/>
          <w:b/>
          <w:bCs/>
          <w:color w:val="1B2A4A"/>
          <w:sz w:val="22"/>
          <w:szCs w:val="22"/>
        </w:rPr>
        <w:t xml:space="preserve">6.4.a Asylum Seekers as Inhabitants: </w:t>
      </w:r>
      <w:r>
        <w:rPr>
          <w:rFonts w:ascii="Times New Roman" w:cs="Times New Roman" w:eastAsia="Times New Roman" w:hAnsi="Times New Roman"/>
          <w:color w:val="000000"/>
          <w:sz w:val="22"/>
          <w:szCs w:val="22"/>
        </w:rPr>
        <w:t xml:space="preserve">Any person who files a claim under §1.27 is an Inhabitant of the Republic for purposes of §10.1's Basic Needs Floor from the date of filing. the Legislature may not by statute define Inhabitant in a manner that excludes persons with pending asylum claims from Basic Needs Floor coverage during the claim period.</w:t>
      </w:r>
    </w:p>
    <w:p>
      <w:pPr>
        <w:spacing w:after="60" w:before="60" w:line="280" w:lineRule="auto"/>
        <w:jc w:val="both"/>
      </w:pPr>
      <w:r>
        <w:rPr>
          <w:rFonts w:ascii="Times New Roman" w:cs="Times New Roman" w:eastAsia="Times New Roman" w:hAnsi="Times New Roman"/>
          <w:b/>
          <w:bCs/>
          <w:color w:val="1B2A4A"/>
          <w:sz w:val="22"/>
          <w:szCs w:val="22"/>
        </w:rPr>
        <w:t xml:space="preserve">6.4.b Right to Determination and Protection During Proceedings: </w:t>
      </w:r>
      <w:r>
        <w:rPr>
          <w:rFonts w:ascii="Times New Roman" w:cs="Times New Roman" w:eastAsia="Times New Roman" w:hAnsi="Times New Roman"/>
          <w:color w:val="000000"/>
          <w:sz w:val="22"/>
          <w:szCs w:val="22"/>
        </w:rPr>
        <w:t xml:space="preserve">Any person who claims protection under §1.27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pPr>
        <w:spacing w:after="60" w:before="60" w:line="280" w:lineRule="auto"/>
        <w:jc w:val="both"/>
      </w:pPr>
      <w:r>
        <w:rPr>
          <w:rFonts w:ascii="Times New Roman" w:cs="Times New Roman" w:eastAsia="Times New Roman" w:hAnsi="Times New Roman"/>
          <w:b/>
          <w:bCs/>
          <w:color w:val="1B2A4A"/>
          <w:sz w:val="22"/>
          <w:szCs w:val="22"/>
        </w:rPr>
        <w:t xml:space="preserve">6.4.c Asylum Court: </w:t>
      </w:r>
      <w:r>
        <w:rPr>
          <w:rFonts w:ascii="Times New Roman" w:cs="Times New Roman" w:eastAsia="Times New Roman" w:hAnsi="Times New Roman"/>
          <w:color w:val="000000"/>
          <w:sz w:val="22"/>
          <w:szCs w:val="22"/>
        </w:rPr>
        <w:t xml:space="preserve">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constitutional failure for the presiding officers of both chambers; federal courts have direct jurisdiction over asylum claims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6.4.d Non-Penalization for Irregular Entry: </w:t>
      </w:r>
      <w:r>
        <w:rPr>
          <w:rFonts w:ascii="Times New Roman" w:cs="Times New Roman" w:eastAsia="Times New Roman" w:hAnsi="Times New Roman"/>
          <w:color w:val="000000"/>
          <w:sz w:val="22"/>
          <w:szCs w:val="22"/>
        </w:rPr>
        <w:t xml:space="preserve">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pPr>
        <w:spacing w:after="60" w:before="60" w:line="280" w:lineRule="auto"/>
        <w:jc w:val="both"/>
      </w:pPr>
      <w:r>
        <w:rPr>
          <w:rFonts w:ascii="Times New Roman" w:cs="Times New Roman" w:eastAsia="Times New Roman" w:hAnsi="Times New Roman"/>
          <w:b/>
          <w:bCs/>
          <w:color w:val="1B2A4A"/>
          <w:sz w:val="22"/>
          <w:szCs w:val="22"/>
        </w:rPr>
        <w:t xml:space="preserve">6.4.e Unexecutable Removal Orders: </w:t>
      </w:r>
      <w:r>
        <w:rPr>
          <w:rFonts w:ascii="Times New Roman" w:cs="Times New Roman" w:eastAsia="Times New Roman" w:hAnsi="Times New Roman"/>
          <w:color w:val="000000"/>
          <w:sz w:val="22"/>
          <w:szCs w:val="22"/>
        </w:rPr>
        <w:t xml:space="preserve">the Legislature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constitutional failure for the presiding officers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6.4.f Security and Criminal Protection Cases: </w:t>
      </w:r>
      <w:r>
        <w:rPr>
          <w:rFonts w:ascii="Times New Roman" w:cs="Times New Roman" w:eastAsia="Times New Roman" w:hAnsi="Times New Roman"/>
          <w:color w:val="000000"/>
          <w:sz w:val="22"/>
          <w:szCs w:val="22"/>
        </w:rPr>
        <w:t xml:space="preserve">Where the Asylum Court grants §1.27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6.4.g Territory Accessibility: </w:t>
      </w:r>
      <w:r>
        <w:rPr>
          <w:rFonts w:ascii="Times New Roman" w:cs="Times New Roman" w:eastAsia="Times New Roman" w:hAnsi="Times New Roman"/>
          <w:color w:val="000000"/>
          <w:sz w:val="22"/>
          <w:szCs w:val="22"/>
        </w:rPr>
        <w:t xml:space="preserve">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pPr>
        <w:spacing w:after="60" w:before="60" w:line="280" w:lineRule="auto"/>
        <w:jc w:val="both"/>
      </w:pPr>
      <w:r>
        <w:rPr>
          <w:rFonts w:ascii="Times New Roman" w:cs="Times New Roman" w:eastAsia="Times New Roman" w:hAnsi="Times New Roman"/>
          <w:b/>
          <w:bCs/>
          <w:color w:val="1B2A4A"/>
          <w:sz w:val="22"/>
          <w:szCs w:val="22"/>
        </w:rPr>
        <w:t xml:space="preserve">6.4.h Unaccompanied Minors: </w:t>
      </w:r>
      <w:r>
        <w:rPr>
          <w:rFonts w:ascii="Times New Roman" w:cs="Times New Roman" w:eastAsia="Times New Roman" w:hAnsi="Times New Roman"/>
          <w:color w:val="000000"/>
          <w:sz w:val="22"/>
          <w:szCs w:val="22"/>
        </w:rPr>
        <w:t xml:space="preserve">An unaccompanied minor who arrives within Republic territory or presents to Republic authorities without a parent or legal guardian is an Inhabitant from the moment of contact and holds full §1.27 protection. The Republic must appoint a federal legal guardian within 24 hours of contact. The guardian files the asylum claim on the minor's behalf and represents them throughout all proceedings. Custody during proceedings follows the principles of §5.3. The Asylum Court must prioritise unaccompanied minor cases. No unaccompanied minor may be detained in a facility not specifically designated and resourced for the care of children.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 — ELECTIONS AND THE NATIONAL VOTE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7.1 — Standard Elections (Ranked Choice)</w:t>
      </w:r>
    </w:p>
    <w:p>
      <w:pPr>
        <w:spacing w:after="60" w:before="60" w:line="280" w:lineRule="auto"/>
        <w:jc w:val="both"/>
      </w:pPr>
      <w:r>
        <w:rPr>
          <w:rFonts w:ascii="Times New Roman" w:cs="Times New Roman" w:eastAsia="Times New Roman" w:hAnsi="Times New Roman"/>
          <w:color w:val="000000"/>
          <w:sz w:val="22"/>
          <w:szCs w:val="22"/>
        </w:rPr>
        <w:t xml:space="preserve">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7.2 — Presidential Election: National Vote and Regional Diversity</w:t>
      </w:r>
    </w:p>
    <w:p>
      <w:pPr>
        <w:spacing w:after="60" w:before="60" w:line="280" w:lineRule="auto"/>
        <w:jc w:val="both"/>
      </w:pPr>
      <w:r>
        <w:rPr>
          <w:rFonts w:ascii="Times New Roman" w:cs="Times New Roman" w:eastAsia="Times New Roman" w:hAnsi="Times New Roman"/>
          <w:color w:val="000000"/>
          <w:sz w:val="22"/>
          <w:szCs w:val="22"/>
        </w:rPr>
        <w:t xml:space="preserve">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line="280" w:lineRule="auto"/>
        <w:jc w:val="both"/>
      </w:pPr>
      <w:r>
        <w:rPr>
          <w:rFonts w:ascii="Times New Roman" w:cs="Times New Roman" w:eastAsia="Times New Roman" w:hAnsi="Times New Roman"/>
          <w:b/>
          <w:bCs/>
          <w:color w:val="1B2A4A"/>
          <w:sz w:val="22"/>
          <w:szCs w:val="22"/>
        </w:rPr>
        <w:t xml:space="preserve">7.2.a National Ranked Choice Vote: </w:t>
      </w:r>
      <w:r>
        <w:rPr>
          <w:rFonts w:ascii="Times New Roman" w:cs="Times New Roman" w:eastAsia="Times New Roman" w:hAnsi="Times New Roman"/>
          <w:color w:val="000000"/>
          <w:sz w:val="22"/>
          <w:szCs w:val="22"/>
        </w:rPr>
        <w:t xml:space="preserve">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line="280" w:lineRule="auto"/>
        <w:jc w:val="both"/>
      </w:pPr>
      <w:r>
        <w:rPr>
          <w:rFonts w:ascii="Times New Roman" w:cs="Times New Roman" w:eastAsia="Times New Roman" w:hAnsi="Times New Roman"/>
          <w:b/>
          <w:bCs/>
          <w:color w:val="1B2A4A"/>
          <w:sz w:val="22"/>
          <w:szCs w:val="22"/>
        </w:rPr>
        <w:t xml:space="preserve">7.2.b The Combined Score: </w:t>
      </w:r>
      <w:r>
        <w:rPr>
          <w:rFonts w:ascii="Times New Roman" w:cs="Times New Roman" w:eastAsia="Times New Roman" w:hAnsi="Times New Roman"/>
          <w:color w:val="000000"/>
          <w:sz w:val="22"/>
          <w:szCs w:val="22"/>
        </w:rPr>
        <w:t xml:space="preserve">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the Legislature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w:t>
      </w:r>
    </w:p>
    <w:p>
      <w:pPr>
        <w:spacing w:after="60" w:before="60" w:line="280" w:lineRule="auto"/>
        <w:jc w:val="both"/>
      </w:pPr>
      <w:r>
        <w:rPr>
          <w:rFonts w:ascii="Times New Roman" w:cs="Times New Roman" w:eastAsia="Times New Roman" w:hAnsi="Times New Roman"/>
          <w:b/>
          <w:bCs/>
          <w:color w:val="1B2A4A"/>
          <w:sz w:val="22"/>
          <w:szCs w:val="22"/>
        </w:rPr>
        <w:t xml:space="preserve">7.2.c Presidential Election Regions: </w:t>
      </w:r>
      <w:r>
        <w:rPr>
          <w:rFonts w:ascii="Times New Roman" w:cs="Times New Roman" w:eastAsia="Times New Roman" w:hAnsi="Times New Roman"/>
          <w:color w:val="000000"/>
          <w:sz w:val="22"/>
          <w:szCs w:val="22"/>
        </w:rPr>
        <w:t xml:space="preserve">The Republic is divided into regions for presidential election purposes. the Legislature defines the number of regions by statute, in proportion to the Republic's geographic scale and State count — at least three regions and, where the Republic comprises more than thirty States, no more than one region per ten States. Regions are drawn by the Electoral Commission using the same criteria hierarchy and prohibited inputs that govern House redistricting under §3.4.a and §3.4.b, applied at the regional scale. The Legislative Inspectorate reviews each regional map for compliance and may not approve a map where statistical evidence shows it could not have been drawn by a neutral actor applying the criteria correctly. The number of regions the Legislature defines is fixed for the duration of the drawing cycle in which it is set — the Legislature may alter the count only at the start of a new drawing cycle, concurrent with a regional redrawing. A change in regional count that does not coincide with a regional redrawing is void.</w:t>
      </w:r>
    </w:p>
    <w:p>
      <w:pPr>
        <w:spacing w:after="60" w:before="60" w:line="280" w:lineRule="auto"/>
        <w:jc w:val="both"/>
      </w:pPr>
      <w:r>
        <w:rPr>
          <w:rFonts w:ascii="Times New Roman" w:cs="Times New Roman" w:eastAsia="Times New Roman" w:hAnsi="Times New Roman"/>
          <w:b/>
          <w:bCs/>
          <w:color w:val="1B2A4A"/>
          <w:sz w:val="22"/>
          <w:szCs w:val="22"/>
        </w:rPr>
        <w:t xml:space="preserve">7.2.d New and Devolved States: </w:t>
      </w:r>
      <w:r>
        <w:rPr>
          <w:rFonts w:ascii="Times New Roman" w:cs="Times New Roman" w:eastAsia="Times New Roman" w:hAnsi="Times New Roman"/>
          <w:color w:val="000000"/>
          <w:sz w:val="22"/>
          <w:szCs w:val="22"/>
        </w:rPr>
        <w:t xml:space="preserve">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line="280" w:lineRule="auto"/>
        <w:jc w:val="both"/>
      </w:pPr>
      <w:r>
        <w:rPr>
          <w:rFonts w:ascii="Times New Roman" w:cs="Times New Roman" w:eastAsia="Times New Roman" w:hAnsi="Times New Roman"/>
          <w:b/>
          <w:bCs/>
          <w:color w:val="1B2A4A"/>
          <w:sz w:val="22"/>
          <w:szCs w:val="22"/>
        </w:rPr>
        <w:t xml:space="preserve">7.2.e Election Certification: </w:t>
      </w:r>
      <w:r>
        <w:rPr>
          <w:rFonts w:ascii="Times New Roman" w:cs="Times New Roman" w:eastAsia="Times New Roman" w:hAnsi="Times New Roman"/>
          <w:color w:val="000000"/>
          <w:sz w:val="22"/>
          <w:szCs w:val="22"/>
        </w:rPr>
        <w:t xml:space="preserve">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spacing w:after="60" w:before="60" w:line="280" w:lineRule="auto"/>
        <w:jc w:val="both"/>
      </w:pPr>
      <w:r>
        <w:rPr>
          <w:rFonts w:ascii="Times New Roman" w:cs="Times New Roman" w:eastAsia="Times New Roman" w:hAnsi="Times New Roman"/>
          <w:b/>
          <w:bCs/>
          <w:color w:val="1B2A4A"/>
          <w:sz w:val="22"/>
          <w:szCs w:val="22"/>
        </w:rPr>
        <w:t xml:space="preserve">7.2.f Run-off: </w:t>
      </w:r>
      <w:r>
        <w:rPr>
          <w:rFonts w:ascii="Times New Roman" w:cs="Times New Roman" w:eastAsia="Times New Roman" w:hAnsi="Times New Roman"/>
          <w:color w:val="000000"/>
          <w:sz w:val="22"/>
          <w:szCs w:val="22"/>
        </w:rPr>
        <w:t xml:space="preserve">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7.3 — Election Integrity</w:t>
      </w:r>
    </w:p>
    <w:p>
      <w:pPr>
        <w:spacing w:after="60" w:before="60" w:line="280" w:lineRule="auto"/>
        <w:jc w:val="both"/>
      </w:pPr>
      <w:r>
        <w:rPr>
          <w:rFonts w:ascii="Times New Roman" w:cs="Times New Roman" w:eastAsia="Times New Roman" w:hAnsi="Times New Roman"/>
          <w:b/>
          <w:bCs/>
          <w:color w:val="1B2A4A"/>
          <w:sz w:val="22"/>
          <w:szCs w:val="22"/>
        </w:rPr>
        <w:t xml:space="preserve">7.3.a No Executive Interference: </w:t>
      </w:r>
      <w:r>
        <w:rPr>
          <w:rFonts w:ascii="Times New Roman" w:cs="Times New Roman" w:eastAsia="Times New Roman" w:hAnsi="Times New Roman"/>
          <w:color w:val="000000"/>
          <w:sz w:val="22"/>
          <w:szCs w:val="22"/>
        </w:rPr>
        <w:t xml:space="preserve">The President may not declare, postpone, or influence the scheduling of elections. The House sets the election calendar by standing statute, alterable only by a 2/3 supermajority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7.3.b National Voting System: </w:t>
      </w:r>
      <w:r>
        <w:rPr>
          <w:rFonts w:ascii="Times New Roman" w:cs="Times New Roman" w:eastAsia="Times New Roman" w:hAnsi="Times New Roman"/>
          <w:color w:val="000000"/>
          <w:sz w:val="22"/>
          <w:szCs w:val="22"/>
        </w:rPr>
        <w:t xml:space="preserve">The Electoral Commission administers the National Voting System, through which all elections and referenda are conducted (Article XVI). No election result is valid unless conducted through it.</w:t>
      </w:r>
    </w:p>
    <w:p>
      <w:pPr>
        <w:spacing w:after="60" w:before="60" w:line="280" w:lineRule="auto"/>
        <w:jc w:val="both"/>
      </w:pPr>
      <w:r>
        <w:rPr>
          <w:rFonts w:ascii="Times New Roman" w:cs="Times New Roman" w:eastAsia="Times New Roman" w:hAnsi="Times New Roman"/>
          <w:b/>
          <w:bCs/>
          <w:color w:val="1B2A4A"/>
          <w:sz w:val="22"/>
          <w:szCs w:val="22"/>
        </w:rPr>
        <w:t xml:space="preserve">7.3.c Participation Protection: </w:t>
      </w:r>
      <w:r>
        <w:rPr>
          <w:rFonts w:ascii="Times New Roman" w:cs="Times New Roman" w:eastAsia="Times New Roman" w:hAnsi="Times New Roman"/>
          <w:color w:val="000000"/>
          <w:sz w:val="22"/>
          <w:szCs w:val="22"/>
        </w:rPr>
        <w:t xml:space="preserve">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is reported to the National Record System by the relevant Inspectorate for the relevant State officials.</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VIII — THE INSPECTORATES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three permanent Inspectorates — one for each branch. Each is independent, non-partisan, and without enforcement power: Inspectorates publish facts; courts, the Legislature, and the People decide what to do with them. No branch controls its own oversight.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 — The Three Inspectorates</w:t>
      </w:r>
    </w:p>
    <w:p>
      <w:pPr>
        <w:spacing w:after="60" w:before="60" w:line="280" w:lineRule="auto"/>
        <w:jc w:val="both"/>
      </w:pPr>
      <w:r>
        <w:rPr>
          <w:rFonts w:ascii="Times New Roman" w:cs="Times New Roman" w:eastAsia="Times New Roman" w:hAnsi="Times New Roman"/>
          <w:b/>
          <w:bCs/>
          <w:color w:val="1B2A4A"/>
          <w:sz w:val="22"/>
          <w:szCs w:val="22"/>
        </w:rPr>
        <w:t xml:space="preserve">8.1.a The Legislative Inspectorate (LI): </w:t>
      </w:r>
      <w:r>
        <w:rPr>
          <w:rFonts w:ascii="Times New Roman" w:cs="Times New Roman" w:eastAsia="Times New Roman" w:hAnsi="Times New Roman"/>
          <w:color w:val="000000"/>
          <w:sz w:val="22"/>
          <w:szCs w:val="22"/>
        </w:rPr>
        <w:t xml:space="preserve">Audits the House and Senate for fiscal accuracy, constitutional compliance of enacted legislation, and National Record System integrity of parliamentary records. Conducts the population census (§3.1.b) and reviews State-drawn federal House district maps for compliance (§3.4). Reviews State Remediation Plans under §13.3.b.</w:t>
      </w:r>
    </w:p>
    <w:p>
      <w:pPr>
        <w:spacing w:after="60" w:before="60" w:line="280" w:lineRule="auto"/>
        <w:jc w:val="both"/>
      </w:pPr>
      <w:r>
        <w:rPr>
          <w:rFonts w:ascii="Times New Roman" w:cs="Times New Roman" w:eastAsia="Times New Roman" w:hAnsi="Times New Roman"/>
          <w:b/>
          <w:bCs/>
          <w:color w:val="1B2A4A"/>
          <w:sz w:val="22"/>
          <w:szCs w:val="22"/>
        </w:rPr>
        <w:t xml:space="preserve">8.1.b The Executive Inspectorate (EI): </w:t>
      </w:r>
      <w:r>
        <w:rPr>
          <w:rFonts w:ascii="Times New Roman" w:cs="Times New Roman" w:eastAsia="Times New Roman" w:hAnsi="Times New Roman"/>
          <w:color w:val="000000"/>
          <w:sz w:val="22"/>
          <w:szCs w:val="22"/>
        </w:rPr>
        <w:t xml:space="preserve">Audits both executive offices and the Monetary Authority for constitutional compliance — including NRS mandate adherence, domain boundary compliance, classification rules, ethics provisions, public defense resourcing (§1.14.b), Treaty Emergency Certification expenditures (§12.5), and the National Endowment where established by statute.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 Military Constitutional Compliance: The Executive Inspectorate's annual audit of the presidential office includes a specific assessment of military constitutional compliance: whether military operations during the year were authorized through the Tier framework of §2.1; whether Intelligence Firewall compliance under §12.3 was maintained with no domestic surveillance of Republic citizens; and whether fund certification requirements under §2.1.d were followed for all military expenditures. The EI publishes its military constitutional compliance findings as a dedicated section of its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8.1.c The Judicial Inspectorate (JI): </w:t>
      </w:r>
      <w:r>
        <w:rPr>
          <w:rFonts w:ascii="Times New Roman" w:cs="Times New Roman" w:eastAsia="Times New Roman" w:hAnsi="Times New Roman"/>
          <w:color w:val="000000"/>
          <w:sz w:val="22"/>
          <w:szCs w:val="22"/>
        </w:rPr>
        <w:t xml:space="preserve">Audits the court system for compliance with judicial scope and independence; maintains the Supreme Court Candidate Registry (§8.4.e); vets judicial nominees and Electoral Commission candidates; conducts eligibility screens on referendum petitions; and audits the Electoral Commission annually.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8.2 — Selection and Independence</w:t>
      </w:r>
    </w:p>
    <w:p>
      <w:pPr>
        <w:spacing w:after="60" w:before="60" w:line="280" w:lineRule="auto"/>
        <w:jc w:val="both"/>
      </w:pPr>
      <w:r>
        <w:rPr>
          <w:rFonts w:ascii="Times New Roman" w:cs="Times New Roman" w:eastAsia="Times New Roman" w:hAnsi="Times New Roman"/>
          <w:color w:val="000000"/>
          <w:sz w:val="22"/>
          <w:szCs w:val="22"/>
        </w:rPr>
        <w:t xml:space="preserve">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60" w:before="60" w:line="280" w:lineRule="auto"/>
        <w:jc w:val="both"/>
      </w:pPr>
      <w:r>
        <w:rPr>
          <w:rFonts w:ascii="Times New Roman" w:cs="Times New Roman" w:eastAsia="Times New Roman" w:hAnsi="Times New Roman"/>
          <w:color w:val="000000"/>
          <w:sz w:val="22"/>
          <w:szCs w:val="22"/>
        </w:rPr>
        <w:t xml:space="preserve">No person may serve as Inspector General who has held any elected or appointed government position within the 10 years before appointment, or who holds any financial interest in any entity regulated by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8.3 — The Legislative and Executive IG: Appointment</w:t>
      </w:r>
    </w:p>
    <w:p>
      <w:pPr>
        <w:spacing w:after="60" w:before="60" w:line="280" w:lineRule="auto"/>
        <w:jc w:val="both"/>
      </w:pPr>
      <w:r>
        <w:rPr>
          <w:rFonts w:ascii="Times New Roman" w:cs="Times New Roman" w:eastAsia="Times New Roman" w:hAnsi="Times New Roman"/>
          <w:b/>
          <w:bCs/>
          <w:color w:val="1B2A4A"/>
          <w:sz w:val="22"/>
          <w:szCs w:val="22"/>
        </w:rPr>
        <w:t xml:space="preserve">8.3.a Legislative IG: </w:t>
      </w:r>
      <w:r>
        <w:rPr>
          <w:rFonts w:ascii="Times New Roman" w:cs="Times New Roman" w:eastAsia="Times New Roman" w:hAnsi="Times New Roman"/>
          <w:color w:val="000000"/>
          <w:sz w:val="22"/>
          <w:szCs w:val="22"/>
        </w:rPr>
        <w:t xml:space="preserve">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 no separate Inspectorate review is required.</w:t>
      </w:r>
    </w:p>
    <w:p>
      <w:pPr>
        <w:spacing w:after="60" w:before="60" w:line="280" w:lineRule="auto"/>
        <w:jc w:val="both"/>
      </w:pPr>
      <w:r>
        <w:rPr>
          <w:rFonts w:ascii="Times New Roman" w:cs="Times New Roman" w:eastAsia="Times New Roman" w:hAnsi="Times New Roman"/>
          <w:b/>
          <w:bCs/>
          <w:color w:val="1B2A4A"/>
          <w:sz w:val="22"/>
          <w:szCs w:val="22"/>
        </w:rPr>
        <w:t xml:space="preserve">8.3.b Executive IG: </w:t>
      </w:r>
      <w:r>
        <w:rPr>
          <w:rFonts w:ascii="Times New Roman" w:cs="Times New Roman" w:eastAsia="Times New Roman" w:hAnsi="Times New Roman"/>
          <w:color w:val="000000"/>
          <w:sz w:val="22"/>
          <w:szCs w:val="22"/>
        </w:rPr>
        <w:t xml:space="preserve">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 whether the submitted record demonstrates the criteria are met — 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8.3.c Term and Staggering: </w:t>
      </w:r>
      <w:r>
        <w:rPr>
          <w:rFonts w:ascii="Times New Roman" w:cs="Times New Roman" w:eastAsia="Times New Roman" w:hAnsi="Times New Roman"/>
          <w:color w:val="000000"/>
          <w:sz w:val="22"/>
          <w:szCs w:val="22"/>
        </w:rPr>
        <w:t xml:space="preserve">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8.4 — The Judicial IG: Lottery Selection</w:t>
      </w:r>
    </w:p>
    <w:p>
      <w:pPr>
        <w:spacing w:after="60" w:before="60" w:line="280" w:lineRule="auto"/>
        <w:jc w:val="both"/>
      </w:pPr>
      <w:r>
        <w:rPr>
          <w:rFonts w:ascii="Times New Roman" w:cs="Times New Roman" w:eastAsia="Times New Roman" w:hAnsi="Times New Roman"/>
          <w:color w:val="000000"/>
          <w:sz w:val="22"/>
          <w:szCs w:val="22"/>
        </w:rPr>
        <w:t xml:space="preserve">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8.4.a Judicial IG Candidate Pool: </w:t>
      </w:r>
      <w:r>
        <w:rPr>
          <w:rFonts w:ascii="Times New Roman" w:cs="Times New Roman" w:eastAsia="Times New Roman" w:hAnsi="Times New Roman"/>
          <w:color w:val="000000"/>
          <w:sz w:val="22"/>
          <w:szCs w:val="22"/>
        </w:rPr>
        <w:t xml:space="preserve">Maintained by the Judicial Inspectorate. The Pool consists of persons with the analytical, research, and writing competence to perform systematic fact-finding and clear reporting within the judicial domain. The Judicial IG's function is information-gathering and factual reporting — not legal determination. Accordingly, specific professional qualifications for Pool membership are defined by the Legislature by statute, and must reflect the research and reporting nature of the role rather than judicial or legal credentials as such. The constitutional minimum requirements for Pool membership are: no elected or appointed government position within the prior 10 years; no financial interest in any entity regulated by the Republic; and no criminal conviction for conduct committed while holding any government position. These minimums may not be reduced by statute — the Legislature may only add to them. The existing appeals process under §8.9.d applies to any Pool exclusion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8.4.b The Draw: </w:t>
      </w:r>
      <w:r>
        <w:rPr>
          <w:rFonts w:ascii="Times New Roman" w:cs="Times New Roman" w:eastAsia="Times New Roman" w:hAnsi="Times New Roman"/>
          <w:color w:val="000000"/>
          <w:sz w:val="22"/>
          <w:szCs w:val="22"/>
        </w:rPr>
        <w:t xml:space="preserve">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line="280" w:lineRule="auto"/>
        <w:jc w:val="both"/>
      </w:pPr>
      <w:r>
        <w:rPr>
          <w:rFonts w:ascii="Times New Roman" w:cs="Times New Roman" w:eastAsia="Times New Roman" w:hAnsi="Times New Roman"/>
          <w:b/>
          <w:bCs/>
          <w:color w:val="1B2A4A"/>
          <w:sz w:val="22"/>
          <w:szCs w:val="22"/>
        </w:rPr>
        <w:t xml:space="preserve">8.4.c Term and Pool Depletion: </w:t>
      </w:r>
      <w:r>
        <w:rPr>
          <w:rFonts w:ascii="Times New Roman" w:cs="Times New Roman" w:eastAsia="Times New Roman" w:hAnsi="Times New Roman"/>
          <w:color w:val="000000"/>
          <w:sz w:val="22"/>
          <w:szCs w:val="22"/>
        </w:rPr>
        <w:t xml:space="preserve">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line="280" w:lineRule="auto"/>
        <w:jc w:val="both"/>
      </w:pPr>
      <w:r>
        <w:rPr>
          <w:rFonts w:ascii="Times New Roman" w:cs="Times New Roman" w:eastAsia="Times New Roman" w:hAnsi="Times New Roman"/>
          <w:b/>
          <w:bCs/>
          <w:color w:val="1B2A4A"/>
          <w:sz w:val="22"/>
          <w:szCs w:val="22"/>
        </w:rPr>
        <w:t xml:space="preserve">8.4.d Inspectorate Staff Continuity and Simultaneous Vacancy: </w:t>
      </w:r>
      <w:r>
        <w:rPr>
          <w:rFonts w:ascii="Times New Roman" w:cs="Times New Roman" w:eastAsia="Times New Roman" w:hAnsi="Times New Roman"/>
          <w:color w:val="1B2A4A"/>
          <w:sz w:val="22"/>
          <w:szCs w:val="22"/>
        </w:rPr>
        <w:t>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§2.8, the §8.4.c Constitutional Emergency Panel provision activates immediately for each vacant Inspectorate without requiring separate Pool depletion findings. The Senate, by simple majority of surviving members under the §3.2.g survivor quorum provision, appoints temporary IGs for each simultaneously vacant position within 14 days: the §8.4.a Judicial IG Candidate Pool process applies to the Judicial IG vacancy; career senior civil servants from outside the affected Inspectorates, nominated by the surviving Inspectorates jointly, fill Legislative and Executive IG vacancies. All such temporary appointments are subject to Senate confirmation under §3.2.g.</w:t>
      </w:r>
      <w:r>
        <w:rPr>
          <w:rFonts w:ascii="Times New Roman" w:cs="Times New Roman" w:eastAsia="Times New Roman" w:hAnsi="Times New Roman"/>
          <w:color w:val="000000"/>
          <w:sz w:val="22"/>
          <w:szCs w:val="22"/>
        </w:rPr>
      </w:r>
    </w:p>
    <w:p>
      <w:pPr>
        <w:spacing w:after="60" w:before="60" w:line="280" w:lineRule="auto"/>
        <w:jc w:val="both"/>
      </w:pPr>
      <w:r>
        <w:rPr>
          <w:rFonts w:ascii="Times New Roman" w:cs="Times New Roman" w:eastAsia="Times New Roman" w:hAnsi="Times New Roman"/>
          <w:b/>
          <w:bCs/>
          <w:color w:val="1B2A4A"/>
          <w:sz w:val="22"/>
          <w:szCs w:val="22"/>
        </w:rPr>
        <w:t xml:space="preserve">8.4.e Supreme Court Candidate Registry: </w:t>
      </w:r>
      <w:r>
        <w:rPr>
          <w:rFonts w:ascii="Times New Roman" w:cs="Times New Roman" w:eastAsia="Times New Roman" w:hAnsi="Times New Roman"/>
          <w:color w:val="000000"/>
          <w:sz w:val="22"/>
          <w:szCs w:val="22"/>
        </w:rPr>
        <w:t xml:space="preserve">Maintained by the Judicial Inspectorate separately from the Judicial IG Candidate Pool of §8.4.a. The SC Registry serves exclusively as the eligibility register for Supreme Court candidacy under §4.2. Any citizen meeting the following criteria may apply for inclusion: (1) a minimum of 15 years of legal practice, or a minimum of 10 years of service as a judge on any court within the Republic's jurisdiction, or both — prior or current judicial service does not disqualify; (2) active Republic citizenship at time of application; (3) no current position in the executive or legislative branches of the federal government; (4) no financial interest that would systematically affect impartiality on the Supreme Court; and (5) no criminal conviction for conduct committed while holding federal office. The Judicial Inspectorate reviews submitted registration records for factual accuracy against these criteria and publishes findings to the National Record System within 21 days of submission. Registry inclusion does not expire — a member remains on the Registry unless they no longer meet the criteria or voluntarily withdraw. The Inspectorate publishes an updated Registry annually to the NRS. Appeals of exclusion determinations proceed under §8.9.d.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8.5 — IG Removal: Two-Track System</w:t>
      </w:r>
    </w:p>
    <w:p>
      <w:pPr>
        <w:spacing w:after="60" w:before="60" w:line="280" w:lineRule="auto"/>
        <w:jc w:val="both"/>
      </w:pPr>
      <w:r>
        <w:rPr>
          <w:rFonts w:ascii="Times New Roman" w:cs="Times New Roman" w:eastAsia="Times New Roman" w:hAnsi="Times New Roman"/>
          <w:color w:val="000000"/>
          <w:sz w:val="22"/>
          <w:szCs w:val="22"/>
        </w:rPr>
        <w:t xml:space="preserve">An Inspector General may be removed only through one of two tracks. Neither may be used to suppress a Report or retaliate for lawful investigative activity.</w:t>
      </w:r>
    </w:p>
    <w:p>
      <w:pPr>
        <w:spacing w:after="60" w:before="60" w:line="280" w:lineRule="auto"/>
        <w:jc w:val="both"/>
      </w:pPr>
      <w:r>
        <w:rPr>
          <w:rFonts w:ascii="Times New Roman" w:cs="Times New Roman" w:eastAsia="Times New Roman" w:hAnsi="Times New Roman"/>
          <w:b/>
          <w:bCs/>
          <w:color w:val="1B2A4A"/>
          <w:sz w:val="22"/>
          <w:szCs w:val="22"/>
        </w:rPr>
        <w:t xml:space="preserve">8.5.a For-Cause Removal: </w:t>
      </w:r>
      <w:r>
        <w:rPr>
          <w:rFonts w:ascii="Times New Roman" w:cs="Times New Roman" w:eastAsia="Times New Roman" w:hAnsi="Times New Roman"/>
          <w:color w:val="000000"/>
          <w:sz w:val="22"/>
          <w:szCs w:val="22"/>
        </w:rPr>
        <w:t xml:space="preserve">Grounds: documented dereliction of duty, incapacity, undisclosed conflict of interest, or criminal conviction. Requires a 2/3 vote of both chambers simultaneously. Before the legislative vote, the State Designee Panel (§8.9) must publish a verification finding within 30 days of the removal motion being filed. The Panel's finding is published to the National Record System. The Legislature may proceed to the 2/3 vote only after the Panel publishes its finding, regardless of which way the finding goes. If the Panel finds the stated grounds unsubstantiated, that finding is published permanently alongside the removal vote; the motion does not automatically lapse. The IG being removed may petition the Supreme Court within 14 days of the Panel's finding for expedited technical review on whether the Panel applied the correct legal standard — not the merits of the grounds; the IG continues in office during this review. A removal of an Inspector General that achieves the constitutional threshold of this section and has been preceded by the State Designee Panel verification process is not, solely by reason of the political motivation of any voting member or members, a constitutional violation for those members. Motive is not justiciable where the constitutional process is complete. This protection does not extend to false statements in the stated grounds, fabrication of evidence presented to the Panel, or coercion of other members' votes.</w:t>
      </w:r>
    </w:p>
    <w:p>
      <w:pPr>
        <w:spacing w:after="60" w:before="60" w:line="280" w:lineRule="auto"/>
        <w:jc w:val="both"/>
      </w:pPr>
      <w:r>
        <w:rPr>
          <w:rFonts w:ascii="Times New Roman" w:cs="Times New Roman" w:eastAsia="Times New Roman" w:hAnsi="Times New Roman"/>
          <w:b/>
          <w:bCs/>
          <w:color w:val="1B2A4A"/>
          <w:sz w:val="22"/>
          <w:szCs w:val="22"/>
        </w:rPr>
        <w:t xml:space="preserve">8.5.b No-Cause Removal: </w:t>
      </w:r>
      <w:r>
        <w:rPr>
          <w:rFonts w:ascii="Times New Roman" w:cs="Times New Roman" w:eastAsia="Times New Roman" w:hAnsi="Times New Roman"/>
          <w:color w:val="000000"/>
          <w:sz w:val="22"/>
          <w:szCs w:val="22"/>
        </w:rPr>
        <w:t xml:space="preserve">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60" w:before="60" w:line="280" w:lineRule="auto"/>
        <w:jc w:val="both"/>
      </w:pPr>
      <w:r>
        <w:rPr>
          <w:rFonts w:ascii="Times New Roman" w:cs="Times New Roman" w:eastAsia="Times New Roman" w:hAnsi="Times New Roman"/>
          <w:b/>
          <w:bCs/>
          <w:color w:val="1B2A4A"/>
          <w:sz w:val="22"/>
          <w:szCs w:val="22"/>
        </w:rPr>
        <w:t xml:space="preserve">8.5.c Judicial IG — For-Cause Only: </w:t>
      </w:r>
      <w:r>
        <w:rPr>
          <w:rFonts w:ascii="Times New Roman" w:cs="Times New Roman" w:eastAsia="Times New Roman" w:hAnsi="Times New Roman"/>
          <w:color w:val="000000"/>
          <w:sz w:val="22"/>
          <w:szCs w:val="22"/>
        </w:rPr>
        <w:t xml:space="preserve">The Judicial Inspector General may only be removed via Track 1. No-Cause removal is not available for the Judicial IG.</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8.6 — The Information-Only Mandate</w:t>
      </w:r>
    </w:p>
    <w:p>
      <w:pPr>
        <w:spacing w:after="60" w:before="60" w:line="280" w:lineRule="auto"/>
        <w:jc w:val="both"/>
      </w:pPr>
      <w:r>
        <w:rPr>
          <w:rFonts w:ascii="Times New Roman" w:cs="Times New Roman" w:eastAsia="Times New Roman" w:hAnsi="Times New Roman"/>
          <w:color w:val="000000"/>
          <w:sz w:val="22"/>
          <w:szCs w:val="22"/>
        </w:rPr>
        <w:t xml:space="preserve">An Inspectorate finding is not a legal determination of any kind. Inspectorate Reports state observed facts. They do not conclude that any conduct 'is constitutionally prohibited' — 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 but the power to act always belongs to others.</w:t>
      </w:r>
    </w:p>
    <w:p>
      <w:pPr>
        <w:spacing w:after="60" w:before="60" w:line="280" w:lineRule="auto"/>
        <w:jc w:val="both"/>
      </w:pPr>
      <w:r>
        <w:rPr>
          <w:rFonts w:ascii="Times New Roman" w:cs="Times New Roman" w:eastAsia="Times New Roman" w:hAnsi="Times New Roman"/>
          <w:b/>
          <w:bCs/>
          <w:color w:val="1B2A4A"/>
          <w:sz w:val="22"/>
          <w:szCs w:val="22"/>
        </w:rPr>
        <w:t xml:space="preserve">8.6.a Reports: </w:t>
      </w:r>
      <w:r>
        <w:rPr>
          <w:rFonts w:ascii="Times New Roman" w:cs="Times New Roman" w:eastAsia="Times New Roman" w:hAnsi="Times New Roman"/>
          <w:color w:val="000000"/>
          <w:sz w:val="22"/>
          <w:szCs w:val="22"/>
        </w:rPr>
        <w:t xml:space="preserve">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line="280" w:lineRule="auto"/>
        <w:jc w:val="both"/>
      </w:pPr>
      <w:r>
        <w:rPr>
          <w:rFonts w:ascii="Times New Roman" w:cs="Times New Roman" w:eastAsia="Times New Roman" w:hAnsi="Times New Roman"/>
          <w:b/>
          <w:bCs/>
          <w:color w:val="1B2A4A"/>
          <w:sz w:val="22"/>
          <w:szCs w:val="22"/>
        </w:rPr>
        <w:t xml:space="preserve">8.6.b No Classification: </w:t>
      </w:r>
      <w:r>
        <w:rPr>
          <w:rFonts w:ascii="Times New Roman" w:cs="Times New Roman" w:eastAsia="Times New Roman" w:hAnsi="Times New Roman"/>
          <w:color w:val="000000"/>
          <w:sz w:val="22"/>
          <w:szCs w:val="22"/>
        </w:rPr>
        <w:t xml:space="preserve">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line="280" w:lineRule="auto"/>
        <w:jc w:val="both"/>
      </w:pPr>
      <w:r>
        <w:rPr>
          <w:rFonts w:ascii="Times New Roman" w:cs="Times New Roman" w:eastAsia="Times New Roman" w:hAnsi="Times New Roman"/>
          <w:b/>
          <w:bCs/>
          <w:color w:val="1B2A4A"/>
          <w:sz w:val="22"/>
          <w:szCs w:val="22"/>
        </w:rPr>
        <w:t xml:space="preserve">8.6.c No Binding Force: </w:t>
      </w:r>
      <w:r>
        <w:rPr>
          <w:rFonts w:ascii="Times New Roman" w:cs="Times New Roman" w:eastAsia="Times New Roman" w:hAnsi="Times New Roman"/>
          <w:color w:val="000000"/>
          <w:sz w:val="22"/>
          <w:szCs w:val="22"/>
        </w:rPr>
        <w:t xml:space="preserve">An Inspectorate Report is a documented statement of observed fact. What the Legislature, the courts, or the People do with that information is their constitutional prerogative. Where a Report's findings may be relevant to potential constitutional violation proceedings, the Report states that the Legislature or the relevant injured party may initiate such proceedings.</w:t>
      </w:r>
    </w:p>
    <w:p>
      <w:pPr>
        <w:spacing w:after="60" w:before="60" w:line="280" w:lineRule="auto"/>
        <w:jc w:val="both"/>
      </w:pPr>
      <w:r>
        <w:rPr>
          <w:rFonts w:ascii="Times New Roman" w:cs="Times New Roman" w:eastAsia="Times New Roman" w:hAnsi="Times New Roman"/>
          <w:b/>
          <w:bCs/>
          <w:color w:val="1B2A4A"/>
          <w:sz w:val="22"/>
          <w:szCs w:val="22"/>
        </w:rPr>
        <w:t xml:space="preserve">8.6.d Non-Pursuit Disclosure: </w:t>
      </w:r>
      <w:r>
        <w:rPr>
          <w:rFonts w:ascii="Times New Roman" w:cs="Times New Roman" w:eastAsia="Times New Roman" w:hAnsi="Times New Roman"/>
          <w:color w:val="000000"/>
          <w:sz w:val="22"/>
          <w:szCs w:val="22"/>
        </w:rPr>
        <w:t xml:space="preserve">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Legislature standing oversight committees.</w:t>
      </w:r>
    </w:p>
    <w:p>
      <w:pPr>
        <w:spacing w:after="60" w:before="60" w:line="280" w:lineRule="auto"/>
        <w:jc w:val="both"/>
      </w:pPr>
      <w:r>
        <w:rPr>
          <w:rFonts w:ascii="Times New Roman" w:cs="Times New Roman" w:eastAsia="Times New Roman" w:hAnsi="Times New Roman"/>
          <w:b/>
          <w:bCs/>
          <w:color w:val="1B2A4A"/>
          <w:sz w:val="22"/>
          <w:szCs w:val="22"/>
        </w:rPr>
        <w:t xml:space="preserve">8.6.e Minority Reports: </w:t>
      </w:r>
      <w:r>
        <w:rPr>
          <w:rFonts w:ascii="Times New Roman" w:cs="Times New Roman" w:eastAsia="Times New Roman" w:hAnsi="Times New Roman"/>
          <w:color w:val="000000"/>
          <w:sz w:val="22"/>
          <w:szCs w:val="22"/>
        </w:rPr>
        <w:t xml:space="preserve">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line="280" w:lineRule="auto"/>
        <w:jc w:val="both"/>
      </w:pPr>
      <w:r>
        <w:rPr>
          <w:rFonts w:ascii="Times New Roman" w:cs="Times New Roman" w:eastAsia="Times New Roman" w:hAnsi="Times New Roman"/>
          <w:b/>
          <w:bCs/>
          <w:color w:val="1B2A4A"/>
          <w:sz w:val="22"/>
          <w:szCs w:val="22"/>
        </w:rPr>
        <w:t xml:space="preserve">8.6.f Coordinated Work Stoppage Prohibition: </w:t>
      </w:r>
      <w:r>
        <w:rPr>
          <w:rFonts w:ascii="Times New Roman" w:cs="Times New Roman" w:eastAsia="Times New Roman" w:hAnsi="Times New Roman"/>
          <w:color w:val="000000"/>
          <w:sz w:val="22"/>
          <w:szCs w:val="22"/>
        </w:rPr>
        <w:t xml:space="preserve">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disciplinary proceedings against the organizing parties under the civil service integrity framework of §2.2.d.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60" w:before="60" w:line="280" w:lineRule="auto"/>
        <w:jc w:val="both"/>
      </w:pPr>
      <w:r>
        <w:rPr>
          <w:rFonts w:ascii="Times New Roman" w:cs="Times New Roman" w:eastAsia="Times New Roman" w:hAnsi="Times New Roman"/>
          <w:b/>
          <w:bCs/>
          <w:color w:val="1B2A4A"/>
          <w:sz w:val="22"/>
          <w:szCs w:val="22"/>
        </w:rPr>
        <w:t xml:space="preserve">8.6.g Citizen Discrepancy Petition: </w:t>
      </w:r>
      <w:r>
        <w:rPr>
          <w:rFonts w:ascii="Times New Roman" w:cs="Times New Roman" w:eastAsia="Times New Roman" w:hAnsi="Times New Roman"/>
          <w:color w:val="000000"/>
          <w:sz w:val="22"/>
          <w:szCs w:val="22"/>
        </w:rPr>
        <w:t xml:space="preserve">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§8.7, or publish a statement to the National Record System identifying the alleged discrepancy. No formal petition threshold, fee, or filing requirement may be imposed on this right. The elected representative's response — including a decision not to act — is their own constitutional judgment, subject to their accountability to their constituents.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8.7 — Triggered Investigations</w:t>
      </w:r>
    </w:p>
    <w:p>
      <w:pPr>
        <w:spacing w:after="60" w:before="60" w:line="280" w:lineRule="auto"/>
        <w:jc w:val="both"/>
      </w:pPr>
      <w:r>
        <w:rPr>
          <w:rFonts w:ascii="Times New Roman" w:cs="Times New Roman" w:eastAsia="Times New Roman" w:hAnsi="Times New Roman"/>
          <w:b/>
          <w:bCs/>
          <w:color w:val="1B2A4A"/>
          <w:sz w:val="22"/>
          <w:szCs w:val="22"/>
        </w:rPr>
        <w:t xml:space="preserve">8.7.a Official Trigger: </w:t>
      </w:r>
      <w:r>
        <w:rPr>
          <w:rFonts w:ascii="Times New Roman" w:cs="Times New Roman" w:eastAsia="Times New Roman" w:hAnsi="Times New Roman"/>
          <w:color w:val="000000"/>
          <w:sz w:val="22"/>
          <w:szCs w:val="22"/>
        </w:rPr>
        <w:t xml:space="preserve">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8.8 — The Annual State of the Republic Report</w:t>
      </w:r>
    </w:p>
    <w:p>
      <w:pPr>
        <w:spacing w:after="60" w:before="60" w:line="280" w:lineRule="auto"/>
        <w:jc w:val="both"/>
      </w:pPr>
      <w:r>
        <w:rPr>
          <w:rFonts w:ascii="Times New Roman" w:cs="Times New Roman" w:eastAsia="Times New Roman" w:hAnsi="Times New Roman"/>
          <w:color w:val="000000"/>
          <w:sz w:val="22"/>
          <w:szCs w:val="22"/>
        </w:rPr>
        <w:t xml:space="preserve">Each Inspectorate publishes one Annual State of the Republic Report covering its domain — automatically, every year, on a constitutionally fixed date, regardless of whether any official has requested it.</w:t>
      </w:r>
    </w:p>
    <w:p>
      <w:pPr>
        <w:spacing w:after="60" w:before="60" w:line="280" w:lineRule="auto"/>
        <w:jc w:val="both"/>
      </w:pPr>
      <w:r>
        <w:rPr>
          <w:rFonts w:ascii="Times New Roman" w:cs="Times New Roman" w:eastAsia="Times New Roman" w:hAnsi="Times New Roman"/>
          <w:b/>
          <w:bCs/>
          <w:color w:val="1B2A4A"/>
          <w:sz w:val="22"/>
          <w:szCs w:val="22"/>
        </w:rPr>
        <w:t xml:space="preserve">8.8.a Content: </w:t>
      </w:r>
      <w:r>
        <w:rPr>
          <w:rFonts w:ascii="Times New Roman" w:cs="Times New Roman" w:eastAsia="Times New Roman" w:hAnsi="Times New Roman"/>
          <w:color w:val="000000"/>
          <w:sz w:val="22"/>
          <w:szCs w:val="22"/>
        </w:rPr>
        <w:t xml:space="preserve">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line="280" w:lineRule="auto"/>
        <w:jc w:val="both"/>
      </w:pPr>
      <w:r>
        <w:rPr>
          <w:rFonts w:ascii="Times New Roman" w:cs="Times New Roman" w:eastAsia="Times New Roman" w:hAnsi="Times New Roman"/>
          <w:b/>
          <w:bCs/>
          <w:color w:val="1B2A4A"/>
          <w:sz w:val="22"/>
          <w:szCs w:val="22"/>
        </w:rPr>
        <w:t xml:space="preserve">8.8.b Publication: </w:t>
      </w:r>
      <w:r>
        <w:rPr>
          <w:rFonts w:ascii="Times New Roman" w:cs="Times New Roman" w:eastAsia="Times New Roman" w:hAnsi="Times New Roman"/>
          <w:color w:val="000000"/>
          <w:sz w:val="22"/>
          <w:szCs w:val="22"/>
        </w:rPr>
        <w:t xml:space="preserve">Published simultaneously to the National Record System and freely accessible to all Inhabitants. No official may alter the publication date or content.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8.9 — The State Designee Panel</w:t>
      </w:r>
    </w:p>
    <w:p>
      <w:pPr>
        <w:spacing w:after="60" w:before="60" w:line="280" w:lineRule="auto"/>
        <w:jc w:val="both"/>
      </w:pPr>
      <w:r>
        <w:rPr>
          <w:rFonts w:ascii="Times New Roman" w:cs="Times New Roman" w:eastAsia="Times New Roman" w:hAnsi="Times New Roman"/>
          <w:color w:val="000000"/>
          <w:sz w:val="22"/>
          <w:szCs w:val="22"/>
        </w:rPr>
        <w:t xml:space="preserve">The State Designee Panel is a standing pool of State and Territory-appointed representatives with the single constitutional function of verifying For-Cause IG removal grounds. Each State and Territory maintains one standing designee published to the National Record System. States and Territories appoint their designee by whatever mechanism they choose, subject to the federal constitutional floor: the designee must be a citizen of the Republic; must hold no current federal elected or appointed office; must not be a judicial officer at any level; and must not be currently employed by any federal Inspectorate or constitutional administrative body. At the start of each two-year election cycle, the Electoral Commission draws five panel members and two alternates by lot from the full pool of State and Territory designees; the draw is published to the NRS immediately. Alternates activate automatically and in order if a primary member cannot serve. The lot is binding — no State or Territory may decline to have their designee drawn. At the end of a two-year cycle, the sitting panel completes any proceeding already underway and may not accept new proceedings after its cycle ends; all in-progress work must be completed within one year of the cycle's end, with the panel remaining in session as needed. The incoming panel handles all new proceedings arising after the cycle ends. Panel members are compensated at rates determined by their appointing State or Territory; the federal budget reimburses compensation only during periods of active service — defined as the period from the date the panel convenes for a specific proceeding to the date the finding is published. No federal compensation is owed for standing readiness during cycles in which no proceeding arises.</w:t>
      </w:r>
    </w:p>
    <w:p>
      <w:pPr>
        <w:spacing w:after="60" w:before="60" w:line="280" w:lineRule="auto"/>
        <w:jc w:val="both"/>
      </w:pPr>
      <w:r>
        <w:rPr>
          <w:rFonts w:ascii="Times New Roman" w:cs="Times New Roman" w:eastAsia="Times New Roman" w:hAnsi="Times New Roman"/>
          <w:b/>
          <w:bCs/>
          <w:color w:val="1B2A4A"/>
          <w:sz w:val="22"/>
          <w:szCs w:val="22"/>
        </w:rPr>
        <w:t xml:space="preserve">8.9.a Single Mandate: </w:t>
      </w:r>
      <w:r>
        <w:rPr>
          <w:rFonts w:ascii="Times New Roman" w:cs="Times New Roman" w:eastAsia="Times New Roman" w:hAnsi="Times New Roman"/>
          <w:color w:val="000000"/>
          <w:sz w:val="22"/>
          <w:szCs w:val="22"/>
        </w:rPr>
        <w:t xml:space="preserve">The Panel's sole constitutional function is For-Cause IG removal verification. Upon receipt of a For-Cause removal motion from the Legislature, the Panel convenes, reviews the stated grounds, and publishes a binary finding to the National Record System within 30 days: grounds substantiated or grounds unsubstantiated. The Panel has no investigative authority, no enforcement power, no proactive role, no annual reporting function, and no other mandate. All functions previously held by oversight bodies preceding this Panel — pattern findings, mandatory IG response requirements, and annual oversight reporting — are absorbed by Legislature standing committees and existing IG annual reports.</w:t>
      </w:r>
    </w:p>
    <w:p>
      <w:pPr>
        <w:spacing w:after="60" w:before="60" w:line="280" w:lineRule="auto"/>
        <w:jc w:val="both"/>
      </w:pPr>
      <w:r>
        <w:rPr>
          <w:rFonts w:ascii="Times New Roman" w:cs="Times New Roman" w:eastAsia="Times New Roman" w:hAnsi="Times New Roman"/>
          <w:b/>
          <w:bCs/>
          <w:color w:val="1B2A4A"/>
          <w:sz w:val="22"/>
          <w:szCs w:val="22"/>
        </w:rPr>
        <w:t xml:space="preserve">8.9.b Appeals: </w:t>
      </w:r>
      <w:r>
        <w:rPr>
          <w:rFonts w:ascii="Times New Roman" w:cs="Times New Roman" w:eastAsia="Times New Roman" w:hAnsi="Times New Roman"/>
          <w:color w:val="000000"/>
          <w:sz w:val="22"/>
          <w:szCs w:val="22"/>
        </w:rPr>
        <w:t xml:space="preserve">An IG who disputes a Panel substantiation finding may petition the Supreme Court within 14 days of publication. The Supreme Court reviews only whether the Panel applied the correct legal standard — not the merits of the removal grounds themselves. This keeps the Supreme Court in its reactive role. The Panel's finding does not automatically determine the Legislature's vote — it is a prerequisite for the vote, not a determination of its outcome.</w:t>
      </w:r>
    </w:p>
    <w:p>
      <w:pPr>
        <w:spacing w:after="60" w:before="60" w:line="280" w:lineRule="auto"/>
        <w:jc w:val="both"/>
      </w:pPr>
      <w:r>
        <w:rPr>
          <w:rFonts w:ascii="Times New Roman" w:cs="Times New Roman" w:eastAsia="Times New Roman" w:hAnsi="Times New Roman"/>
          <w:b/>
          <w:bCs/>
          <w:color w:val="1B2A4A"/>
          <w:sz w:val="22"/>
          <w:szCs w:val="22"/>
        </w:rPr>
        <w:t xml:space="preserve">8.9.d Gatekeeping Appeal: </w:t>
      </w:r>
      <w:r>
        <w:rPr>
          <w:rFonts w:ascii="Times New Roman" w:cs="Times New Roman" w:eastAsia="Times New Roman" w:hAnsi="Times New Roman"/>
          <w:color w:val="000000"/>
          <w:sz w:val="22"/>
          <w:szCs w:val="22"/>
        </w:rPr>
        <w:t xml:space="preserve">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8.10 — Inspectorate Minimum Funding Guarantee</w:t>
      </w:r>
    </w:p>
    <w:p>
      <w:pPr>
        <w:spacing w:after="60" w:before="60" w:line="280" w:lineRule="auto"/>
        <w:jc w:val="both"/>
      </w:pPr>
      <w:r>
        <w:rPr>
          <w:rFonts w:ascii="Times New Roman" w:cs="Times New Roman" w:eastAsia="Times New Roman" w:hAnsi="Times New Roman"/>
          <w:color w:val="000000"/>
          <w:sz w:val="22"/>
          <w:szCs w:val="22"/>
        </w:rPr>
        <w:t xml:space="preserve">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constitutional failure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is constitutionally prohibited of the same kind as a confirmed Director, subject to the same constitutional accountability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8.11 — Constitutional Performance Assessment</w:t>
      </w:r>
    </w:p>
    <w:p>
      <w:pPr>
        <w:spacing w:after="60" w:before="60" w:line="280" w:lineRule="auto"/>
        <w:jc w:val="both"/>
      </w:pPr>
      <w:r>
        <w:rPr>
          <w:rFonts w:ascii="Times New Roman" w:cs="Times New Roman" w:eastAsia="Times New Roman" w:hAnsi="Times New Roman"/>
          <w:b/>
          <w:bCs/>
          <w:color w:val="1B2A4A"/>
          <w:sz w:val="22"/>
          <w:szCs w:val="22"/>
        </w:rPr>
        <w:t xml:space="preserve">8.11 Eighth-Year Assessment: </w:t>
      </w:r>
      <w:r>
        <w:rPr>
          <w:rFonts w:ascii="Times New Roman" w:cs="Times New Roman" w:eastAsia="Times New Roman" w:hAnsi="Times New Roman"/>
          <w:color w:val="000000"/>
          <w:sz w:val="22"/>
          <w:szCs w:val="22"/>
        </w:rPr>
        <w:t xml:space="preserve">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legislative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constitutional failure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IX — THE NATIONAL RECORD SYSTEM</w:t>
      </w:r>
    </w:p>
    <w:p>
      <w:pPr>
        <w:spacing w:after="60" w:before="60" w:line="280" w:lineRule="auto"/>
        <w:jc w:val="both"/>
      </w:pPr>
      <w:r>
        <w:rPr>
          <w:rFonts w:ascii="Times New Roman" w:cs="Times New Roman" w:eastAsia="Times New Roman" w:hAnsi="Times New Roman"/>
          <w:color w:val="000000"/>
          <w:sz w:val="22"/>
          <w:szCs w:val="22"/>
        </w:rPr>
        <w:t xml:space="preserve">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9.1 — Core Properties</w:t>
      </w:r>
    </w:p>
    <w:p>
      <w:pPr>
        <w:spacing w:after="60" w:before="60" w:line="280" w:lineRule="auto"/>
        <w:jc w:val="both"/>
      </w:pPr>
      <w:r>
        <w:rPr>
          <w:rFonts w:ascii="Times New Roman" w:cs="Times New Roman" w:eastAsia="Times New Roman" w:hAnsi="Times New Roman"/>
          <w:b/>
          <w:bCs/>
          <w:color w:val="1B2A4A"/>
          <w:sz w:val="22"/>
          <w:szCs w:val="22"/>
        </w:rPr>
        <w:t xml:space="preserve">9.1.a Immutability: </w:t>
      </w:r>
      <w:r>
        <w:rPr>
          <w:rFonts w:ascii="Times New Roman" w:cs="Times New Roman" w:eastAsia="Times New Roman" w:hAnsi="Times New Roman"/>
          <w:color w:val="000000"/>
          <w:sz w:val="22"/>
          <w:szCs w:val="22"/>
        </w:rPr>
        <w:t xml:space="preserve">All entries are permanent. No entry may be deleted or altered after confirmation. Corrections are made by new entries that reference and supersede prior entries, with both permanently visible.</w:t>
      </w:r>
    </w:p>
    <w:p>
      <w:pPr>
        <w:spacing w:after="60" w:before="60" w:line="280" w:lineRule="auto"/>
        <w:jc w:val="both"/>
      </w:pPr>
      <w:r>
        <w:rPr>
          <w:rFonts w:ascii="Times New Roman" w:cs="Times New Roman" w:eastAsia="Times New Roman" w:hAnsi="Times New Roman"/>
          <w:b/>
          <w:bCs/>
          <w:color w:val="1B2A4A"/>
          <w:sz w:val="22"/>
          <w:szCs w:val="22"/>
        </w:rPr>
        <w:t xml:space="preserve">9.1.b Distributed Custody: </w:t>
      </w:r>
      <w:r>
        <w:rPr>
          <w:rFonts w:ascii="Times New Roman" w:cs="Times New Roman" w:eastAsia="Times New Roman" w:hAnsi="Times New Roman"/>
          <w:color w:val="000000"/>
          <w:sz w:val="22"/>
          <w:szCs w:val="22"/>
        </w:rPr>
        <w:t xml:space="preserve">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9.1.c Public Accessibility: </w:t>
      </w:r>
      <w:r>
        <w:rPr>
          <w:rFonts w:ascii="Times New Roman" w:cs="Times New Roman" w:eastAsia="Times New Roman" w:hAnsi="Times New Roman"/>
          <w:color w:val="000000"/>
          <w:sz w:val="22"/>
          <w:szCs w:val="22"/>
        </w:rPr>
        <w:t xml:space="preserve">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line="280" w:lineRule="auto"/>
        <w:jc w:val="both"/>
      </w:pPr>
      <w:r>
        <w:rPr>
          <w:rFonts w:ascii="Times New Roman" w:cs="Times New Roman" w:eastAsia="Times New Roman" w:hAnsi="Times New Roman"/>
          <w:b/>
          <w:bCs/>
          <w:color w:val="1B2A4A"/>
          <w:sz w:val="22"/>
          <w:szCs w:val="22"/>
        </w:rPr>
        <w:t xml:space="preserve">9.1.d Cryptographic Signing: </w:t>
      </w:r>
      <w:r>
        <w:rPr>
          <w:rFonts w:ascii="Times New Roman" w:cs="Times New Roman" w:eastAsia="Times New Roman" w:hAnsi="Times New Roman"/>
          <w:color w:val="000000"/>
          <w:sz w:val="22"/>
          <w:szCs w:val="22"/>
        </w:rPr>
        <w:t xml:space="preserve">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line="280" w:lineRule="auto"/>
        <w:jc w:val="both"/>
      </w:pPr>
      <w:r>
        <w:rPr>
          <w:rFonts w:ascii="Times New Roman" w:cs="Times New Roman" w:eastAsia="Times New Roman" w:hAnsi="Times New Roman"/>
          <w:b/>
          <w:bCs/>
          <w:color w:val="1B2A4A"/>
          <w:sz w:val="22"/>
          <w:szCs w:val="22"/>
        </w:rPr>
        <w:t xml:space="preserve">9.1.e Technology Neutrality: </w:t>
      </w:r>
      <w:r>
        <w:rPr>
          <w:rFonts w:ascii="Times New Roman" w:cs="Times New Roman" w:eastAsia="Times New Roman" w:hAnsi="Times New Roman"/>
          <w:color w:val="000000"/>
          <w:sz w:val="22"/>
          <w:szCs w:val="22"/>
        </w:rPr>
        <w:t xml:space="preserve">No specific technology, protocol, or cryptographic standard is named in this Constitution. The House defines technical standards by statute, which may be updated provided the properties in this Article are maintained at all times.</w:t>
      </w:r>
    </w:p>
    <w:p>
      <w:pPr>
        <w:spacing w:after="60" w:before="60" w:line="280" w:lineRule="auto"/>
        <w:jc w:val="both"/>
      </w:pPr>
      <w:r>
        <w:rPr>
          <w:rFonts w:ascii="Times New Roman" w:cs="Times New Roman" w:eastAsia="Times New Roman" w:hAnsi="Times New Roman"/>
          <w:b/>
          <w:bCs/>
          <w:color w:val="1B2A4A"/>
          <w:sz w:val="22"/>
          <w:szCs w:val="22"/>
        </w:rPr>
        <w:t xml:space="preserve">9.1.f Migration Overlap Protocol: </w:t>
      </w:r>
      <w:r>
        <w:rPr>
          <w:rFonts w:ascii="Times New Roman" w:cs="Times New Roman" w:eastAsia="Times New Roman" w:hAnsi="Times New Roman"/>
          <w:color w:val="000000"/>
          <w:sz w:val="22"/>
          <w:szCs w:val="22"/>
        </w:rPr>
        <w:t xml:space="preserve">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spacing w:after="60" w:before="60" w:line="280" w:lineRule="auto"/>
        <w:jc w:val="both"/>
      </w:pPr>
      <w:r>
        <w:rPr>
          <w:rFonts w:ascii="Times New Roman" w:cs="Times New Roman" w:eastAsia="Times New Roman" w:hAnsi="Times New Roman"/>
          <w:b/>
          <w:bCs/>
          <w:color w:val="1B2A4A"/>
          <w:sz w:val="22"/>
          <w:szCs w:val="22"/>
        </w:rPr>
        <w:t xml:space="preserve">9.1.g NRS Self-Authentication: </w:t>
      </w:r>
      <w:r>
        <w:rPr>
          <w:rFonts w:ascii="Times New Roman" w:cs="Times New Roman" w:eastAsia="Times New Roman" w:hAnsi="Times New Roman"/>
          <w:color w:val="000000"/>
          <w:sz w:val="22"/>
          <w:szCs w:val="22"/>
        </w:rPr>
        <w:t xml:space="preserve">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9.2 — Node Operators</w:t>
      </w:r>
    </w:p>
    <w:p>
      <w:pPr>
        <w:spacing w:after="60" w:before="60" w:line="280" w:lineRule="auto"/>
        <w:jc w:val="both"/>
      </w:pPr>
      <w:r>
        <w:rPr>
          <w:rFonts w:ascii="Times New Roman" w:cs="Times New Roman" w:eastAsia="Times New Roman" w:hAnsi="Times New Roman"/>
          <w:b/>
          <w:bCs/>
          <w:color w:val="1B2A4A"/>
          <w:sz w:val="22"/>
          <w:szCs w:val="22"/>
        </w:rPr>
        <w:t xml:space="preserve">9.2 Node Operators: </w:t>
      </w:r>
      <w:r>
        <w:rPr>
          <w:rFonts w:ascii="Times New Roman" w:cs="Times New Roman" w:eastAsia="Times New Roman" w:hAnsi="Times New Roman"/>
          <w:color w:val="000000"/>
          <w:sz w:val="22"/>
          <w:szCs w:val="22"/>
        </w:rPr>
        <w:t xml:space="preserve">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9.3 — RSA Director</w:t>
      </w:r>
    </w:p>
    <w:p>
      <w:pPr>
        <w:spacing w:after="60" w:before="60" w:line="280" w:lineRule="auto"/>
        <w:jc w:val="both"/>
      </w:pPr>
      <w:r>
        <w:rPr>
          <w:rFonts w:ascii="Times New Roman" w:cs="Times New Roman" w:eastAsia="Times New Roman" w:hAnsi="Times New Roman"/>
          <w:b/>
          <w:bCs/>
          <w:color w:val="1B2A4A"/>
          <w:sz w:val="22"/>
          <w:szCs w:val="22"/>
        </w:rPr>
        <w:t xml:space="preserve">9.3 RSA Director: </w:t>
      </w:r>
      <w:r>
        <w:rPr>
          <w:rFonts w:ascii="Times New Roman" w:cs="Times New Roman" w:eastAsia="Times New Roman" w:hAnsi="Times New Roman"/>
          <w:color w:val="000000"/>
          <w:sz w:val="22"/>
          <w:szCs w:val="22"/>
        </w:rPr>
        <w:t xml:space="preserve">The RSA Director is nominated by the Prime Minister from a Candidate Register. RSA Director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operates, supplies, or seeks to operate or supply the National Record System's node infrastructure or technical standards; demonstrated expertise in at least one of — distributed systems or cryptographic infrastructure, public records management and archival systems, government information technology governance, or records system architecture and security; and no criminal conviction for conduct committed while holding federal office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9.4 — Emergency Mode</w:t>
      </w:r>
    </w:p>
    <w:p>
      <w:pPr>
        <w:spacing w:after="60" w:before="60" w:line="280" w:lineRule="auto"/>
        <w:jc w:val="both"/>
      </w:pPr>
      <w:r>
        <w:rPr>
          <w:rFonts w:ascii="Times New Roman" w:cs="Times New Roman" w:eastAsia="Times New Roman" w:hAnsi="Times New Roman"/>
          <w:color w:val="000000"/>
          <w:sz w:val="22"/>
          <w:szCs w:val="22"/>
        </w:rPr>
        <w:t xml:space="preserve">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(§2.8). The Record System Authority must publish a public notice of entry and recovery promptly.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9.5 — Classification Framework</w:t>
      </w:r>
    </w:p>
    <w:p>
      <w:pPr>
        <w:spacing w:after="60" w:before="60" w:line="280" w:lineRule="auto"/>
        <w:jc w:val="both"/>
      </w:pPr>
      <w:r>
        <w:rPr>
          <w:rFonts w:ascii="Times New Roman" w:cs="Times New Roman" w:eastAsia="Times New Roman" w:hAnsi="Times New Roman"/>
          <w:color w:val="000000"/>
          <w:sz w:val="22"/>
          <w:szCs w:val="22"/>
        </w:rPr>
        <w:t xml:space="preserve">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line="280" w:lineRule="auto"/>
        <w:jc w:val="both"/>
      </w:pPr>
      <w:r>
        <w:rPr>
          <w:rFonts w:ascii="Times New Roman" w:cs="Times New Roman" w:eastAsia="Times New Roman" w:hAnsi="Times New Roman"/>
          <w:b/>
          <w:bCs/>
          <w:color w:val="1B2A4A"/>
          <w:sz w:val="22"/>
          <w:szCs w:val="22"/>
        </w:rPr>
        <w:t xml:space="preserve">9.5.a Classification Authority: </w:t>
      </w:r>
      <w:r>
        <w:rPr>
          <w:rFonts w:ascii="Times New Roman" w:cs="Times New Roman" w:eastAsia="Times New Roman" w:hAnsi="Times New Roman"/>
          <w:color w:val="000000"/>
          <w:sz w:val="22"/>
          <w:szCs w:val="22"/>
        </w:rPr>
        <w:t xml:space="preserve">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is constitutionally prohibited regardless of whether the underlying classification is otherwise valid.</w:t>
      </w:r>
    </w:p>
    <w:p>
      <w:pPr>
        <w:spacing w:after="60" w:before="60" w:line="280" w:lineRule="auto"/>
        <w:jc w:val="both"/>
      </w:pPr>
      <w:r>
        <w:rPr>
          <w:rFonts w:ascii="Times New Roman" w:cs="Times New Roman" w:eastAsia="Times New Roman" w:hAnsi="Times New Roman"/>
          <w:b/>
          <w:bCs/>
          <w:color w:val="1B2A4A"/>
          <w:sz w:val="22"/>
          <w:szCs w:val="22"/>
        </w:rPr>
        <w:t xml:space="preserve">9.5.b Classification Duration: </w:t>
      </w:r>
      <w:r>
        <w:rPr>
          <w:rFonts w:ascii="Times New Roman" w:cs="Times New Roman" w:eastAsia="Times New Roman" w:hAnsi="Times New Roman"/>
          <w:color w:val="000000"/>
          <w:sz w:val="22"/>
          <w:szCs w:val="22"/>
        </w:rPr>
        <w:t xml:space="preserve">Standard classification expires 10 years from creation and must be renewed or it lapses automatically. A classifying authority may extend classification once — for a period the Legislature defines by statute, not to exceed 5 years — by filing a written public justification on the National Record System before the original expiry date. No second extension is permitted. the Legislature may not authorize extensions beyond 5 years or multiple extensions by statute.</w:t>
      </w:r>
    </w:p>
    <w:p>
      <w:pPr>
        <w:spacing w:after="60" w:before="60" w:line="280" w:lineRule="auto"/>
        <w:jc w:val="both"/>
      </w:pPr>
      <w:r>
        <w:rPr>
          <w:rFonts w:ascii="Times New Roman" w:cs="Times New Roman" w:eastAsia="Times New Roman" w:hAnsi="Times New Roman"/>
          <w:b/>
          <w:bCs/>
          <w:color w:val="1B2A4A"/>
          <w:sz w:val="22"/>
          <w:szCs w:val="22"/>
        </w:rPr>
        <w:t xml:space="preserve">9.5.c Classification Registry: </w:t>
      </w:r>
      <w:r>
        <w:rPr>
          <w:rFonts w:ascii="Times New Roman" w:cs="Times New Roman" w:eastAsia="Times New Roman" w:hAnsi="Times New Roman"/>
          <w:color w:val="000000"/>
          <w:sz w:val="22"/>
          <w:szCs w:val="22"/>
        </w:rPr>
        <w:t xml:space="preserve">The existence of every classified document must be registered on the National Record System within 24 hours of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constitutionally required and the omission is reported to the NRS. the Legislature defines registration timelines and format by statute.</w:t>
      </w:r>
    </w:p>
    <w:p>
      <w:pPr>
        <w:spacing w:after="60" w:before="60" w:line="280" w:lineRule="auto"/>
        <w:jc w:val="both"/>
      </w:pPr>
      <w:r>
        <w:rPr>
          <w:rFonts w:ascii="Times New Roman" w:cs="Times New Roman" w:eastAsia="Times New Roman" w:hAnsi="Times New Roman"/>
          <w:b/>
          <w:bCs/>
          <w:color w:val="1B2A4A"/>
          <w:sz w:val="22"/>
          <w:szCs w:val="22"/>
        </w:rPr>
        <w:t xml:space="preserve">9.5.d Automatic Declassification: </w:t>
      </w:r>
      <w:r>
        <w:rPr>
          <w:rFonts w:ascii="Times New Roman" w:cs="Times New Roman" w:eastAsia="Times New Roman" w:hAnsi="Times New Roman"/>
          <w:color w:val="000000"/>
          <w:sz w:val="22"/>
          <w:szCs w:val="22"/>
        </w:rPr>
        <w:t xml:space="preserve">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spacing w:after="60" w:before="60" w:line="280" w:lineRule="auto"/>
        <w:jc w:val="both"/>
      </w:pPr>
      <w:r>
        <w:rPr>
          <w:rFonts w:ascii="Times New Roman" w:cs="Times New Roman" w:eastAsia="Times New Roman" w:hAnsi="Times New Roman"/>
          <w:b/>
          <w:bCs/>
          <w:color w:val="1B2A4A"/>
          <w:sz w:val="22"/>
          <w:szCs w:val="22"/>
        </w:rPr>
        <w:t xml:space="preserve">9.5.e Improper Classification: </w:t>
      </w:r>
      <w:r>
        <w:rPr>
          <w:rFonts w:ascii="Times New Roman" w:cs="Times New Roman" w:eastAsia="Times New Roman" w:hAnsi="Times New Roman"/>
          <w:color w:val="000000"/>
          <w:sz w:val="22"/>
          <w:szCs w:val="22"/>
        </w:rPr>
        <w:t xml:space="preserve">Classification used to conceal a constitutional violation, illegal order, or policy decision — rather than genuinely sensitive operational material — is improper classification and is reported to the National Record System by the relevant Inspectorate.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 — PUBLIC FINANCE &amp; ETHICS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10.1 — Basic Needs Support (The Basic Needs Floor)</w:t>
      </w:r>
    </w:p>
    <w:p>
      <w:pPr>
        <w:spacing w:after="60" w:before="60" w:line="280" w:lineRule="auto"/>
        <w:jc w:val="both"/>
      </w:pPr>
      <w:r>
        <w:rPr>
          <w:rFonts w:ascii="Times New Roman" w:cs="Times New Roman" w:eastAsia="Times New Roman" w:hAnsi="Times New Roman"/>
          <w:color w:val="000000"/>
          <w:sz w:val="22"/>
          <w:szCs w:val="22"/>
        </w:rPr>
        <w:t xml:space="preserve">The Basic Needs Floor is a constitutionally guaranteed minimum of 5% of gross national revenue the government must spend on Basic Needs — 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line="280" w:lineRule="auto"/>
        <w:jc w:val="both"/>
      </w:pPr>
      <w:r>
        <w:rPr>
          <w:rFonts w:ascii="Times New Roman" w:cs="Times New Roman" w:eastAsia="Times New Roman" w:hAnsi="Times New Roman"/>
          <w:b/>
          <w:bCs/>
          <w:color w:val="1B2A4A"/>
          <w:sz w:val="22"/>
          <w:szCs w:val="22"/>
        </w:rPr>
        <w:t xml:space="preserve">10.1.a Anti-Evasion Principle: </w:t>
      </w:r>
      <w:r>
        <w:rPr>
          <w:rFonts w:ascii="Times New Roman" w:cs="Times New Roman" w:eastAsia="Times New Roman" w:hAnsi="Times New Roman"/>
          <w:color w:val="000000"/>
          <w:sz w:val="22"/>
          <w:szCs w:val="22"/>
        </w:rPr>
        <w:t xml:space="preserve">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line="280" w:lineRule="auto"/>
        <w:jc w:val="both"/>
      </w:pPr>
      <w:r>
        <w:rPr>
          <w:rFonts w:ascii="Times New Roman" w:cs="Times New Roman" w:eastAsia="Times New Roman" w:hAnsi="Times New Roman"/>
          <w:color w:val="000000"/>
          <w:sz w:val="22"/>
          <w:szCs w:val="22"/>
        </w:rPr>
        <w:t xml:space="preserve">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the Legislature has 45 days from the date the finding is published to address the band by statute. The 45-day window begins on the NRS publication date and is tolled if the Legislature cannot convene due to caretaker period or emergency, with a maximum toll of 90 days. If the Legislature fails to act within 45 days (or the tolled period), the relevant statute automatically becomes eligible for referendum under Article XI without requiring a citizen petition.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the Legislature defines, provided the fund is accessible only during certified Severe Contractions under §10.1.d and any diverted funds are designated BNF reserves that supplement future BNF distributions rather than substitute for them.</w:t>
      </w:r>
    </w:p>
    <w:p>
      <w:pPr>
        <w:spacing w:after="40" w:before="160"/>
      </w:pPr>
      <w:r>
        <w:rPr>
          <w:rFonts w:ascii="Times New Roman" w:cs="Times New Roman" w:eastAsia="Times New Roman" w:hAnsi="Times New Roman"/>
          <w:b/>
          <w:bCs/>
          <w:color w:val="1B2A4A"/>
          <w:sz w:val="22"/>
          <w:szCs w:val="22"/>
        </w:rPr>
        <w:t xml:space="preserve">Severe Contraction Protocol (§10.1.d–§10.1.g)</w:t>
      </w:r>
    </w:p>
    <w:p>
      <w:pPr>
        <w:spacing w:after="60" w:before="60" w:line="280" w:lineRule="auto"/>
        <w:jc w:val="both"/>
      </w:pPr>
      <w:r>
        <w:rPr>
          <w:rFonts w:ascii="Times New Roman" w:cs="Times New Roman" w:eastAsia="Times New Roman" w:hAnsi="Times New Roman"/>
          <w:b/>
          <w:bCs/>
          <w:color w:val="1B2A4A"/>
          <w:sz w:val="22"/>
          <w:szCs w:val="22"/>
        </w:rPr>
        <w:t xml:space="preserve">10.1.d Severe Contraction Protocol — Activation: </w:t>
      </w:r>
      <w:r>
        <w:rPr>
          <w:rFonts w:ascii="Times New Roman" w:cs="Times New Roman" w:eastAsia="Times New Roman" w:hAnsi="Times New Roman"/>
          <w:color w:val="000000"/>
          <w:sz w:val="22"/>
          <w:szCs w:val="22"/>
        </w:rPr>
        <w:t xml:space="preserve">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10.1.e Severe Contraction Protocol — Effects: </w:t>
      </w:r>
      <w:r>
        <w:rPr>
          <w:rFonts w:ascii="Times New Roman" w:cs="Times New Roman" w:eastAsia="Times New Roman" w:hAnsi="Times New Roman"/>
          <w:color w:val="000000"/>
          <w:sz w:val="22"/>
          <w:szCs w:val="22"/>
        </w:rPr>
        <w:t xml:space="preserve">During a certified Severe Contraction, the Basic Needs Floor may be proportionally reduced in the same ratio as actual revenue to median revenue over the prior five years — 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line="280" w:lineRule="auto"/>
        <w:jc w:val="both"/>
      </w:pPr>
      <w:r>
        <w:rPr>
          <w:rFonts w:ascii="Times New Roman" w:cs="Times New Roman" w:eastAsia="Times New Roman" w:hAnsi="Times New Roman"/>
          <w:b/>
          <w:bCs/>
          <w:color w:val="1B2A4A"/>
          <w:sz w:val="22"/>
          <w:szCs w:val="22"/>
        </w:rPr>
        <w:t xml:space="preserve">10.1.f Severe Contraction Protocol — Legislative Review: </w:t>
      </w:r>
      <w:r>
        <w:rPr>
          <w:rFonts w:ascii="Times New Roman" w:cs="Times New Roman" w:eastAsia="Times New Roman" w:hAnsi="Times New Roman"/>
          <w:color w:val="000000"/>
          <w:sz w:val="22"/>
          <w:szCs w:val="22"/>
        </w:rPr>
        <w:t xml:space="preserve">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10.1.g Federal Supplementation Obligation: </w:t>
      </w:r>
      <w:r>
        <w:rPr>
          <w:rFonts w:ascii="Times New Roman" w:cs="Times New Roman" w:eastAsia="Times New Roman" w:hAnsi="Times New Roman"/>
          <w:color w:val="000000"/>
          <w:sz w:val="22"/>
          <w:szCs w:val="22"/>
        </w:rPr>
        <w:t xml:space="preserve">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§10.1.f. If the Legislature overrides the Severe Contraction certification, the supplementation obligation continues until the MA certifies that the affected States' fiscal capacity has recovered to floor compliance without federal support.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10.2 — Taxation Authority</w:t>
      </w:r>
    </w:p>
    <w:p>
      <w:pPr>
        <w:spacing w:after="60" w:before="60" w:line="280" w:lineRule="auto"/>
        <w:jc w:val="both"/>
      </w:pPr>
      <w:r>
        <w:rPr>
          <w:rFonts w:ascii="Times New Roman" w:cs="Times New Roman" w:eastAsia="Times New Roman" w:hAnsi="Times New Roman"/>
          <w:color w:val="000000"/>
          <w:sz w:val="22"/>
          <w:szCs w:val="22"/>
        </w:rPr>
        <w:t xml:space="preserve">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line="280" w:lineRule="auto"/>
        <w:jc w:val="both"/>
      </w:pPr>
      <w:r>
        <w:rPr>
          <w:rFonts w:ascii="Times New Roman" w:cs="Times New Roman" w:eastAsia="Times New Roman" w:hAnsi="Times New Roman"/>
          <w:color w:val="000000"/>
          <w:sz w:val="22"/>
          <w:szCs w:val="22"/>
        </w:rPr>
        <w:t xml:space="preserve">the Legislature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 not to exceed 90 days — during which the Legislature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60" w:before="60" w:line="280" w:lineRule="auto"/>
        <w:jc w:val="both"/>
      </w:pPr>
      <w:r>
        <w:rPr>
          <w:rFonts w:ascii="Times New Roman" w:cs="Times New Roman" w:eastAsia="Times New Roman" w:hAnsi="Times New Roman"/>
          <w:b/>
          <w:bCs/>
          <w:color w:val="1B2A4A"/>
          <w:sz w:val="22"/>
          <w:szCs w:val="22"/>
        </w:rPr>
        <w:t xml:space="preserve">10.2.a Legislative Pay Withholding During Budget Failure: </w:t>
      </w:r>
      <w:r>
        <w:rPr>
          <w:rFonts w:ascii="Times New Roman" w:cs="Times New Roman" w:eastAsia="Times New Roman" w:hAnsi="Times New Roman"/>
          <w:color w:val="000000"/>
          <w:sz w:val="22"/>
          <w:szCs w:val="22"/>
        </w:rPr>
        <w:t xml:space="preserve">Where the 90-day continuation period has expired and discretionary government spending has been suspended under §10.2, the pay of all members of both chambers of the Legislature is withheld from the same date on which government employee pay is withheld — no earlier and no later. Withheld legislator pay is held and released in full to each member within 14 days of the Legislature enacting a budget. Pay withheld under this provision is not forfeited — members are compensated for the full period once the budget is enacted, reflecting that legislators continue performing their duties during the impasse. No member may receive advance pay, loans from government sources, or any other compensation from public funds as a substitute for withheld pay during this period. The Monetary Authority publishes to the National Record System a running daily count of the number of days legislator pay has been withheld under this provision, alongside the corresponding count for general government employees. Both counts are publicly accessible from the date withholding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10.3 — Deficit Controls</w:t>
      </w:r>
    </w:p>
    <w:p>
      <w:pPr>
        <w:spacing w:after="60" w:before="60" w:line="280" w:lineRule="auto"/>
        <w:jc w:val="both"/>
      </w:pPr>
      <w:r>
        <w:rPr>
          <w:rFonts w:ascii="Times New Roman" w:cs="Times New Roman" w:eastAsia="Times New Roman" w:hAnsi="Times New Roman"/>
          <w:b/>
          <w:bCs/>
          <w:color w:val="1B2A4A"/>
          <w:sz w:val="22"/>
          <w:szCs w:val="22"/>
        </w:rPr>
        <w:t xml:space="preserve">10.3.a Inherited Deficit Transition Threshold: </w:t>
      </w:r>
      <w:r>
        <w:rPr>
          <w:rFonts w:ascii="Times New Roman" w:cs="Times New Roman" w:eastAsia="Times New Roman" w:hAnsi="Times New Roman"/>
          <w:color w:val="000000"/>
          <w:sz w:val="22"/>
          <w:szCs w:val="22"/>
        </w:rPr>
        <w:t xml:space="preserve">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the Legislature notice of which threshold governs the forthcoming budget cycle.</w:t>
      </w:r>
    </w:p>
    <w:p>
      <w:pPr>
        <w:spacing w:after="60" w:before="60" w:line="280" w:lineRule="auto"/>
        <w:jc w:val="both"/>
      </w:pPr>
      <w:r>
        <w:rPr>
          <w:rFonts w:ascii="Times New Roman" w:cs="Times New Roman" w:eastAsia="Times New Roman" w:hAnsi="Times New Roman"/>
          <w:color w:val="000000"/>
          <w:sz w:val="22"/>
          <w:szCs w:val="22"/>
        </w:rPr>
        <w:t xml:space="preserve">The Republic may not spend beyond projected revenue in any fiscal year without a 3/4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10.3.b BNF and Contraction Exemptions: </w:t>
      </w:r>
      <w:r>
        <w:rPr>
          <w:rFonts w:ascii="Times New Roman" w:cs="Times New Roman" w:eastAsia="Times New Roman" w:hAnsi="Times New Roman"/>
          <w:color w:val="000000"/>
          <w:sz w:val="22"/>
          <w:szCs w:val="22"/>
        </w:rPr>
        <w:t xml:space="preserve">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10.4 — The Monetary Authority</w:t>
      </w:r>
    </w:p>
    <w:p>
      <w:pPr>
        <w:spacing w:after="60" w:before="60" w:line="280" w:lineRule="auto"/>
        <w:jc w:val="both"/>
      </w:pPr>
      <w:r>
        <w:rPr>
          <w:rFonts w:ascii="Times New Roman" w:cs="Times New Roman" w:eastAsia="Times New Roman" w:hAnsi="Times New Roman"/>
          <w:b/>
          <w:bCs/>
          <w:color w:val="1B2A4A"/>
          <w:sz w:val="22"/>
          <w:szCs w:val="22"/>
        </w:rPr>
        <w:t xml:space="preserve">10.4.a Director Election and Board Composition: </w:t>
      </w:r>
      <w:r>
        <w:rPr>
          <w:rFonts w:ascii="Times New Roman" w:cs="Times New Roman" w:eastAsia="Times New Roman" w:hAnsi="Times New Roman"/>
          <w:color w:val="000000"/>
          <w:sz w:val="22"/>
          <w:szCs w:val="22"/>
        </w:rPr>
        <w:t xml:space="preserve">The Monetary Authority is governed by a Director and a board of five members. The Director is elected by national Ranked Choice Voting on National Election Day to a single non-renewable 7-year term, staggered from the board member appointment cycle.</w:t>
      </w:r>
    </w:p>
    <w:p>
      <w:pPr>
        <w:spacing w:after="60" w:before="60" w:line="280" w:lineRule="auto"/>
        <w:jc w:val="both"/>
      </w:pPr>
      <w:r>
        <w:rPr>
          <w:rFonts w:ascii="Times New Roman" w:cs="Times New Roman" w:eastAsia="Times New Roman" w:hAnsi="Times New Roman"/>
          <w:b/>
          <w:bCs/>
          <w:color w:val="1B2A4A"/>
          <w:sz w:val="22"/>
          <w:szCs w:val="22"/>
        </w:rPr>
        <w:t xml:space="preserve">MA Director Ballot Access — Narrow Disqualifiers: </w:t>
      </w:r>
      <w:r>
        <w:rPr>
          <w:rFonts w:ascii="Times New Roman" w:cs="Times New Roman" w:eastAsia="Times New Roman" w:hAnsi="Times New Roman"/>
          <w:color w:val="000000"/>
          <w:sz w:val="22"/>
          <w:szCs w:val="22"/>
        </w:rPr>
        <w:t xml:space="preserve">A candidate for the Director position is disqualified from appearing on the ballot if they: (1) currently hold any elected or appointed government position at any level — federal, State, or Territorial; (2) hold a current financial interest whose value is materially and directly affected by MA monetary policy decisions, including positions in instruments directly priced by interest rate decisions and significant ownership interests in entities subject to MA fiscal certification; (3) are not a Republic citizen; or (4) were convicted of a criminal offense committed while holding federal office during any prior period of federal service. These four criteria are the sole disqualifying circumstances. The electorate determines the qualification of candidates through the information environment established by this section — not through institutional gatekeeping beyond this narrow objective set.</w:t>
      </w:r>
    </w:p>
    <w:p>
      <w:pPr>
        <w:spacing w:after="60" w:before="60" w:line="280" w:lineRule="auto"/>
        <w:jc w:val="both"/>
      </w:pPr>
      <w:r>
        <w:rPr>
          <w:rFonts w:ascii="Times New Roman" w:cs="Times New Roman" w:eastAsia="Times New Roman" w:hAnsi="Times New Roman"/>
          <w:b/>
          <w:bCs/>
          <w:color w:val="1B2A4A"/>
          <w:sz w:val="22"/>
          <w:szCs w:val="22"/>
        </w:rPr>
        <w:t xml:space="preserve">MA Director Candidate Register and Disclosure: </w:t>
      </w:r>
      <w:r>
        <w:rPr>
          <w:rFonts w:ascii="Times New Roman" w:cs="Times New Roman" w:eastAsia="Times New Roman" w:hAnsi="Times New Roman"/>
          <w:color w:val="000000"/>
          <w:sz w:val="22"/>
          <w:szCs w:val="22"/>
        </w:rPr>
        <w:t xml:space="preserve">The Executive Inspectorate maintains a standing MA Director Candidate Register, continuously open and publicly accessible on the National Record System. Any citizen who intends to seek the Director position must register and submit a full disclosure record covering: professional history and any relevant expertise in monetary policy, public finance, macroeconomics, national income accounting, or related fields; all financial interests and holdings; all prior elected or appointed government positions; all prior party memberships and documented partisan political activity; and any prior constitutional constitutional violation findings. The disclosure record is published to the NRS in full upon submission. A registered candidate must notify the EI within 30 days of any material change in their circumstances, including the acquisition of a disqualifying financial interest or a government position. The Executive Inspectorate reviews each submitted disclosure record for factual accuracy only — it does not assess the quality, depth, or relevance of a candidate's expertise, nor does it evaluate whether the expertise disclosed is sufficient for the position. Where the EI identifies a material factual inaccuracy, it publishes a specific discrepancy finding to the NRS; the candidate may submit a corrected record within a Legislature-defined period, which the EI reviews and publishes alongside the original. Where a candidate's disclosure — accurate or corrected — reveals a disqualifying circumstance under the four criteria above, the EI removes the candidate from the ballot and publishes the specific grounds to the NRS. Where the disclosure is factually accurate and discloses no disqualifying circumstance, the candidate proceeds to the ballot regardless of the content of the disclosure — including where the disclosure reveals limited or no expertise in monetary economics. Removal from the ballot by the EI may be appealed to the Supreme Court within 14 days; the Court reviews only whether the disqualifying criterion is met, not the merits of any expertise assessment.</w:t>
      </w:r>
    </w:p>
    <w:p>
      <w:pPr>
        <w:spacing w:after="60" w:before="60" w:line="280" w:lineRule="auto"/>
        <w:jc w:val="both"/>
      </w:pPr>
      <w:r>
        <w:rPr>
          <w:rFonts w:ascii="Times New Roman" w:cs="Times New Roman" w:eastAsia="Times New Roman" w:hAnsi="Times New Roman"/>
          <w:b/>
          <w:bCs/>
          <w:color w:val="1B2A4A"/>
          <w:sz w:val="22"/>
          <w:szCs w:val="22"/>
        </w:rPr>
        <w:t xml:space="preserve">MA Director Advisory Assessment: </w:t>
      </w:r>
      <w:r>
        <w:rPr>
          <w:rFonts w:ascii="Times New Roman" w:cs="Times New Roman" w:eastAsia="Times New Roman" w:hAnsi="Times New Roman"/>
          <w:color w:val="000000"/>
          <w:sz w:val="22"/>
          <w:szCs w:val="22"/>
        </w:rPr>
        <w:t xml:space="preserve">Before each Director election, the MA Board publishes an advisory assessment of each registered candidate's publicly disclosed expertise relevant to the MA's constitutional mandate — price stability, fiscal solvency, and the GNR certification functions. The assessment is advisory only — it has no gatekeeping authority, does not affect ballot access, and does not bind the electorate. It is published to the NRS no later than 90 days before National Election Day, simultaneously with the EI's final disclosure review findings for that cycle. Each candidate may publish a response to the Board's assessment on the NRS within 30 days of publication. The Board's assessment must be grounded in the disclosed record — it may note the absence of disclosed expertise relevant to the MA's functions but may not characterize candidates' positions on policy matters beyond what their disclosed record establishes.</w:t>
      </w:r>
    </w:p>
    <w:p>
      <w:pPr>
        <w:spacing w:after="60" w:before="60" w:line="280" w:lineRule="auto"/>
        <w:jc w:val="both"/>
      </w:pPr>
      <w:r>
        <w:rPr>
          <w:rFonts w:ascii="Times New Roman" w:cs="Times New Roman" w:eastAsia="Times New Roman" w:hAnsi="Times New Roman"/>
          <w:b/>
          <w:bCs/>
          <w:color w:val="1B2A4A"/>
          <w:sz w:val="22"/>
          <w:szCs w:val="22"/>
        </w:rPr>
        <w:t xml:space="preserve">MA Board Member Eligibility: </w:t>
      </w:r>
      <w:r>
        <w:rPr>
          <w:rFonts w:ascii="Times New Roman" w:cs="Times New Roman" w:eastAsia="Times New Roman" w:hAnsi="Times New Roman"/>
          <w:color w:val="000000"/>
          <w:sz w:val="22"/>
          <w:szCs w:val="22"/>
        </w:rPr>
        <w:t xml:space="preserve">Candidates for the MA board must meet the following eligibility criteria, which constitute the constitutional floor for the Candidate Register the PM draws from: at least 5 years of professional experience in monetary policy, macroeconomics, public finance, fiscal policy, or a closely related field; no currently held elected or appointed government position; no current financial interest materially and directly affected by MA monetary policy decisions; and no criminal conviction for conduct committed while holding federal office of federal service. The Legislature may by statute establish additional qualification requirements consistent with this floor. The board Candidate Register is maintained by the Executive Inspectorate, is publicly accessible on the NRS, and is subject to the same disclosure and factual review requirements as the Director Candidate Register. These criteria are the constitutional eligibility floor — the PM may not nominate a candidate who does not meet them, and the EI publishes a finding if a submitted nominee falls below this floor before the Senate confirmation vote proceeds.</w:t>
      </w:r>
    </w:p>
    <w:p>
      <w:pPr>
        <w:spacing w:after="60" w:before="60" w:line="280" w:lineRule="auto"/>
        <w:jc w:val="both"/>
      </w:pPr>
      <w:r>
        <w:rPr>
          <w:rFonts w:ascii="Times New Roman" w:cs="Times New Roman" w:eastAsia="Times New Roman" w:hAnsi="Times New Roman"/>
          <w:b/>
          <w:bCs/>
          <w:color w:val="1B2A4A"/>
          <w:sz w:val="22"/>
          <w:szCs w:val="22"/>
        </w:rPr>
        <w:t xml:space="preserve">Board Appointment and Confirmation: </w:t>
      </w:r>
      <w:r>
        <w:rPr>
          <w:rFonts w:ascii="Times New Roman" w:cs="Times New Roman" w:eastAsia="Times New Roman" w:hAnsi="Times New Roman"/>
          <w:color w:val="000000"/>
          <w:sz w:val="22"/>
          <w:szCs w:val="22"/>
        </w:rPr>
        <w:t xml:space="preserve">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 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acting officer escalation framework of §2.2.h applies from the date of assumption.</w:t>
      </w:r>
    </w:p>
    <w:p>
      <w:pPr>
        <w:spacing w:after="60" w:before="60" w:line="280" w:lineRule="auto"/>
        <w:jc w:val="both"/>
      </w:pPr>
      <w:r>
        <w:rPr>
          <w:rFonts w:ascii="Times New Roman" w:cs="Times New Roman" w:eastAsia="Times New Roman" w:hAnsi="Times New Roman"/>
          <w:b/>
          <w:bCs/>
          <w:color w:val="1B2A4A"/>
          <w:sz w:val="22"/>
          <w:szCs w:val="22"/>
        </w:rPr>
        <w:t xml:space="preserve">Removal Protection: </w:t>
      </w:r>
      <w:r>
        <w:rPr>
          <w:rFonts w:ascii="Times New Roman" w:cs="Times New Roman" w:eastAsia="Times New Roman" w:hAnsi="Times New Roman"/>
          <w:color w:val="000000"/>
          <w:sz w:val="22"/>
          <w:szCs w:val="22"/>
        </w:rPr>
        <w:t xml:space="preserve">No-Cause removal is not available for the MA Director or for confirmed MA board members — they may only be removed through the For-Cause track requiring a documented EI dereliction finding. Removal of the confirmed MA Director or a confirmed board member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Director Mid-Term Vacancy: </w:t>
      </w:r>
      <w:r>
        <w:rPr>
          <w:rFonts w:ascii="Times New Roman" w:cs="Times New Roman" w:eastAsia="Times New Roman" w:hAnsi="Times New Roman"/>
          <w:color w:val="000000"/>
          <w:sz w:val="22"/>
          <w:szCs w:val="22"/>
        </w:rPr>
        <w:t xml:space="preserve">Upon any mid-term vacancy in the Director role — through death, resignation, or removal — the most senior board member assumes acting Director status immediately; a special election to fill the Director vacancy is held within 90 days; the elected replacement serves a full new 7-year non-renewable term from the date of certification.</w:t>
      </w:r>
    </w:p>
    <w:p>
      <w:pPr>
        <w:spacing w:after="60" w:before="60" w:line="280" w:lineRule="auto"/>
        <w:jc w:val="both"/>
      </w:pPr>
      <w:r>
        <w:rPr>
          <w:rFonts w:ascii="Times New Roman" w:cs="Times New Roman" w:eastAsia="Times New Roman" w:hAnsi="Times New Roman"/>
          <w:b/>
          <w:bCs/>
          <w:color w:val="1B2A4A"/>
          <w:sz w:val="22"/>
          <w:szCs w:val="22"/>
        </w:rPr>
        <w:t xml:space="preserve">Board Member Mid-Term Vacancy: </w:t>
      </w:r>
      <w:r>
        <w:rPr>
          <w:rFonts w:ascii="Times New Roman" w:cs="Times New Roman" w:eastAsia="Times New Roman" w:hAnsi="Times New Roman"/>
          <w:color w:val="000000"/>
          <w:sz w:val="22"/>
          <w:szCs w:val="22"/>
        </w:rPr>
        <w:t xml:space="preserve">Upon any mid-term vacancy in a board member role, the PM nominates a replacement within 60 days and the acting officer escalation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10.4.b Independence: </w:t>
      </w:r>
      <w:r>
        <w:rPr>
          <w:rFonts w:ascii="Times New Roman" w:cs="Times New Roman" w:eastAsia="Times New Roman" w:hAnsi="Times New Roman"/>
          <w:color w:val="000000"/>
          <w:sz w:val="22"/>
          <w:szCs w:val="22"/>
        </w:rPr>
        <w:t xml:space="preserve">The Monetary Authority may not be directed, overruled, or pressured by either executive or by the Legislature. Its primary mandate is price stability and fiscal solvency. Subject to the achievement of its primary mandate, the MA shall have regard to conditions of employment and the promotion of sustainable economic growth in forming its monetary policy determinations. The primary mandate takes precedence in all cases of conflict. The Director's veto and the board's override authority operate within this independence mandate — neither the veto nor the override may be exercised in response to political direction from any external actor. Any Director or board member who exercises their veto or override authority in response to political direction from either executive or the Legislature is constitutionally prohibited. All board determinations, Director vetoes, board overrides, and dissenting methodological assessments are published to the National Record System immediately upon issue, ensuring that any pattern of politically-directed decision-making is permanently documented.</w:t>
      </w:r>
    </w:p>
    <w:p>
      <w:pPr>
        <w:spacing w:after="60" w:before="60" w:line="280" w:lineRule="auto"/>
        <w:jc w:val="both"/>
      </w:pPr>
      <w:r>
        <w:rPr>
          <w:rFonts w:ascii="Times New Roman" w:cs="Times New Roman" w:eastAsia="Times New Roman" w:hAnsi="Times New Roman"/>
          <w:b/>
          <w:bCs/>
          <w:color w:val="1B2A4A"/>
          <w:sz w:val="22"/>
          <w:szCs w:val="22"/>
        </w:rPr>
        <w:t xml:space="preserve">10.4.c Transparency: </w:t>
      </w:r>
      <w:r>
        <w:rPr>
          <w:rFonts w:ascii="Times New Roman" w:cs="Times New Roman" w:eastAsia="Times New Roman" w:hAnsi="Times New Roman"/>
          <w:color w:val="000000"/>
          <w:sz w:val="22"/>
          <w:szCs w:val="22"/>
        </w:rPr>
        <w:t xml:space="preserve">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10.4.d Methodology Integrity: </w:t>
      </w:r>
      <w:r>
        <w:rPr>
          <w:rFonts w:ascii="Times New Roman" w:cs="Times New Roman" w:eastAsia="Times New Roman" w:hAnsi="Times New Roman"/>
          <w:color w:val="000000"/>
          <w:sz w:val="22"/>
          <w:szCs w:val="22"/>
        </w:rPr>
        <w:t xml:space="preserve">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A Director who vetoes a board certification on methodology grounds must simultaneously file a methodology challenge before the Supreme Court within 48 hours of the veto, or the veto lapses automatically and the board's certification stands. The board override proceeds regardless of any pending judicial challenge — the override and the judicial challenge are parallel tracks. The Director's removal protection under this section applies from the date the judicial challenge is filed, not from the date of the veto.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10.4.e Uncertifiable Inherited Fiscal Position: </w:t>
      </w:r>
      <w:r>
        <w:rPr>
          <w:rFonts w:ascii="Times New Roman" w:cs="Times New Roman" w:eastAsia="Times New Roman" w:hAnsi="Times New Roman"/>
          <w:color w:val="000000"/>
          <w:sz w:val="22"/>
          <w:szCs w:val="22"/>
        </w:rPr>
        <w:t xml:space="preserve">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§10.1. the Legislature may not use a zero baseline certification to defer deficit control obligations beyond the first comprehensive assessment.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10.5 — Official Ethics Provisions</w:t>
      </w:r>
    </w:p>
    <w:p>
      <w:pPr>
        <w:spacing w:after="60" w:before="60" w:line="280" w:lineRule="auto"/>
        <w:jc w:val="both"/>
      </w:pPr>
      <w:r>
        <w:rPr>
          <w:rFonts w:ascii="Times New Roman" w:cs="Times New Roman" w:eastAsia="Times New Roman" w:hAnsi="Times New Roman"/>
          <w:b/>
          <w:bCs/>
          <w:color w:val="1B2A4A"/>
          <w:sz w:val="22"/>
          <w:szCs w:val="22"/>
        </w:rPr>
        <w:t xml:space="preserve">10.5.a Official Benefits: </w:t>
      </w:r>
      <w:r>
        <w:rPr>
          <w:rFonts w:ascii="Times New Roman" w:cs="Times New Roman" w:eastAsia="Times New Roman" w:hAnsi="Times New Roman"/>
          <w:color w:val="000000"/>
          <w:sz w:val="22"/>
          <w:szCs w:val="22"/>
        </w:rPr>
        <w:t xml:space="preserve">The standard for all official benefits, allowances, and limitations is that of a civil service employee in a comparable role. Departure from this standard is permitted only where an official's constitutional responsibilities create a demonstrable operational need, and only to the minimum extent that need requires. This standard covers: housing in session — standardized, no luxury stipends; healthcare and retirement — the same systems as the citizens officials serve; and compensation,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10.5.b Financial Disclosure: </w:t>
      </w:r>
      <w:r>
        <w:rPr>
          <w:rFonts w:ascii="Times New Roman" w:cs="Times New Roman" w:eastAsia="Times New Roman" w:hAnsi="Times New Roman"/>
          <w:color w:val="000000"/>
          <w:sz w:val="22"/>
          <w:szCs w:val="22"/>
        </w:rPr>
        <w:t xml:space="preserve">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prohibited and reported to the NRS by the Executive Inspectorate. the Legislature defines by statute the specific content requirements, the de minimis thresholds, and the verification process,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10.5.c Integrity Bans: </w:t>
      </w:r>
      <w:r>
        <w:rPr>
          <w:rFonts w:ascii="Times New Roman" w:cs="Times New Roman" w:eastAsia="Times New Roman" w:hAnsi="Times New Roman"/>
          <w:color w:val="000000"/>
          <w:sz w:val="22"/>
          <w:szCs w:val="22"/>
        </w:rPr>
        <w:t xml:space="preserve">Officials are subject to a post-service lobbying ban of not less than five years, as the Legislature may extend by statute. Violation triggers permanent forfeiture of all public pensions and benefits.</w:t>
      </w:r>
    </w:p>
    <w:p>
      <w:pPr>
        <w:spacing w:after="60" w:before="60" w:line="280" w:lineRule="auto"/>
        <w:jc w:val="both"/>
      </w:pPr>
      <w:r>
        <w:rPr>
          <w:rFonts w:ascii="Times New Roman" w:cs="Times New Roman" w:eastAsia="Times New Roman" w:hAnsi="Times New Roman"/>
          <w:b/>
          <w:bCs/>
          <w:color w:val="1B2A4A"/>
          <w:sz w:val="22"/>
          <w:szCs w:val="22"/>
        </w:rPr>
        <w:t xml:space="preserve">10.5.d Anti-Ego Provision: </w:t>
      </w:r>
      <w:r>
        <w:rPr>
          <w:rFonts w:ascii="Times New Roman" w:cs="Times New Roman" w:eastAsia="Times New Roman" w:hAnsi="Times New Roman"/>
          <w:color w:val="000000"/>
          <w:sz w:val="22"/>
          <w:szCs w:val="22"/>
        </w:rPr>
        <w:t xml:space="preserve">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10.5.e Official Records Belong to the Republic: </w:t>
      </w:r>
      <w:r>
        <w:rPr>
          <w:rFonts w:ascii="Times New Roman" w:cs="Times New Roman" w:eastAsia="Times New Roman" w:hAnsi="Times New Roman"/>
          <w:color w:val="000000"/>
          <w:sz w:val="22"/>
          <w:szCs w:val="22"/>
        </w:rPr>
        <w:t xml:space="preserve">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is prohibited; recoverable records are subject to forfeiture to the Republic regardless of where they are found.</w:t>
      </w:r>
    </w:p>
    <w:p>
      <w:pPr>
        <w:spacing w:after="60" w:before="60" w:line="280" w:lineRule="auto"/>
        <w:jc w:val="both"/>
      </w:pPr>
      <w:r>
        <w:rPr>
          <w:rFonts w:ascii="Times New Roman" w:cs="Times New Roman" w:eastAsia="Times New Roman" w:hAnsi="Times New Roman"/>
          <w:b/>
          <w:bCs/>
          <w:color w:val="1B2A4A"/>
          <w:sz w:val="22"/>
          <w:szCs w:val="22"/>
        </w:rPr>
        <w:t xml:space="preserve">10.5.f Official Gifts: </w:t>
      </w:r>
      <w:r>
        <w:rPr>
          <w:rFonts w:ascii="Times New Roman" w:cs="Times New Roman" w:eastAsia="Times New Roman" w:hAnsi="Times New Roman"/>
          <w:color w:val="000000"/>
          <w:sz w:val="22"/>
          <w:szCs w:val="22"/>
        </w:rPr>
        <w:t xml:space="preserve">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constitutionally prohibited.</w:t>
      </w:r>
    </w:p>
    <w:p>
      <w:pPr>
        <w:spacing w:after="60" w:before="60" w:line="280" w:lineRule="auto"/>
        <w:jc w:val="both"/>
      </w:pPr>
      <w:r>
        <w:rPr>
          <w:rFonts w:ascii="Times New Roman" w:cs="Times New Roman" w:eastAsia="Times New Roman" w:hAnsi="Times New Roman"/>
          <w:b/>
          <w:bCs/>
          <w:color w:val="1B2A4A"/>
          <w:sz w:val="22"/>
          <w:szCs w:val="22"/>
        </w:rPr>
        <w:t xml:space="preserve">10.5.g Official Intellectual Property: </w:t>
      </w:r>
      <w:r>
        <w:rPr>
          <w:rFonts w:ascii="Times New Roman" w:cs="Times New Roman" w:eastAsia="Times New Roman" w:hAnsi="Times New Roman"/>
          <w:color w:val="000000"/>
          <w:sz w:val="22"/>
          <w:szCs w:val="22"/>
        </w:rPr>
        <w:t xml:space="preserve">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is constitutionally prohibited.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60" w:before="60" w:line="280" w:lineRule="auto"/>
        <w:jc w:val="both"/>
      </w:pPr>
      <w:r>
        <w:rPr>
          <w:rFonts w:ascii="Times New Roman" w:cs="Times New Roman" w:eastAsia="Times New Roman" w:hAnsi="Times New Roman"/>
          <w:b/>
          <w:bCs/>
          <w:color w:val="1B2A4A"/>
          <w:sz w:val="22"/>
          <w:szCs w:val="22"/>
        </w:rPr>
        <w:t xml:space="preserve">10.5.h Oath of Office Requirement: </w:t>
      </w:r>
      <w:r>
        <w:rPr>
          <w:rFonts w:ascii="Times New Roman" w:cs="Times New Roman" w:eastAsia="Times New Roman" w:hAnsi="Times New Roman"/>
          <w:color w:val="000000"/>
          <w:sz w:val="22"/>
          <w:szCs w:val="22"/>
        </w:rPr>
        <w:t xml:space="preserve">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acts without constitutional authority.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10.6 — Citizen Duties</w:t>
      </w:r>
    </w:p>
    <w:p>
      <w:pPr>
        <w:spacing w:after="60" w:before="60" w:line="280" w:lineRule="auto"/>
        <w:jc w:val="both"/>
      </w:pPr>
      <w:r>
        <w:rPr>
          <w:rFonts w:ascii="Times New Roman" w:cs="Times New Roman" w:eastAsia="Times New Roman" w:hAnsi="Times New Roman"/>
          <w:b/>
          <w:bCs/>
          <w:color w:val="1B2A4A"/>
          <w:sz w:val="22"/>
          <w:szCs w:val="22"/>
        </w:rPr>
        <w:t xml:space="preserve">10.6.a Jury Duty: </w:t>
      </w:r>
      <w:r>
        <w:rPr>
          <w:rFonts w:ascii="Times New Roman" w:cs="Times New Roman" w:eastAsia="Times New Roman" w:hAnsi="Times New Roman"/>
          <w:color w:val="000000"/>
          <w:sz w:val="22"/>
          <w:szCs w:val="22"/>
        </w:rPr>
        <w:t xml:space="preserve">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line="280" w:lineRule="auto"/>
        <w:jc w:val="both"/>
      </w:pPr>
      <w:r>
        <w:rPr>
          <w:rFonts w:ascii="Times New Roman" w:cs="Times New Roman" w:eastAsia="Times New Roman" w:hAnsi="Times New Roman"/>
          <w:b/>
          <w:bCs/>
          <w:color w:val="1B2A4A"/>
          <w:sz w:val="22"/>
          <w:szCs w:val="22"/>
        </w:rPr>
        <w:t xml:space="preserve">10.6.b Defense Readiness and Veterans Obligations: </w:t>
      </w:r>
      <w:r>
        <w:rPr>
          <w:rFonts w:ascii="Times New Roman" w:cs="Times New Roman" w:eastAsia="Times New Roman" w:hAnsi="Times New Roman"/>
          <w:color w:val="000000"/>
          <w:sz w:val="22"/>
          <w:szCs w:val="22"/>
        </w:rPr>
        <w:t xml:space="preserve">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§19.6.d.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10.7 — Compensation of Public Officials</w:t>
      </w:r>
    </w:p>
    <w:p>
      <w:pPr>
        <w:spacing w:after="60" w:before="60" w:line="280" w:lineRule="auto"/>
        <w:jc w:val="both"/>
      </w:pPr>
      <w:r>
        <w:rPr>
          <w:rFonts w:ascii="Times New Roman" w:cs="Times New Roman" w:eastAsia="Times New Roman" w:hAnsi="Times New Roman"/>
          <w:color w:val="000000"/>
          <w:sz w:val="22"/>
          <w:szCs w:val="22"/>
        </w:rPr>
        <w:t xml:space="preserve">No government official may set their own compensation or the compensation of their direct supervisors. All official compensation is set by House statute and is public record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 — DIRECT DEMOCRACY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The Optional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11.1.a Citizen Petition Right: </w:t>
      </w:r>
      <w:r>
        <w:rPr>
          <w:rFonts w:ascii="Times New Roman" w:cs="Times New Roman" w:eastAsia="Times New Roman" w:hAnsi="Times New Roman"/>
          <w:color w:val="000000"/>
          <w:sz w:val="22"/>
          <w:szCs w:val="22"/>
        </w:rPr>
        <w:t xml:space="preserve">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11.1.b Eligibility Screen: </w:t>
      </w:r>
      <w:r>
        <w:rPr>
          <w:rFonts w:ascii="Times New Roman" w:cs="Times New Roman" w:eastAsia="Times New Roman" w:hAnsi="Times New Roman"/>
          <w:color w:val="000000"/>
          <w:sz w:val="22"/>
          <w:szCs w:val="22"/>
        </w:rPr>
        <w:t xml:space="preserve">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11.1.c Referendum Thresholds and Finality: </w:t>
      </w:r>
      <w:r>
        <w:rPr>
          <w:rFonts w:ascii="Times New Roman" w:cs="Times New Roman" w:eastAsia="Times New Roman" w:hAnsi="Times New Roman"/>
          <w:color w:val="000000"/>
          <w:sz w:val="22"/>
          <w:szCs w:val="22"/>
        </w:rPr>
        <w:t xml:space="preserve">A referendum requires 50% participation to be valid. A simple majority affirmative vote overturns the law. A referendum result is final — the Legislature may not overturn it. The same law may not face a referendum within two years of a previous result on that law.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Subsidiarity and Local Government</w:t>
      </w:r>
    </w:p>
    <w:p>
      <w:pPr>
        <w:spacing w:after="60" w:before="60" w:line="280" w:lineRule="auto"/>
        <w:jc w:val="both"/>
      </w:pPr>
      <w:r>
        <w:rPr>
          <w:rFonts w:ascii="Times New Roman" w:cs="Times New Roman" w:eastAsia="Times New Roman" w:hAnsi="Times New Roman"/>
          <w:b/>
          <w:bCs/>
          <w:color w:val="1B2A4A"/>
          <w:sz w:val="22"/>
          <w:szCs w:val="22"/>
        </w:rPr>
        <w:t xml:space="preserve">11.2.a Subsidiarity Principle: </w:t>
      </w:r>
      <w:r>
        <w:rPr>
          <w:rFonts w:ascii="Times New Roman" w:cs="Times New Roman" w:eastAsia="Times New Roman" w:hAnsi="Times New Roman"/>
          <w:color w:val="000000"/>
          <w:sz w:val="22"/>
          <w:szCs w:val="22"/>
        </w:rPr>
        <w:t xml:space="preserve">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line="280" w:lineRule="auto"/>
        <w:jc w:val="both"/>
      </w:pPr>
      <w:r>
        <w:rPr>
          <w:rFonts w:ascii="Times New Roman" w:cs="Times New Roman" w:eastAsia="Times New Roman" w:hAnsi="Times New Roman"/>
          <w:b/>
          <w:bCs/>
          <w:color w:val="1B2A4A"/>
          <w:sz w:val="22"/>
          <w:szCs w:val="22"/>
        </w:rPr>
        <w:t xml:space="preserve">11.2.b Local Government: </w:t>
      </w:r>
      <w:r>
        <w:rPr>
          <w:rFonts w:ascii="Times New Roman" w:cs="Times New Roman" w:eastAsia="Times New Roman" w:hAnsi="Times New Roman"/>
          <w:color w:val="000000"/>
          <w:sz w:val="22"/>
          <w:szCs w:val="22"/>
        </w:rPr>
        <w:t xml:space="preserve">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 — NATIONAL DEFENSE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Authorized Purposes for Military Force</w:t>
      </w:r>
    </w:p>
    <w:p>
      <w:pPr>
        <w:spacing w:after="60" w:before="60" w:line="280" w:lineRule="auto"/>
        <w:jc w:val="both"/>
      </w:pPr>
      <w:r>
        <w:rPr>
          <w:rFonts w:ascii="Times New Roman" w:cs="Times New Roman" w:eastAsia="Times New Roman" w:hAnsi="Times New Roman"/>
          <w:color w:val="000000"/>
          <w:sz w:val="22"/>
          <w:szCs w:val="22"/>
        </w:rPr>
        <w:t xml:space="preserve">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line="280" w:lineRule="auto"/>
        <w:jc w:val="both"/>
      </w:pPr>
      <w:r>
        <w:rPr>
          <w:rFonts w:ascii="Times New Roman" w:cs="Times New Roman" w:eastAsia="Times New Roman" w:hAnsi="Times New Roman"/>
          <w:color w:val="000000"/>
          <w:sz w:val="22"/>
          <w:szCs w:val="22"/>
        </w:rPr>
        <w:t xml:space="preserve">The three authorized purposes describe the scope of what the Legislature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Legislative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Military Operations Framework</w:t>
      </w:r>
    </w:p>
    <w:p>
      <w:pPr>
        <w:spacing w:after="60" w:before="60" w:line="280" w:lineRule="auto"/>
        <w:jc w:val="both"/>
      </w:pPr>
      <w:r>
        <w:rPr>
          <w:rFonts w:ascii="Times New Roman" w:cs="Times New Roman" w:eastAsia="Times New Roman" w:hAnsi="Times New Roman"/>
          <w:b/>
          <w:bCs/>
          <w:color w:val="1B2A4A"/>
          <w:sz w:val="22"/>
          <w:szCs w:val="22"/>
        </w:rPr>
        <w:t xml:space="preserve">12.2.a Legislative Declaration of Defense: </w:t>
      </w:r>
      <w:r>
        <w:rPr>
          <w:rFonts w:ascii="Times New Roman" w:cs="Times New Roman" w:eastAsia="Times New Roman" w:hAnsi="Times New Roman"/>
          <w:color w:val="000000"/>
          <w:sz w:val="22"/>
          <w:szCs w:val="22"/>
        </w:rPr>
        <w:t xml:space="preserve">Military operations authorized under Tier 3 (§2.1.c) require a Legislative Declaration of Defense passed by a 2/3 concurrent majority of both chambers. The Declaration must state the §12.1 purpose being served — purposes not enumerated in §12.1 do not qualify under any tier of authorization. The Declaration must be renewed by a 2/3 majority of both chambers every 180 days; failure to renew automatically terminates the authorization and all associated expenditure. A Declaration may be renewed for a maximum of ten consecutive 180-day periods — five years total — before a mandatory 90-day full cessation. After the cessation period, a new Declaration may be issued if the §12.1 grounds continue to apply. The Declaration may not be used to authorize domestic emergency powers not directly connected to the external military operation it covers.</w:t>
      </w:r>
    </w:p>
    <w:p>
      <w:pPr>
        <w:spacing w:after="60" w:before="60" w:line="280" w:lineRule="auto"/>
        <w:jc w:val="both"/>
      </w:pPr>
      <w:r>
        <w:rPr>
          <w:rFonts w:ascii="Times New Roman" w:cs="Times New Roman" w:eastAsia="Times New Roman" w:hAnsi="Times New Roman"/>
          <w:b/>
          <w:bCs/>
          <w:color w:val="1B2A4A"/>
          <w:sz w:val="22"/>
          <w:szCs w:val="22"/>
        </w:rPr>
        <w:t xml:space="preserve">12.2.b Prohibition on Wars of Aggression: </w:t>
      </w:r>
      <w:r>
        <w:rPr>
          <w:rFonts w:ascii="Times New Roman" w:cs="Times New Roman" w:eastAsia="Times New Roman" w:hAnsi="Times New Roman"/>
          <w:color w:val="000000"/>
          <w:sz w:val="22"/>
          <w:szCs w:val="22"/>
        </w:rPr>
        <w:t xml:space="preserve">The Republic may not initiate or sustain military operations for the purpose of territorial acquisition, resource extraction, political control over a foreign population, or ideological imposition. Any Legislative Declaration or executive order purporting to authorize operations for a prohibited purpose is void. The three authorized purposes of §12.1 are exhaustive — purposes not enumerated there do not qualify under any tier of authorization.</w:t>
      </w:r>
    </w:p>
    <w:p>
      <w:pPr>
        <w:spacing w:after="60" w:before="60" w:line="280" w:lineRule="auto"/>
        <w:jc w:val="both"/>
      </w:pPr>
      <w:r>
        <w:rPr>
          <w:rFonts w:ascii="Times New Roman" w:cs="Times New Roman" w:eastAsia="Times New Roman" w:hAnsi="Times New Roman"/>
          <w:b/>
          <w:bCs/>
          <w:color w:val="1B2A4A"/>
          <w:sz w:val="22"/>
          <w:szCs w:val="22"/>
        </w:rPr>
        <w:t xml:space="preserve">12.2.c Offensive Operations: </w:t>
      </w:r>
      <w:r>
        <w:rPr>
          <w:rFonts w:ascii="Times New Roman" w:cs="Times New Roman" w:eastAsia="Times New Roman" w:hAnsi="Times New Roman"/>
          <w:color w:val="000000"/>
          <w:sz w:val="22"/>
          <w:szCs w:val="22"/>
        </w:rPr>
        <w:t xml:space="preserve">An offensive military operation is any sustained operation in which Republic armed forces cross into foreign sovereign territory beyond the immediate repulsion of an active attack on Republic territory, Republic forces, or the territory of a treaty ally. Hot-pursuit operations lasting less than 72 hours in response to an attack originating from foreign territory are not offensive operations for purposes of this provision. Offensive operations require Tier 2 or Tier 3 authorization and must identify the §12.1 purpose being served. The President may not initiate offensive operations under Tier 1 authority alone.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Intelligence Firewall</w:t>
      </w:r>
    </w:p>
    <w:p>
      <w:pPr>
        <w:spacing w:after="60" w:before="60" w:line="280" w:lineRule="auto"/>
        <w:jc w:val="both"/>
      </w:pPr>
      <w:r>
        <w:rPr>
          <w:rFonts w:ascii="Times New Roman" w:cs="Times New Roman" w:eastAsia="Times New Roman" w:hAnsi="Times New Roman"/>
          <w:b/>
          <w:bCs/>
          <w:color w:val="1B2A4A"/>
          <w:sz w:val="22"/>
          <w:szCs w:val="22"/>
        </w:rPr>
        <w:t xml:space="preserve">12.3 Intelligence Firewall: </w:t>
      </w:r>
      <w:r>
        <w:rPr>
          <w:rFonts w:ascii="Times New Roman" w:cs="Times New Roman" w:eastAsia="Times New Roman" w:hAnsi="Times New Roman"/>
          <w:color w:val="000000"/>
          <w:sz w:val="22"/>
          <w:szCs w:val="22"/>
        </w:rPr>
        <w:t xml:space="preserve">All domestic intelligence operations against Republic citizens are permanently prohibited and constitutionally void. Any such order is reported to the National Record System by the Executive Inspectorate. This prohibition is non-derogable — it may not be suspended under any emergency declaration, treaty obligation, or legislative authorization.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Post-Conflict Obligations</w:t>
      </w:r>
    </w:p>
    <w:p>
      <w:pPr>
        <w:spacing w:after="60" w:before="60" w:line="280" w:lineRule="auto"/>
        <w:jc w:val="both"/>
      </w:pPr>
      <w:r>
        <w:rPr>
          <w:rFonts w:ascii="Times New Roman" w:cs="Times New Roman" w:eastAsia="Times New Roman" w:hAnsi="Times New Roman"/>
          <w:b/>
          <w:bCs/>
          <w:color w:val="1B2A4A"/>
          <w:sz w:val="22"/>
          <w:szCs w:val="22"/>
        </w:rPr>
        <w:t xml:space="preserve">12.4 Post-Conflict Obligations: </w:t>
      </w:r>
      <w:r>
        <w:rPr>
          <w:rFonts w:ascii="Times New Roman" w:cs="Times New Roman" w:eastAsia="Times New Roman" w:hAnsi="Times New Roman"/>
          <w:color w:val="000000"/>
          <w:sz w:val="22"/>
          <w:szCs w:val="22"/>
        </w:rPr>
        <w:t xml:space="preserve">Before any extended military engagement concludes, the Senate must approve a Transition Plan outlining the path to disengagement, including a sunset clause. Extended occupations — deployments lasting more than 10 years without a Senate-approved renewal — are unconstitutional and must be terminated within 90 days of that threshold. Inhabitants of any territory under Republic military occupation for more than one year may petition to join the Republic through the voluntary incorporation process of §13.6. The Republic may not use the prospect of Territory status as an inducement to consent to or extend a military occupation.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Treaty-Triggered Military Obligations</w:t>
      </w:r>
    </w:p>
    <w:p>
      <w:pPr>
        <w:spacing w:after="60" w:before="60" w:line="280" w:lineRule="auto"/>
        <w:jc w:val="both"/>
      </w:pPr>
      <w:r>
        <w:rPr>
          <w:rFonts w:ascii="Times New Roman" w:cs="Times New Roman" w:eastAsia="Times New Roman" w:hAnsi="Times New Roman"/>
          <w:b/>
          <w:bCs/>
          <w:color w:val="1B2A4A"/>
          <w:sz w:val="22"/>
          <w:szCs w:val="22"/>
        </w:rPr>
        <w:t xml:space="preserve">12.5 Treaty Obligations: </w:t>
      </w:r>
      <w:r>
        <w:rPr>
          <w:rFonts w:ascii="Times New Roman" w:cs="Times New Roman" w:eastAsia="Times New Roman" w:hAnsi="Times New Roman"/>
          <w:color w:val="000000"/>
          <w:sz w:val="22"/>
          <w:szCs w:val="22"/>
        </w:rPr>
        <w:t xml:space="preserve">When a ratified mutual defense treaty obligation is triggered by an attack on a treaty ally, the Republic's military response follows the Tier 1 through Tier 3 framework of §2.1. Treaty ratification does not bypass the authorization framework — it creates an obligation to respond through constitutional means. Where the Legislature cannot convene in time to authorize a treaty-obligated response, the Prime Minister may issue a Treaty Emergency Certification authorizing emergency defense expenditure for up to 30 days, with written notification to both chambers within 12 hours of issuance. The Legislature must convene within 14 days to authorize or terminate the operation; failure to vote within 14 days is deemed termination of the certification and the associated expenditure authority.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XIII — NATIONAL EXPANSION AND STATE DEVOLUTION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13.1 — Territorial Compact</w:t>
      </w:r>
    </w:p>
    <w:p>
      <w:pPr>
        <w:spacing w:after="60" w:before="60" w:line="280" w:lineRule="auto"/>
        <w:jc w:val="both"/>
      </w:pPr>
      <w:r>
        <w:rPr>
          <w:rFonts w:ascii="Times New Roman" w:cs="Times New Roman" w:eastAsia="Times New Roman" w:hAnsi="Times New Roman"/>
          <w:color w:val="000000"/>
          <w:sz w:val="22"/>
          <w:szCs w:val="22"/>
        </w:rPr>
        <w:t xml:space="preserve">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§13.3.d and §13.4.d respectively.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13.2 — Requirements for Statehood</w:t>
      </w:r>
    </w:p>
    <w:p>
      <w:pPr>
        <w:spacing w:after="60" w:before="60" w:line="280" w:lineRule="auto"/>
        <w:jc w:val="both"/>
      </w:pPr>
      <w:r>
        <w:rPr>
          <w:rFonts w:ascii="Times New Roman" w:cs="Times New Roman" w:eastAsia="Times New Roman" w:hAnsi="Times New Roman"/>
          <w:color w:val="000000"/>
          <w:sz w:val="22"/>
          <w:szCs w:val="22"/>
        </w:rPr>
        <w:t xml:space="preserve">A territory seeking Statehood must pass a comprehensive Statehood Audit conducted by the Inspectorates, verifying the following criteria:</w:t>
      </w:r>
    </w:p>
    <w:p>
      <w:pPr>
        <w:spacing w:after="60" w:before="60" w:line="280" w:lineRule="auto"/>
        <w:jc w:val="both"/>
      </w:pPr>
      <w:r>
        <w:rPr>
          <w:rFonts w:ascii="Times New Roman" w:cs="Times New Roman" w:eastAsia="Times New Roman" w:hAnsi="Times New Roman"/>
          <w:b/>
          <w:bCs/>
          <w:color w:val="1B2A4A"/>
          <w:sz w:val="22"/>
          <w:szCs w:val="22"/>
        </w:rPr>
        <w:t xml:space="preserve">13.2.a Fiscal Integrity: </w:t>
      </w:r>
      <w:r>
        <w:rPr>
          <w:rFonts w:ascii="Times New Roman" w:cs="Times New Roman" w:eastAsia="Times New Roman" w:hAnsi="Times New Roman"/>
          <w:color w:val="000000"/>
          <w:sz w:val="22"/>
          <w:szCs w:val="22"/>
        </w:rPr>
        <w:t xml:space="preserve">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line="280" w:lineRule="auto"/>
        <w:jc w:val="both"/>
      </w:pPr>
      <w:r>
        <w:rPr>
          <w:rFonts w:ascii="Times New Roman" w:cs="Times New Roman" w:eastAsia="Times New Roman" w:hAnsi="Times New Roman"/>
          <w:b/>
          <w:bCs/>
          <w:color w:val="1B2A4A"/>
          <w:sz w:val="22"/>
          <w:szCs w:val="22"/>
        </w:rPr>
        <w:t xml:space="preserve">13.2.b Legal Sync: </w:t>
      </w:r>
      <w:r>
        <w:rPr>
          <w:rFonts w:ascii="Times New Roman" w:cs="Times New Roman" w:eastAsia="Times New Roman" w:hAnsi="Times New Roman"/>
          <w:color w:val="000000"/>
          <w:sz w:val="22"/>
          <w:szCs w:val="22"/>
        </w:rPr>
        <w:t xml:space="preserve">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line="280" w:lineRule="auto"/>
        <w:jc w:val="both"/>
      </w:pPr>
      <w:r>
        <w:rPr>
          <w:rFonts w:ascii="Times New Roman" w:cs="Times New Roman" w:eastAsia="Times New Roman" w:hAnsi="Times New Roman"/>
          <w:b/>
          <w:bCs/>
          <w:color w:val="1B2A4A"/>
          <w:sz w:val="22"/>
          <w:szCs w:val="22"/>
        </w:rPr>
        <w:t xml:space="preserve">13.2.c The Provisional Membership Period: </w:t>
      </w:r>
      <w:r>
        <w:rPr>
          <w:rFonts w:ascii="Times New Roman" w:cs="Times New Roman" w:eastAsia="Times New Roman" w:hAnsi="Times New Roman"/>
          <w:color w:val="000000"/>
          <w:sz w:val="22"/>
          <w:szCs w:val="22"/>
        </w:rPr>
        <w:t xml:space="preserve">Upon passing the Statehood Audit, the territory enters a Provisional Membership Period — the duration set by the Legislature by statute, not to exceed 900 days — 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 demonstrating that both criteria of §13.2.a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line="280" w:lineRule="auto"/>
        <w:jc w:val="both"/>
      </w:pPr>
      <w:r>
        <w:rPr>
          <w:rFonts w:ascii="Times New Roman" w:cs="Times New Roman" w:eastAsia="Times New Roman" w:hAnsi="Times New Roman"/>
          <w:b/>
          <w:bCs/>
          <w:color w:val="1B2A4A"/>
          <w:sz w:val="22"/>
          <w:szCs w:val="22"/>
        </w:rPr>
        <w:t xml:space="preserve">13.2.d Partial Territory Statehood: </w:t>
      </w:r>
      <w:r>
        <w:rPr>
          <w:rFonts w:ascii="Times New Roman" w:cs="Times New Roman" w:eastAsia="Times New Roman" w:hAnsi="Times New Roman"/>
          <w:color w:val="000000"/>
          <w:sz w:val="22"/>
          <w:szCs w:val="22"/>
        </w:rPr>
        <w:t xml:space="preserve">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spacing w:after="60" w:before="60" w:line="280" w:lineRule="auto"/>
        <w:jc w:val="both"/>
      </w:pPr>
      <w:r>
        <w:rPr>
          <w:rFonts w:ascii="Times New Roman" w:cs="Times New Roman" w:eastAsia="Times New Roman" w:hAnsi="Times New Roman"/>
          <w:b/>
          <w:bCs/>
          <w:color w:val="1B2A4A"/>
          <w:sz w:val="22"/>
          <w:szCs w:val="22"/>
        </w:rPr>
        <w:t xml:space="preserve">13.2.e Minimum Democratic Legitimacy: </w:t>
      </w:r>
      <w:r>
        <w:rPr>
          <w:rFonts w:ascii="Times New Roman" w:cs="Times New Roman" w:eastAsia="Times New Roman" w:hAnsi="Times New Roman"/>
          <w:color w:val="000000"/>
          <w:sz w:val="22"/>
          <w:szCs w:val="22"/>
        </w:rPr>
        <w:t xml:space="preserve">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line="280" w:lineRule="auto"/>
        <w:jc w:val="both"/>
      </w:pPr>
      <w:r>
        <w:rPr>
          <w:rFonts w:ascii="Times New Roman" w:cs="Times New Roman" w:eastAsia="Times New Roman" w:hAnsi="Times New Roman"/>
          <w:b/>
          <w:bCs/>
          <w:color w:val="1B2A4A"/>
          <w:sz w:val="22"/>
          <w:szCs w:val="22"/>
        </w:rPr>
        <w:t xml:space="preserve">13.2.f Territorial Minimum Institutional Floor: </w:t>
      </w:r>
      <w:r>
        <w:rPr>
          <w:rFonts w:ascii="Times New Roman" w:cs="Times New Roman" w:eastAsia="Times New Roman" w:hAnsi="Times New Roman"/>
          <w:color w:val="000000"/>
          <w:sz w:val="22"/>
          <w:szCs w:val="22"/>
        </w:rPr>
        <w:t xml:space="preserve">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line="280" w:lineRule="auto"/>
        <w:jc w:val="both"/>
      </w:pPr>
      <w:r>
        <w:rPr>
          <w:rFonts w:ascii="Times New Roman" w:cs="Times New Roman" w:eastAsia="Times New Roman" w:hAnsi="Times New Roman"/>
          <w:b/>
          <w:bCs/>
          <w:color w:val="1B2A4A"/>
          <w:sz w:val="22"/>
          <w:szCs w:val="22"/>
        </w:rPr>
        <w:t xml:space="preserve">13.2.g Conflict-Affected State Provisional Status: </w:t>
      </w:r>
      <w:r>
        <w:rPr>
          <w:rFonts w:ascii="Times New Roman" w:cs="Times New Roman" w:eastAsia="Times New Roman" w:hAnsi="Times New Roman"/>
          <w:color w:val="000000"/>
          <w:sz w:val="22"/>
          <w:szCs w:val="22"/>
        </w:rPr>
        <w:t xml:space="preserve">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w:t>
      </w:r>
    </w:p>
    <w:p>
      <w:pPr>
        <w:spacing w:after="60" w:before="60" w:line="280" w:lineRule="auto"/>
        <w:jc w:val="both"/>
      </w:pPr>
      <w:r>
        <w:rPr>
          <w:rFonts w:ascii="Times New Roman" w:cs="Times New Roman" w:eastAsia="Times New Roman" w:hAnsi="Times New Roman"/>
          <w:color w:val="000000"/>
          <w:sz w:val="22"/>
          <w:szCs w:val="22"/>
        </w:rPr>
        <w:t xml:space="preserve">Definition — 'Significant Portion':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w:t>
      </w:r>
    </w:p>
    <w:p>
      <w:pPr>
        <w:spacing w:after="60" w:before="60" w:line="280" w:lineRule="auto"/>
        <w:jc w:val="both"/>
      </w:pPr>
      <w:r>
        <w:rPr>
          <w:rFonts w:ascii="Times New Roman" w:cs="Times New Roman" w:eastAsia="Times New Roman" w:hAnsi="Times New Roman"/>
          <w:b/>
          <w:bCs/>
          <w:color w:val="1B2A4A"/>
          <w:sz w:val="22"/>
          <w:szCs w:val="22"/>
        </w:rPr>
        <w:t xml:space="preserve">Governance Contribution Standard: </w:t>
      </w:r>
      <w:r>
        <w:rPr>
          <w:rFonts w:ascii="Times New Roman" w:cs="Times New Roman" w:eastAsia="Times New Roman" w:hAnsi="Times New Roman"/>
          <w:color w:val="000000"/>
          <w:sz w:val="22"/>
          <w:szCs w:val="22"/>
        </w:rPr>
        <w:t xml:space="preserve">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w:t>
      </w:r>
    </w:p>
    <w:p>
      <w:pPr>
        <w:spacing w:after="60" w:before="60" w:line="280" w:lineRule="auto"/>
        <w:jc w:val="both"/>
      </w:pPr>
      <w:r>
        <w:rPr>
          <w:rFonts w:ascii="Times New Roman" w:cs="Times New Roman" w:eastAsia="Times New Roman" w:hAnsi="Times New Roman"/>
          <w:b/>
          <w:bCs/>
          <w:color w:val="1B2A4A"/>
          <w:sz w:val="22"/>
          <w:szCs w:val="22"/>
        </w:rPr>
        <w:t xml:space="preserve">Certification Requirements: </w:t>
      </w:r>
      <w:r>
        <w:rPr>
          <w:rFonts w:ascii="Times New Roman" w:cs="Times New Roman" w:eastAsia="Times New Roman" w:hAnsi="Times New Roman"/>
          <w:color w:val="000000"/>
          <w:sz w:val="22"/>
          <w:szCs w:val="22"/>
        </w:rPr>
        <w:t xml:space="preserve">Provisional status certification requires a joint assessment by all three Inspectorates; no single Inspectorate's finding is sufficient to grant or deny provisional status.</w:t>
      </w:r>
    </w:p>
    <w:p>
      <w:pPr>
        <w:spacing w:after="60" w:before="60" w:line="280" w:lineRule="auto"/>
        <w:jc w:val="both"/>
      </w:pPr>
      <w:r>
        <w:rPr>
          <w:rFonts w:ascii="Times New Roman" w:cs="Times New Roman" w:eastAsia="Times New Roman" w:hAnsi="Times New Roman"/>
          <w:b/>
          <w:bCs/>
          <w:color w:val="1B2A4A"/>
          <w:sz w:val="22"/>
          <w:szCs w:val="22"/>
        </w:rPr>
        <w:t xml:space="preserve">Prior Provisional Status — Renewal Conditions: </w:t>
      </w:r>
      <w:r>
        <w:rPr>
          <w:rFonts w:ascii="Times New Roman" w:cs="Times New Roman" w:eastAsia="Times New Roman" w:hAnsi="Times New Roman"/>
          <w:color w:val="000000"/>
          <w:sz w:val="22"/>
          <w:szCs w:val="22"/>
        </w:rPr>
        <w:t xml:space="preserve">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w:t>
      </w:r>
    </w:p>
    <w:p>
      <w:pPr>
        <w:spacing w:after="60" w:before="60" w:line="280" w:lineRule="auto"/>
        <w:jc w:val="both"/>
      </w:pPr>
      <w:r>
        <w:rPr>
          <w:rFonts w:ascii="Times New Roman" w:cs="Times New Roman" w:eastAsia="Times New Roman" w:hAnsi="Times New Roman"/>
          <w:b/>
          <w:bCs/>
          <w:color w:val="1B2A4A"/>
          <w:sz w:val="22"/>
          <w:szCs w:val="22"/>
        </w:rPr>
        <w:t xml:space="preserve">Maximum Provisional Period and Default Mechanism: </w:t>
      </w:r>
      <w:r>
        <w:rPr>
          <w:rFonts w:ascii="Times New Roman" w:cs="Times New Roman" w:eastAsia="Times New Roman" w:hAnsi="Times New Roman"/>
          <w:color w:val="000000"/>
          <w:sz w:val="22"/>
          <w:szCs w:val="22"/>
        </w:rPr>
        <w:t xml:space="preserve">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 it preserves the State's constitutional status while ensuring its functions are performed.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13.3 — Mandatory State Devolution</w:t>
      </w:r>
    </w:p>
    <w:p>
      <w:pPr>
        <w:spacing w:after="60" w:before="60" w:line="280" w:lineRule="auto"/>
        <w:jc w:val="both"/>
      </w:pPr>
      <w:r>
        <w:rPr>
          <w:rFonts w:ascii="Times New Roman" w:cs="Times New Roman" w:eastAsia="Times New Roman" w:hAnsi="Times New Roman"/>
          <w:color w:val="000000"/>
          <w:sz w:val="22"/>
          <w:szCs w:val="22"/>
        </w:rPr>
        <w:t xml:space="preserve">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line="280" w:lineRule="auto"/>
        <w:jc w:val="both"/>
      </w:pPr>
      <w:r>
        <w:rPr>
          <w:rFonts w:ascii="Times New Roman" w:cs="Times New Roman" w:eastAsia="Times New Roman" w:hAnsi="Times New Roman"/>
          <w:b/>
          <w:bCs/>
          <w:color w:val="1B2A4A"/>
          <w:sz w:val="22"/>
          <w:szCs w:val="22"/>
        </w:rPr>
        <w:t xml:space="preserve">13.3.a Devolution Triggers: </w:t>
      </w:r>
      <w:r>
        <w:rPr>
          <w:rFonts w:ascii="Times New Roman" w:cs="Times New Roman" w:eastAsia="Times New Roman" w:hAnsi="Times New Roman"/>
          <w:color w:val="000000"/>
          <w:sz w:val="22"/>
          <w:szCs w:val="22"/>
        </w:rPr>
        <w:t xml:space="preserve">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line="280" w:lineRule="auto"/>
        <w:jc w:val="both"/>
      </w:pPr>
      <w:r>
        <w:rPr>
          <w:rFonts w:ascii="Times New Roman" w:cs="Times New Roman" w:eastAsia="Times New Roman" w:hAnsi="Times New Roman"/>
          <w:b/>
          <w:bCs/>
          <w:color w:val="1B2A4A"/>
          <w:sz w:val="22"/>
          <w:szCs w:val="22"/>
        </w:rPr>
        <w:t xml:space="preserve">13.3.b Early Warning — Years 1 and 2: </w:t>
      </w:r>
      <w:r>
        <w:rPr>
          <w:rFonts w:ascii="Times New Roman" w:cs="Times New Roman" w:eastAsia="Times New Roman" w:hAnsi="Times New Roman"/>
          <w:color w:val="000000"/>
          <w:sz w:val="22"/>
          <w:szCs w:val="22"/>
        </w:rPr>
        <w:t xml:space="preserve">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line="280" w:lineRule="auto"/>
        <w:jc w:val="both"/>
      </w:pPr>
      <w:r>
        <w:rPr>
          <w:rFonts w:ascii="Times New Roman" w:cs="Times New Roman" w:eastAsia="Times New Roman" w:hAnsi="Times New Roman"/>
          <w:b/>
          <w:bCs/>
          <w:color w:val="1B2A4A"/>
          <w:sz w:val="22"/>
          <w:szCs w:val="22"/>
        </w:rPr>
        <w:t xml:space="preserve">13.3.c Devolution Vote — Year 3: </w:t>
      </w:r>
      <w:r>
        <w:rPr>
          <w:rFonts w:ascii="Times New Roman" w:cs="Times New Roman" w:eastAsia="Times New Roman" w:hAnsi="Times New Roman"/>
          <w:color w:val="000000"/>
          <w:sz w:val="22"/>
          <w:szCs w:val="22"/>
        </w:rPr>
        <w:t xml:space="preserve">Upon the third consecutive failure, the Senate votes on a Motion of Devolution requiring a 3/4 supermajority of the full Senate membership — not merely those present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13.3.d Effect of Mandatory Devolution: </w:t>
      </w:r>
      <w:r>
        <w:rPr>
          <w:rFonts w:ascii="Times New Roman" w:cs="Times New Roman" w:eastAsia="Times New Roman" w:hAnsi="Times New Roman"/>
          <w:color w:val="000000"/>
          <w:sz w:val="22"/>
          <w:szCs w:val="22"/>
        </w:rPr>
        <w:t xml:space="preserve">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 the two Senate seats are vacated with no special election; existing House members continue their terms;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Individual Sovereignty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line="280" w:lineRule="auto"/>
        <w:jc w:val="both"/>
      </w:pPr>
      <w:r>
        <w:rPr>
          <w:rFonts w:ascii="Times New Roman" w:cs="Times New Roman" w:eastAsia="Times New Roman" w:hAnsi="Times New Roman"/>
          <w:b/>
          <w:bCs/>
          <w:color w:val="1B2A4A"/>
          <w:sz w:val="22"/>
          <w:szCs w:val="22"/>
        </w:rPr>
        <w:t xml:space="preserve">13.3.e Constitutional Challenge to Devolution: </w:t>
      </w:r>
      <w:r>
        <w:rPr>
          <w:rFonts w:ascii="Times New Roman" w:cs="Times New Roman" w:eastAsia="Times New Roman" w:hAnsi="Times New Roman"/>
          <w:color w:val="000000"/>
          <w:sz w:val="22"/>
          <w:szCs w:val="22"/>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13.4 — Voluntary Devolution</w:t>
      </w:r>
    </w:p>
    <w:p>
      <w:pPr>
        <w:spacing w:after="60" w:before="60" w:line="280" w:lineRule="auto"/>
        <w:jc w:val="both"/>
      </w:pPr>
      <w:r>
        <w:rPr>
          <w:rFonts w:ascii="Times New Roman" w:cs="Times New Roman" w:eastAsia="Times New Roman" w:hAnsi="Times New Roman"/>
          <w:color w:val="000000"/>
          <w:sz w:val="22"/>
          <w:szCs w:val="22"/>
        </w:rPr>
        <w:t xml:space="preserve">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line="280" w:lineRule="auto"/>
        <w:jc w:val="both"/>
      </w:pPr>
      <w:r>
        <w:rPr>
          <w:rFonts w:ascii="Times New Roman" w:cs="Times New Roman" w:eastAsia="Times New Roman" w:hAnsi="Times New Roman"/>
          <w:b/>
          <w:bCs/>
          <w:color w:val="1B2A4A"/>
          <w:sz w:val="22"/>
          <w:szCs w:val="22"/>
        </w:rPr>
        <w:t xml:space="preserve">13.4.a Voluntary Devolution Vote: </w:t>
      </w:r>
      <w:r>
        <w:rPr>
          <w:rFonts w:ascii="Times New Roman" w:cs="Times New Roman" w:eastAsia="Times New Roman" w:hAnsi="Times New Roman"/>
          <w:color w:val="000000"/>
          <w:sz w:val="22"/>
          <w:szCs w:val="22"/>
        </w:rPr>
        <w:t xml:space="preserve">A State may voluntarily return to Territory status by a two-thirds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line="280" w:lineRule="auto"/>
        <w:jc w:val="both"/>
      </w:pPr>
      <w:r>
        <w:rPr>
          <w:rFonts w:ascii="Times New Roman" w:cs="Times New Roman" w:eastAsia="Times New Roman" w:hAnsi="Times New Roman"/>
          <w:b/>
          <w:bCs/>
          <w:color w:val="1B2A4A"/>
          <w:sz w:val="22"/>
          <w:szCs w:val="22"/>
        </w:rPr>
        <w:t xml:space="preserve">13.4.b Fiscal Transparency Requirement: </w:t>
      </w:r>
      <w:r>
        <w:rPr>
          <w:rFonts w:ascii="Times New Roman" w:cs="Times New Roman" w:eastAsia="Times New Roman" w:hAnsi="Times New Roman"/>
          <w:color w:val="000000"/>
          <w:sz w:val="22"/>
          <w:szCs w:val="22"/>
        </w:rPr>
        <w:t xml:space="preserve">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line="280" w:lineRule="auto"/>
        <w:jc w:val="both"/>
      </w:pPr>
      <w:r>
        <w:rPr>
          <w:rFonts w:ascii="Times New Roman" w:cs="Times New Roman" w:eastAsia="Times New Roman" w:hAnsi="Times New Roman"/>
          <w:b/>
          <w:bCs/>
          <w:color w:val="1B2A4A"/>
          <w:sz w:val="22"/>
          <w:szCs w:val="22"/>
        </w:rPr>
        <w:t xml:space="preserve">13.4.c Net-Contributor Transparency: </w:t>
      </w:r>
      <w:r>
        <w:rPr>
          <w:rFonts w:ascii="Times New Roman" w:cs="Times New Roman" w:eastAsia="Times New Roman" w:hAnsi="Times New Roman"/>
          <w:color w:val="000000"/>
          <w:sz w:val="22"/>
          <w:szCs w:val="22"/>
        </w:rPr>
        <w:t xml:space="preserve">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line="280" w:lineRule="auto"/>
        <w:jc w:val="both"/>
      </w:pPr>
      <w:r>
        <w:rPr>
          <w:rFonts w:ascii="Times New Roman" w:cs="Times New Roman" w:eastAsia="Times New Roman" w:hAnsi="Times New Roman"/>
          <w:b/>
          <w:bCs/>
          <w:color w:val="1B2A4A"/>
          <w:sz w:val="22"/>
          <w:szCs w:val="22"/>
        </w:rPr>
        <w:t xml:space="preserve">13.4.d Effect of Voluntary Devolution: </w:t>
      </w:r>
      <w:r>
        <w:rPr>
          <w:rFonts w:ascii="Times New Roman" w:cs="Times New Roman" w:eastAsia="Times New Roman" w:hAnsi="Times New Roman"/>
          <w:color w:val="000000"/>
          <w:sz w:val="22"/>
          <w:szCs w:val="22"/>
        </w:rPr>
        <w:t xml:space="preserve">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 the Legislature may not set it at or above the standard rate — 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§13.2 Provisional Membership Period.</w:t>
      </w:r>
    </w:p>
    <w:p>
      <w:pPr>
        <w:spacing w:after="60" w:before="60" w:line="280" w:lineRule="auto"/>
        <w:jc w:val="both"/>
      </w:pPr>
      <w:r>
        <w:rPr>
          <w:rFonts w:ascii="Times New Roman" w:cs="Times New Roman" w:eastAsia="Times New Roman" w:hAnsi="Times New Roman"/>
          <w:b/>
          <w:bCs/>
          <w:color w:val="1B2A4A"/>
          <w:sz w:val="22"/>
          <w:szCs w:val="22"/>
        </w:rPr>
        <w:t xml:space="preserve">13.4.e Negotiated Devolution Pathway: </w:t>
      </w:r>
      <w:r>
        <w:rPr>
          <w:rFonts w:ascii="Times New Roman" w:cs="Times New Roman" w:eastAsia="Times New Roman" w:hAnsi="Times New Roman"/>
          <w:color w:val="000000"/>
          <w:sz w:val="22"/>
          <w:szCs w:val="22"/>
        </w:rPr>
        <w:t xml:space="preserve">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13.6 — Voluntary Incorporation</w:t>
      </w:r>
    </w:p>
    <w:p>
      <w:pPr>
        <w:spacing w:after="60" w:before="60" w:line="280" w:lineRule="auto"/>
        <w:jc w:val="both"/>
      </w:pPr>
      <w:r>
        <w:rPr>
          <w:rFonts w:ascii="Times New Roman" w:cs="Times New Roman" w:eastAsia="Times New Roman" w:hAnsi="Times New Roman"/>
          <w:b/>
          <w:bCs/>
          <w:color w:val="1B2A4A"/>
          <w:sz w:val="22"/>
          <w:szCs w:val="22"/>
        </w:rPr>
        <w:t xml:space="preserve">13.6 Voluntary Incorporation: </w:t>
      </w:r>
      <w:r>
        <w:rPr>
          <w:rFonts w:ascii="Times New Roman" w:cs="Times New Roman" w:eastAsia="Times New Roman" w:hAnsi="Times New Roman"/>
          <w:color w:val="000000"/>
          <w:sz w:val="22"/>
          <w:szCs w:val="22"/>
        </w:rPr>
        <w:t xml:space="preserve">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 An indigenous nation recognized under Article XIV that wishes to pursue territorial incorporation must first make a status election through §14.6 before this section applies; the sovereign entity requirement of this section is satisfied by that prior election and the nation proceeds through the §14.5.d Associated Community pathway before applying here.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XIV — THE INDIGENOUS NATION COMPACT</w:t>
      </w:r>
    </w:p>
    <w:p>
      <w:pPr>
        <w:spacing w:after="60" w:before="60" w:line="280" w:lineRule="auto"/>
        <w:jc w:val="both"/>
      </w:pPr>
      <w:r>
        <w:rPr>
          <w:rFonts w:ascii="Times New Roman" w:cs="Times New Roman" w:eastAsia="Times New Roman" w:hAnsi="Times New Roman"/>
          <w:color w:val="000000"/>
          <w:sz w:val="22"/>
          <w:szCs w:val="22"/>
        </w:rPr>
        <w:t xml:space="preserve">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14.1 — Acknowledgment of Prior Sovereignty</w:t>
      </w:r>
    </w:p>
    <w:p>
      <w:pPr>
        <w:spacing w:after="60" w:before="60" w:line="280" w:lineRule="auto"/>
        <w:jc w:val="both"/>
      </w:pPr>
      <w:r>
        <w:rPr>
          <w:rFonts w:ascii="Times New Roman" w:cs="Times New Roman" w:eastAsia="Times New Roman" w:hAnsi="Times New Roman"/>
          <w:color w:val="000000"/>
          <w:sz w:val="22"/>
          <w:szCs w:val="22"/>
        </w:rPr>
        <w:t xml:space="preserve">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14.2 — Treaty Supremacy and Continuity</w:t>
      </w:r>
    </w:p>
    <w:p>
      <w:pPr>
        <w:spacing w:after="60" w:before="60" w:line="280" w:lineRule="auto"/>
        <w:jc w:val="both"/>
      </w:pPr>
      <w:r>
        <w:rPr>
          <w:rFonts w:ascii="Times New Roman" w:cs="Times New Roman" w:eastAsia="Times New Roman" w:hAnsi="Times New Roman"/>
          <w:color w:val="000000"/>
          <w:sz w:val="22"/>
          <w:szCs w:val="22"/>
        </w:rPr>
        <w:t xml:space="preserve">All treaties entered into by governments that previously exercised sovereign authority over the Republic's territory — including all predecessor states regardless of how many governments preceded the Republic's formation —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 Timeline for Sovereignty Determinations: The Judicial Inspectorate must publish a §14.1 prior sovereignty determination within 90 days of receiving a formal petition from an indigenous nation, a State government, or a federal body requesting such determination. A single 90-day extension is permitted where the JI certifies additional review is required; the extension certification must be published to the National Record System before the initial 90-day period expires. Any constitutional proceeding formally stayed pending a §14.1 determination is suspended for the duration of the determination process and any certified extension.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14.3 — Government-to-Government Relationship</w:t>
      </w:r>
    </w:p>
    <w:p>
      <w:pPr>
        <w:spacing w:after="60" w:before="60" w:line="280" w:lineRule="auto"/>
        <w:jc w:val="both"/>
      </w:pPr>
      <w:r>
        <w:rPr>
          <w:rFonts w:ascii="Times New Roman" w:cs="Times New Roman" w:eastAsia="Times New Roman" w:hAnsi="Times New Roman"/>
          <w:color w:val="000000"/>
          <w:sz w:val="22"/>
          <w:szCs w:val="22"/>
        </w:rPr>
        <w:t xml:space="preserve">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line="280" w:lineRule="auto"/>
        <w:jc w:val="both"/>
      </w:pPr>
      <w:r>
        <w:rPr>
          <w:rFonts w:ascii="Times New Roman" w:cs="Times New Roman" w:eastAsia="Times New Roman" w:hAnsi="Times New Roman"/>
          <w:b/>
          <w:bCs/>
          <w:color w:val="1B2A4A"/>
          <w:sz w:val="22"/>
          <w:szCs w:val="22"/>
        </w:rPr>
        <w:t xml:space="preserve">14.3.a Free, Prior, and Informed Consent: </w:t>
      </w:r>
      <w:r>
        <w:rPr>
          <w:rFonts w:ascii="Times New Roman" w:cs="Times New Roman" w:eastAsia="Times New Roman" w:hAnsi="Times New Roman"/>
          <w:color w:val="000000"/>
          <w:sz w:val="22"/>
          <w:szCs w:val="22"/>
        </w:rPr>
        <w:t xml:space="preserve">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line="280" w:lineRule="auto"/>
        <w:jc w:val="both"/>
      </w:pPr>
      <w:r>
        <w:rPr>
          <w:rFonts w:ascii="Times New Roman" w:cs="Times New Roman" w:eastAsia="Times New Roman" w:hAnsi="Times New Roman"/>
          <w:b/>
          <w:bCs/>
          <w:color w:val="1B2A4A"/>
          <w:sz w:val="22"/>
          <w:szCs w:val="22"/>
        </w:rPr>
        <w:t xml:space="preserve">14.3.b Unamendable Rights Override: </w:t>
      </w:r>
      <w:r>
        <w:rPr>
          <w:rFonts w:ascii="Times New Roman" w:cs="Times New Roman" w:eastAsia="Times New Roman" w:hAnsi="Times New Roman"/>
          <w:color w:val="000000"/>
          <w:sz w:val="22"/>
          <w:szCs w:val="22"/>
        </w:rPr>
        <w:t xml:space="preserve">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line="280" w:lineRule="auto"/>
        <w:jc w:val="both"/>
      </w:pPr>
      <w:r>
        <w:rPr>
          <w:rFonts w:ascii="Times New Roman" w:cs="Times New Roman" w:eastAsia="Times New Roman" w:hAnsi="Times New Roman"/>
          <w:b/>
          <w:bCs/>
          <w:color w:val="1B2A4A"/>
          <w:sz w:val="22"/>
          <w:szCs w:val="22"/>
        </w:rPr>
        <w:t xml:space="preserve">14.3.c Emergency Rights Writ and Conflict Resolution Protocol: </w:t>
      </w:r>
      <w:r>
        <w:rPr>
          <w:rFonts w:ascii="Times New Roman" w:cs="Times New Roman" w:eastAsia="Times New Roman" w:hAnsi="Times New Roman"/>
          <w:color w:val="000000"/>
          <w:sz w:val="22"/>
          <w:szCs w:val="22"/>
        </w:rPr>
        <w:t xml:space="preserve">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60" w:before="60" w:line="280" w:lineRule="auto"/>
        <w:jc w:val="both"/>
      </w:pPr>
      <w:r>
        <w:rPr>
          <w:rFonts w:ascii="Times New Roman" w:cs="Times New Roman" w:eastAsia="Times New Roman" w:hAnsi="Times New Roman"/>
          <w:b/>
          <w:bCs/>
          <w:color w:val="1B2A4A"/>
          <w:sz w:val="22"/>
          <w:szCs w:val="22"/>
        </w:rPr>
        <w:t xml:space="preserve">14.3.d Internal Enforcement Encouragement: </w:t>
      </w:r>
      <w:r>
        <w:rPr>
          <w:rFonts w:ascii="Times New Roman" w:cs="Times New Roman" w:eastAsia="Times New Roman" w:hAnsi="Times New Roman"/>
          <w:color w:val="000000"/>
          <w:sz w:val="22"/>
          <w:szCs w:val="22"/>
        </w:rPr>
        <w:t xml:space="preserve">The Republic may, with the consent of the relevant indigenous nation, provide technical or financial support for the development of internal rights enforcement mechanisms within the nation's own legal traditions.</w:t>
      </w:r>
    </w:p>
    <w:p>
      <w:pPr>
        <w:spacing w:after="60" w:before="60" w:line="280" w:lineRule="auto"/>
        <w:jc w:val="both"/>
      </w:pPr>
      <w:r>
        <w:rPr>
          <w:rFonts w:ascii="Times New Roman" w:cs="Times New Roman" w:eastAsia="Times New Roman" w:hAnsi="Times New Roman"/>
          <w:b/>
          <w:bCs/>
          <w:color w:val="1B2A4A"/>
          <w:sz w:val="22"/>
          <w:szCs w:val="22"/>
        </w:rPr>
        <w:t xml:space="preserve">14.3.e Inspectorate Jurisdiction: </w:t>
      </w:r>
      <w:r>
        <w:rPr>
          <w:rFonts w:ascii="Times New Roman" w:cs="Times New Roman" w:eastAsia="Times New Roman" w:hAnsi="Times New Roman"/>
          <w:color w:val="000000"/>
          <w:sz w:val="22"/>
          <w:szCs w:val="22"/>
        </w:rPr>
        <w:t xml:space="preserve">The Inspectorates' audit and reporting jurisdiction does not extend to the internal governance of indigenous nations except where a specific allegation of violation of the permanently unamendable provisions (permanently unamendable provisions listed in §15.3.a) against individual members is made. The Supreme Court has jurisdiction to hear such allegations on petition from the individual concerned.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14.4 — Indigenous Lands</w:t>
      </w:r>
    </w:p>
    <w:p>
      <w:pPr>
        <w:spacing w:after="60" w:before="60" w:line="280" w:lineRule="auto"/>
        <w:jc w:val="both"/>
      </w:pPr>
      <w:r>
        <w:rPr>
          <w:rFonts w:ascii="Times New Roman" w:cs="Times New Roman" w:eastAsia="Times New Roman" w:hAnsi="Times New Roman"/>
          <w:color w:val="000000"/>
          <w:sz w:val="22"/>
          <w:szCs w:val="22"/>
        </w:rPr>
        <w:t xml:space="preserve">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14.4.a Eminent Domain Prohibition: </w:t>
      </w:r>
      <w:r>
        <w:rPr>
          <w:rFonts w:ascii="Times New Roman" w:cs="Times New Roman" w:eastAsia="Times New Roman" w:hAnsi="Times New Roman"/>
          <w:color w:val="000000"/>
          <w:sz w:val="22"/>
          <w:szCs w:val="22"/>
        </w:rPr>
        <w:t xml:space="preserve">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line="280" w:lineRule="auto"/>
        <w:jc w:val="both"/>
      </w:pPr>
      <w:r>
        <w:rPr>
          <w:rFonts w:ascii="Times New Roman" w:cs="Times New Roman" w:eastAsia="Times New Roman" w:hAnsi="Times New Roman"/>
          <w:b/>
          <w:bCs/>
          <w:color w:val="1B2A4A"/>
          <w:sz w:val="22"/>
          <w:szCs w:val="22"/>
        </w:rPr>
        <w:t xml:space="preserve">14.4.b Conservation Trust: </w:t>
      </w:r>
      <w:r>
        <w:rPr>
          <w:rFonts w:ascii="Times New Roman" w:cs="Times New Roman" w:eastAsia="Times New Roman" w:hAnsi="Times New Roman"/>
          <w:color w:val="000000"/>
          <w:sz w:val="22"/>
          <w:szCs w:val="22"/>
        </w:rPr>
        <w:t xml:space="preserve">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line="280" w:lineRule="auto"/>
        <w:jc w:val="both"/>
      </w:pPr>
      <w:r>
        <w:rPr>
          <w:rFonts w:ascii="Times New Roman" w:cs="Times New Roman" w:eastAsia="Times New Roman" w:hAnsi="Times New Roman"/>
          <w:b/>
          <w:bCs/>
          <w:color w:val="1B2A4A"/>
          <w:sz w:val="22"/>
          <w:szCs w:val="22"/>
        </w:rPr>
        <w:t xml:space="preserve">14.4.c National Record System: </w:t>
      </w:r>
      <w:r>
        <w:rPr>
          <w:rFonts w:ascii="Times New Roman" w:cs="Times New Roman" w:eastAsia="Times New Roman" w:hAnsi="Times New Roman"/>
          <w:color w:val="000000"/>
          <w:sz w:val="22"/>
          <w:szCs w:val="22"/>
        </w:rPr>
        <w:t xml:space="preserve">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14.5 — Individual Rights and Dual Citizenship</w:t>
      </w:r>
    </w:p>
    <w:p>
      <w:pPr>
        <w:spacing w:after="60" w:before="60" w:line="280" w:lineRule="auto"/>
        <w:jc w:val="both"/>
      </w:pPr>
      <w:r>
        <w:rPr>
          <w:rFonts w:ascii="Times New Roman" w:cs="Times New Roman" w:eastAsia="Times New Roman" w:hAnsi="Times New Roman"/>
          <w:b/>
          <w:bCs/>
          <w:color w:val="1B2A4A"/>
          <w:sz w:val="22"/>
          <w:szCs w:val="22"/>
        </w:rPr>
        <w:t xml:space="preserve">14.5.a Article I Rights: </w:t>
      </w:r>
      <w:r>
        <w:rPr>
          <w:rFonts w:ascii="Times New Roman" w:cs="Times New Roman" w:eastAsia="Times New Roman" w:hAnsi="Times New Roman"/>
          <w:color w:val="000000"/>
          <w:sz w:val="22"/>
          <w:szCs w:val="22"/>
        </w:rPr>
        <w:t xml:space="preserve">Every individual member of an indigenous nation is an Inhabitant of the Republic and holds the full protections of Article I. The prohibitions on torture (§1.2), slavery (§1.3), the right to First Appearance and Habeas Corpus (§1.13), and non-refoulement (§1.27)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line="280" w:lineRule="auto"/>
        <w:jc w:val="both"/>
      </w:pPr>
      <w:r>
        <w:rPr>
          <w:rFonts w:ascii="Times New Roman" w:cs="Times New Roman" w:eastAsia="Times New Roman" w:hAnsi="Times New Roman"/>
          <w:b/>
          <w:bCs/>
          <w:color w:val="1B2A4A"/>
          <w:sz w:val="22"/>
          <w:szCs w:val="22"/>
        </w:rPr>
        <w:t xml:space="preserve">14.5.b Dual Citizenship: </w:t>
      </w:r>
      <w:r>
        <w:rPr>
          <w:rFonts w:ascii="Times New Roman" w:cs="Times New Roman" w:eastAsia="Times New Roman" w:hAnsi="Times New Roman"/>
          <w:color w:val="000000"/>
          <w:sz w:val="22"/>
          <w:szCs w:val="22"/>
        </w:rPr>
        <w:t xml:space="preserve">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line="280" w:lineRule="auto"/>
        <w:jc w:val="both"/>
      </w:pPr>
      <w:r>
        <w:rPr>
          <w:rFonts w:ascii="Times New Roman" w:cs="Times New Roman" w:eastAsia="Times New Roman" w:hAnsi="Times New Roman"/>
          <w:b/>
          <w:bCs/>
          <w:color w:val="1B2A4A"/>
          <w:sz w:val="22"/>
          <w:szCs w:val="22"/>
        </w:rPr>
        <w:t xml:space="preserve">14.5.c National Voting System: </w:t>
      </w:r>
      <w:r>
        <w:rPr>
          <w:rFonts w:ascii="Times New Roman" w:cs="Times New Roman" w:eastAsia="Times New Roman" w:hAnsi="Times New Roman"/>
          <w:color w:val="000000"/>
          <w:sz w:val="22"/>
          <w:szCs w:val="22"/>
        </w:rPr>
        <w:t xml:space="preserve">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14.5.d Associated Community Pathway for Recognised Sovereign Nations: </w:t>
      </w:r>
      <w:r>
        <w:rPr>
          <w:rFonts w:ascii="Times New Roman" w:cs="Times New Roman" w:eastAsia="Times New Roman" w:hAnsi="Times New Roman"/>
          <w:color w:val="000000"/>
          <w:sz w:val="22"/>
          <w:szCs w:val="22"/>
        </w:rPr>
        <w:t xml:space="preserve">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 A nation that has elected Associated Community status under this section retains the right to pursue territorial incorporation under §13.6 by its own subsequent democratic or traditional governance process. The election of Associated Community status does not foreclose any subsequent status election available under §14.6.</w:t>
      </w:r>
    </w:p>
    <w:p>
      <w:pPr>
        <w:spacing w:after="60" w:before="60" w:line="280" w:lineRule="auto"/>
        <w:jc w:val="both"/>
      </w:pPr>
      <w:r>
        <w:rPr>
          <w:rFonts w:ascii="Times New Roman" w:cs="Times New Roman" w:eastAsia="Times New Roman" w:hAnsi="Times New Roman"/>
          <w:b/>
          <w:bCs/>
          <w:color w:val="1B2A4A"/>
          <w:sz w:val="22"/>
          <w:szCs w:val="22"/>
        </w:rPr>
        <w:t xml:space="preserve">14.6 Indigenous Nation Status Elections: </w:t>
      </w:r>
      <w:r>
        <w:rPr>
          <w:rFonts w:ascii="Times New Roman" w:cs="Times New Roman" w:eastAsia="Times New Roman" w:hAnsi="Times New Roman"/>
          <w:color w:val="000000"/>
          <w:sz w:val="22"/>
          <w:szCs w:val="22"/>
        </w:rPr>
        <w:t xml:space="preserve">Indigenous nations with sovereignty recognized under this Article hold the constitutional right to initiate a status change process at the time of ratification and at any subsequent time through their own democratic or traditional governance process. The right to initiate is continuous; the change itself takes effect only when the constitutional process for the relevant status transition is complete — not at the moment of governance decision. No status change requires Republic consent to initiate — but each transition follows the constitutional requirements of the destination framework and proceeds at the pace those requirements demand. The Republic may not use procedural delay as a means of blocking or discouraging an election. The Republic may not prefer, discourage, or offer inducements toward any status option. It may provide factual information about each status upon a nation's request.</w:t>
      </w:r>
    </w:p>
    <w:p>
      <w:pPr>
        <w:spacing w:after="60" w:before="60" w:line="280" w:lineRule="auto"/>
        <w:jc w:val="both"/>
      </w:pPr>
      <w:r>
        <w:rPr>
          <w:rFonts w:ascii="Times New Roman" w:cs="Times New Roman" w:eastAsia="Times New Roman" w:hAnsi="Times New Roman"/>
          <w:color w:val="000000"/>
          <w:sz w:val="22"/>
          <w:szCs w:val="22"/>
        </w:rPr>
        <w:t xml:space="preserve">Four status options are available:</w:t>
      </w:r>
    </w:p>
    <w:p>
      <w:pPr>
        <w:spacing w:after="60" w:before="60" w:line="280" w:lineRule="auto"/>
        <w:jc w:val="both"/>
      </w:pPr>
      <w:r>
        <w:rPr>
          <w:rFonts w:ascii="Times New Roman" w:cs="Times New Roman" w:eastAsia="Times New Roman" w:hAnsi="Times New Roman"/>
          <w:color w:val="000000"/>
          <w:sz w:val="22"/>
          <w:szCs w:val="22"/>
        </w:rPr>
        <w:t xml:space="preserve">(a) Indigenous Compact (default): Continued participation in the Article XIV government-to-government relationship. No election is required — this status continues unless affirmatively changed. All Article XIV rights, land protections, and FPIC requirements remain in full force indefinitely.</w:t>
      </w:r>
    </w:p>
    <w:p>
      <w:pPr>
        <w:spacing w:after="60" w:before="60" w:line="280" w:lineRule="auto"/>
        <w:jc w:val="both"/>
      </w:pPr>
      <w:r>
        <w:rPr>
          <w:rFonts w:ascii="Times New Roman" w:cs="Times New Roman" w:eastAsia="Times New Roman" w:hAnsi="Times New Roman"/>
          <w:color w:val="000000"/>
          <w:sz w:val="22"/>
          <w:szCs w:val="22"/>
        </w:rPr>
        <w:t xml:space="preserve">(b) Associated Community Status: Election to Associated Community status under Article XX, available directly without completing the §15.4 independence process as provided in §14.5.d. The Article XIV compact relationship transitions to an Article XX compact relationship. Article XIV land protections survive as compact terms unless the nation elects otherwise.</w:t>
      </w:r>
    </w:p>
    <w:p>
      <w:pPr>
        <w:spacing w:after="60" w:before="60" w:line="280" w:lineRule="auto"/>
        <w:jc w:val="both"/>
      </w:pPr>
      <w:r>
        <w:rPr>
          <w:rFonts w:ascii="Times New Roman" w:cs="Times New Roman" w:eastAsia="Times New Roman" w:hAnsi="Times New Roman"/>
          <w:color w:val="000000"/>
          <w:sz w:val="22"/>
          <w:szCs w:val="22"/>
        </w:rPr>
        <w:t xml:space="preserve">(c) Territorial Integration: Election to pursue territorial incorporation through the two-step pathway — §14.5.d election of Associated Community status followed by territorial incorporation under §13.6. The integration agreement must specifically address the indigenous character of the nation's lands within the Territory framework, including co-management rights and the survival of prior treaty obligations as statutory obligations of the Republic.</w:t>
      </w:r>
    </w:p>
    <w:p>
      <w:pPr>
        <w:spacing w:after="60" w:before="60" w:line="280" w:lineRule="auto"/>
        <w:jc w:val="both"/>
      </w:pPr>
      <w:r>
        <w:rPr>
          <w:rFonts w:ascii="Times New Roman" w:cs="Times New Roman" w:eastAsia="Times New Roman" w:hAnsi="Times New Roman"/>
          <w:color w:val="000000"/>
          <w:sz w:val="22"/>
          <w:szCs w:val="22"/>
        </w:rPr>
        <w:t xml:space="preserve">(d) Full Sovereign Independence: An indigenous nation may elect to exist entirely outside the Republic's constitutional framework as a fully independent sovereign nation. The Republic acknowledges this sovereignty. Where a nation elects independence under this section: the Republic must within 24 months negotiate and conclude a treaty governing transit and border arrangements, economic and trade relationships, the status of nation members who simultaneously hold Republic citizenship, infrastructure and utility access, and any other matters the nation identifies as essential to its independent governance. The Republic may not use treaty negotiation delays to pressure the nation to reverse its independence election. Geographic position within Republic territory does not affect the right to independence under this section — it affects only the practical arrangements that the treaty must address. A nation that elects independence may subsequently enter Associated Community status under Article XX or pursue territorial incorporation as a sovereign entity without returning to Article XIV status.</w:t>
      </w:r>
    </w:p>
    <w:p>
      <w:pPr>
        <w:spacing w:after="60" w:before="60" w:line="280" w:lineRule="auto"/>
        <w:jc w:val="both"/>
      </w:pPr>
      <w:r>
        <w:rPr>
          <w:rFonts w:ascii="Times New Roman" w:cs="Times New Roman" w:eastAsia="Times New Roman" w:hAnsi="Times New Roman"/>
          <w:b/>
          <w:bCs/>
          <w:color w:val="1B2A4A"/>
          <w:sz w:val="22"/>
          <w:szCs w:val="22"/>
        </w:rPr>
        <w:t xml:space="preserve">Process: </w:t>
      </w:r>
      <w:r>
        <w:rPr>
          <w:rFonts w:ascii="Times New Roman" w:cs="Times New Roman" w:eastAsia="Times New Roman" w:hAnsi="Times New Roman"/>
          <w:color w:val="000000"/>
          <w:sz w:val="22"/>
          <w:szCs w:val="22"/>
        </w:rPr>
        <w:t xml:space="preserve">Status elections require: (1) a decision by the nation's own democratic or traditional governance process, meeting the standards the nation itself defines for major governance decisions; (2) publication of the election to the National Record System within 30 days of the governance decision. Return path after independence: a nation that has completed a transition to full sovereign independence under option (d) may not subsequently re-elect Article XIV compact status. Having formally exited the Article XIV framework as a sovereign nation, the nation holds general sovereign status and must use the pathways available to sovereign nations: Associated Community status under §20 or territorial incorporation under §13.6 as a sovereign entity. The Article XIV framework was a founding-moment constitutional acknowledgment of prior sovereignty held within the Republic's jurisdiction — once a nation has formally departed that framework, re-entry follows the general sovereign pathways, not Article XIV. The Republic must facilitate all transitions in good faith and without procedural delay designed to discourage any option. At the time of ratification, the Republic must formally notify all indigenous nations recognized under Article XIV of their rights under this section, in their own languages where practicable, within Phase 1 of the transition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 — AMENDING THE CONSTITUTION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15.1 — Amendment Paths</w:t>
      </w:r>
    </w:p>
    <w:p>
      <w:pPr>
        <w:spacing w:after="60" w:before="60" w:line="280" w:lineRule="auto"/>
        <w:jc w:val="both"/>
      </w:pPr>
      <w:r>
        <w:rPr>
          <w:rFonts w:ascii="Times New Roman" w:cs="Times New Roman" w:eastAsia="Times New Roman" w:hAnsi="Times New Roman"/>
          <w:b/>
          <w:bCs/>
          <w:color w:val="1B2A4A"/>
          <w:sz w:val="22"/>
          <w:szCs w:val="22"/>
        </w:rPr>
        <w:t xml:space="preserve">15.1.a Legislative Path: </w:t>
      </w:r>
      <w:r>
        <w:rPr>
          <w:rFonts w:ascii="Times New Roman" w:cs="Times New Roman" w:eastAsia="Times New Roman" w:hAnsi="Times New Roman"/>
          <w:color w:val="000000"/>
          <w:sz w:val="22"/>
          <w:szCs w:val="22"/>
        </w:rPr>
        <w:t xml:space="preserve">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15.1.b Legislative and Popular Path: </w:t>
      </w:r>
      <w:r>
        <w:rPr>
          <w:rFonts w:ascii="Times New Roman" w:cs="Times New Roman" w:eastAsia="Times New Roman" w:hAnsi="Times New Roman"/>
          <w:color w:val="000000"/>
          <w:sz w:val="22"/>
          <w:szCs w:val="22"/>
        </w:rPr>
        <w:t xml:space="preserve">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15.1.c Citizen-Led Path:</w:t>
      </w:r>
      <w:r>
        <w:rPr>
          <w:rFonts w:ascii="Times New Roman" w:cs="Times New Roman" w:eastAsia="Times New Roman" w:hAnsi="Times New Roman"/>
          <w:b w:val="0"/>
          <w:color w:val="000000"/>
          <w:sz w:val="22"/>
          <w:szCs w:val="22"/>
        </w:rPr>
        <w:t xml:space="preserve"> A national vote conducted through the National Voting System achieving 70% affirmative support with at least 65% citizen participation. If participation exceeds 60% but falls short of 65% and the affirmative vote exceeds 75%, the Electoral Commission automatically schedules a second vote on the same amendment text, to be held no sooner than 90 days and no later than 12 months after the first result is certified. The second vote is conducted under the standard thresholds of this section — 70% affirmative support with at least 65% citizen participation. If the second vote meets the standard thresholds, the amendment takes effect. If the second vote fails to meet the standard thresholds, the amendment fails and the same amendment text may not trigger a further second vote under this provision. The Electoral Commission certifies all results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15.2 — No Executive Veto</w:t>
      </w:r>
    </w:p>
    <w:p>
      <w:pPr>
        <w:spacing w:after="60" w:before="60" w:line="280" w:lineRule="auto"/>
        <w:jc w:val="both"/>
      </w:pPr>
      <w:r>
        <w:rPr>
          <w:rFonts w:ascii="Times New Roman" w:cs="Times New Roman" w:eastAsia="Times New Roman" w:hAnsi="Times New Roman"/>
          <w:b/>
          <w:bCs/>
          <w:color w:val="1B2A4A"/>
          <w:sz w:val="22"/>
          <w:szCs w:val="22"/>
        </w:rPr>
        <w:t xml:space="preserve">15.2.a No Executive Veto: </w:t>
      </w:r>
      <w:r>
        <w:rPr>
          <w:rFonts w:ascii="Times New Roman" w:cs="Times New Roman" w:eastAsia="Times New Roman" w:hAnsi="Times New Roman"/>
          <w:color w:val="000000"/>
          <w:sz w:val="22"/>
          <w:szCs w:val="22"/>
        </w:rPr>
        <w:t xml:space="preserve">Neither the President nor the Prime Minister holds veto authority over constitutional amendments. Amendments take immediate effect when the Inspectorates certify ratification and record the amendment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15.3 — Unamendable Provisions</w:t>
      </w:r>
    </w:p>
    <w:p>
      <w:pPr>
        <w:spacing w:after="60" w:before="60" w:line="280" w:lineRule="auto"/>
        <w:jc w:val="both"/>
      </w:pPr>
      <w:r>
        <w:rPr>
          <w:rFonts w:ascii="Times New Roman" w:cs="Times New Roman" w:eastAsia="Times New Roman" w:hAnsi="Times New Roman"/>
          <w:b/>
          <w:bCs/>
          <w:color w:val="1B2A4A"/>
          <w:sz w:val="22"/>
          <w:szCs w:val="22"/>
        </w:rPr>
        <w:t xml:space="preserve">15.3.a Unamendable Provisions: </w:t>
      </w:r>
      <w:r>
        <w:rPr>
          <w:rFonts w:ascii="Times New Roman" w:cs="Times New Roman" w:eastAsia="Times New Roman" w:hAnsi="Times New Roman"/>
          <w:color w:val="000000"/>
          <w:sz w:val="22"/>
          <w:szCs w:val="22"/>
        </w:rPr>
        <w:t xml:space="preserve">The Individual Sovereignty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15.4 — Territorial Integrity</w:t>
      </w:r>
    </w:p>
    <w:p>
      <w:pPr>
        <w:spacing w:after="60" w:before="60" w:line="280" w:lineRule="auto"/>
        <w:jc w:val="both"/>
      </w:pPr>
      <w:r>
        <w:rPr>
          <w:rFonts w:ascii="Times New Roman" w:cs="Times New Roman" w:eastAsia="Times New Roman" w:hAnsi="Times New Roman"/>
          <w:b/>
          <w:bCs/>
          <w:color w:val="1B2A4A"/>
          <w:sz w:val="22"/>
          <w:szCs w:val="22"/>
        </w:rPr>
        <w:t xml:space="preserve">15.4.a Territorial Integrity: </w:t>
      </w:r>
      <w:r>
        <w:rPr>
          <w:rFonts w:ascii="Times New Roman" w:cs="Times New Roman" w:eastAsia="Times New Roman" w:hAnsi="Times New Roman"/>
          <w:color w:val="000000"/>
          <w:sz w:val="22"/>
          <w:szCs w:val="22"/>
        </w:rPr>
        <w:t xml:space="preserve">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legislative act, or judicial ruling may authorize independence absent this vote.</w:t>
      </w:r>
    </w:p>
    <w:p>
      <w:pPr>
        <w:spacing w:after="60" w:before="60" w:line="280" w:lineRule="auto"/>
        <w:jc w:val="both"/>
      </w:pPr>
      <w:r>
        <w:rPr>
          <w:rFonts w:ascii="Times New Roman" w:cs="Times New Roman" w:eastAsia="Times New Roman" w:hAnsi="Times New Roman"/>
          <w:b/>
          <w:bCs/>
          <w:color w:val="1B2A4A"/>
          <w:sz w:val="22"/>
          <w:szCs w:val="22"/>
        </w:rPr>
        <w:t xml:space="preserve">15.4.b Advisory Referenda: </w:t>
      </w:r>
      <w:r>
        <w:rPr>
          <w:rFonts w:ascii="Times New Roman" w:cs="Times New Roman" w:eastAsia="Times New Roman" w:hAnsi="Times New Roman"/>
          <w:color w:val="000000"/>
          <w:sz w:val="22"/>
          <w:szCs w:val="22"/>
        </w:rPr>
        <w:t xml:space="preserve">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15.5 — Independence Transition Framework</w:t>
      </w:r>
    </w:p>
    <w:p>
      <w:pPr>
        <w:spacing w:after="60" w:before="60" w:line="280" w:lineRule="auto"/>
        <w:jc w:val="both"/>
      </w:pPr>
      <w:r>
        <w:rPr>
          <w:rFonts w:ascii="Times New Roman" w:cs="Times New Roman" w:eastAsia="Times New Roman" w:hAnsi="Times New Roman"/>
          <w:color w:val="000000"/>
          <w:sz w:val="22"/>
          <w:szCs w:val="22"/>
        </w:rPr>
        <w:t xml:space="preserve">The democratic authorization of independence under §15.4 creates a constitutional obligation to manage the transition responsibly, lawfully, and transparently. This section governs the transition process that follows §15.4 recognition.</w:t>
      </w:r>
    </w:p>
    <w:p>
      <w:pPr>
        <w:spacing w:after="60" w:before="60" w:line="280" w:lineRule="auto"/>
        <w:jc w:val="both"/>
      </w:pPr>
      <w:r>
        <w:rPr>
          <w:rFonts w:ascii="Times New Roman" w:cs="Times New Roman" w:eastAsia="Times New Roman" w:hAnsi="Times New Roman"/>
          <w:b/>
          <w:bCs/>
          <w:color w:val="1B2A4A"/>
          <w:sz w:val="22"/>
          <w:szCs w:val="22"/>
        </w:rPr>
        <w:t xml:space="preserve">15.5.a Framework Agreement Requirement: </w:t>
      </w:r>
      <w:r>
        <w:rPr>
          <w:rFonts w:ascii="Times New Roman" w:cs="Times New Roman" w:eastAsia="Times New Roman" w:hAnsi="Times New Roman"/>
          <w:color w:val="000000"/>
          <w:sz w:val="22"/>
          <w:szCs w:val="22"/>
        </w:rPr>
        <w:t xml:space="preserve">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authorised independence referendum.</w:t>
      </w:r>
    </w:p>
    <w:p>
      <w:pPr>
        <w:spacing w:after="60" w:before="60" w:line="280" w:lineRule="auto"/>
        <w:jc w:val="both"/>
      </w:pPr>
      <w:r>
        <w:rPr>
          <w:rFonts w:ascii="Times New Roman" w:cs="Times New Roman" w:eastAsia="Times New Roman" w:hAnsi="Times New Roman"/>
          <w:b/>
          <w:bCs/>
          <w:color w:val="1B2A4A"/>
          <w:sz w:val="22"/>
          <w:szCs w:val="22"/>
        </w:rPr>
        <w:t xml:space="preserve">15.5.b Transition Period: </w:t>
      </w:r>
      <w:r>
        <w:rPr>
          <w:rFonts w:ascii="Times New Roman" w:cs="Times New Roman" w:eastAsia="Times New Roman" w:hAnsi="Times New Roman"/>
          <w:color w:val="000000"/>
          <w:sz w:val="22"/>
          <w:szCs w:val="22"/>
        </w:rPr>
        <w:t xml:space="preserve">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15.5.c Basic Needs Floor Transition: </w:t>
      </w:r>
      <w:r>
        <w:rPr>
          <w:rFonts w:ascii="Times New Roman" w:cs="Times New Roman" w:eastAsia="Times New Roman" w:hAnsi="Times New Roman"/>
          <w:color w:val="000000"/>
          <w:sz w:val="22"/>
          <w:szCs w:val="22"/>
        </w:rPr>
        <w:t xml:space="preserve">Despite §10.1 applying to Inhabitants of the Republic, the Republic's obligations to the departing territory during the transition period — including Basic Needs Floor-equivalent distributions — 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§15.5.b.</w:t>
      </w:r>
    </w:p>
    <w:p>
      <w:pPr>
        <w:spacing w:after="60" w:before="60" w:line="280" w:lineRule="auto"/>
        <w:jc w:val="both"/>
      </w:pPr>
      <w:r>
        <w:rPr>
          <w:rFonts w:ascii="Times New Roman" w:cs="Times New Roman" w:eastAsia="Times New Roman" w:hAnsi="Times New Roman"/>
          <w:b/>
          <w:bCs/>
          <w:color w:val="1B2A4A"/>
          <w:sz w:val="22"/>
          <w:szCs w:val="22"/>
        </w:rPr>
        <w:t xml:space="preserve">15.5.d Executive Authority: </w:t>
      </w:r>
      <w:r>
        <w:rPr>
          <w:rFonts w:ascii="Times New Roman" w:cs="Times New Roman" w:eastAsia="Times New Roman" w:hAnsi="Times New Roman"/>
          <w:color w:val="000000"/>
          <w:sz w:val="22"/>
          <w:szCs w:val="22"/>
        </w:rPr>
        <w:t xml:space="preserve">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15.5.e Simultaneous Independence Sequencing: </w:t>
      </w:r>
      <w:r>
        <w:rPr>
          <w:rFonts w:ascii="Times New Roman" w:cs="Times New Roman" w:eastAsia="Times New Roman" w:hAnsi="Times New Roman"/>
          <w:color w:val="000000"/>
          <w:sz w:val="22"/>
          <w:szCs w:val="22"/>
        </w:rPr>
        <w:t xml:space="preserve">Where more than one independence process is simultaneously authorised under §15.4,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15.6 — Constitutional Supremacy</w:t>
      </w:r>
    </w:p>
    <w:p>
      <w:pPr>
        <w:spacing w:after="60" w:before="60" w:line="280" w:lineRule="auto"/>
        <w:jc w:val="both"/>
      </w:pPr>
      <w:r>
        <w:rPr>
          <w:rFonts w:ascii="Times New Roman" w:cs="Times New Roman" w:eastAsia="Times New Roman" w:hAnsi="Times New Roman"/>
          <w:b/>
          <w:bCs/>
          <w:color w:val="1B2A4A"/>
          <w:sz w:val="22"/>
          <w:szCs w:val="22"/>
        </w:rPr>
        <w:t xml:space="preserve">15.6 Supremacy of This Constitution: </w:t>
      </w:r>
      <w:r>
        <w:rPr>
          <w:rFonts w:ascii="Times New Roman" w:cs="Times New Roman" w:eastAsia="Times New Roman" w:hAnsi="Times New Roman"/>
          <w:color w:val="000000"/>
          <w:sz w:val="22"/>
          <w:szCs w:val="22"/>
        </w:rPr>
        <w:t xml:space="preserve">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spacing w:after="60" w:before="60" w:line="280" w:lineRule="auto"/>
        <w:jc w:val="both"/>
      </w:pPr>
      <w:r>
        <w:rPr>
          <w:rFonts w:ascii="Times New Roman" w:cs="Times New Roman" w:eastAsia="Times New Roman" w:hAnsi="Times New Roman"/>
          <w:b/>
          <w:bCs/>
          <w:color w:val="1B2A4A"/>
          <w:sz w:val="22"/>
          <w:szCs w:val="22"/>
        </w:rPr>
        <w:t xml:space="preserve">15.6.b Federal-State Statutory Hierarchy: </w:t>
      </w:r>
      <w:r>
        <w:rPr>
          <w:rFonts w:ascii="Times New Roman" w:cs="Times New Roman" w:eastAsia="Times New Roman" w:hAnsi="Times New Roman"/>
          <w:color w:val="000000"/>
          <w:sz w:val="22"/>
          <w:szCs w:val="22"/>
        </w:rPr>
        <w:t xml:space="preserve">Federal statutes enacted within the Legislature's constitutional competence prevail over conflicting State statutes. Where a federal statute and a State statute address the same subject without conflict — where a person can comply with both simultaneously — both operate concurrently and the State statute is not displaced. A State statute that directly contradicts a federal statutory requirement, or that stands as an obstacle to the accomplishment of the federal statute's evident purpose, is without legal force to the extent of the conflict. The Legislature may by statute expressly state whether a federal enactment is intended to occupy a field exclusively, to permit concurrent State regulation, or to set a floor below which State law may not go. In the absence of an express statement, courts apply the conflict test and the obstacle test before finding preemption — field preemption by implication requires clear evidence of legislative intent to occupy the field entirely.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 — THE NATIONAL VOTING SYSTEM AND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16.1 — The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Electoral Commission is a five-member body with full democratic mandate. All five members are elected to single non-renewable 6-year terms, staggered so no more than two seats are contested in any election cycle.</w:t>
      </w:r>
    </w:p>
    <w:p>
      <w:pPr>
        <w:spacing w:after="60" w:before="60" w:line="280" w:lineRule="auto"/>
        <w:jc w:val="both"/>
      </w:pPr>
      <w:r>
        <w:rPr>
          <w:rFonts w:ascii="Times New Roman" w:cs="Times New Roman" w:eastAsia="Times New Roman" w:hAnsi="Times New Roman"/>
          <w:color w:val="000000"/>
          <w:sz w:val="22"/>
          <w:szCs w:val="22"/>
        </w:rPr>
        <w:t xml:space="preserve">The Commission elects its own Chair from among its members by internal majority vote, rotating every two years, with no member serving as Chair more than once per term. Decisions require a 3/5 majority — three of five members.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16.2 — Member Qualifications</w:t>
      </w:r>
    </w:p>
    <w:p>
      <w:pPr>
        <w:spacing w:after="60" w:before="60" w:line="280" w:lineRule="auto"/>
        <w:jc w:val="both"/>
      </w:pPr>
      <w:r>
        <w:rPr>
          <w:rFonts w:ascii="Times New Roman" w:cs="Times New Roman" w:eastAsia="Times New Roman" w:hAnsi="Times New Roman"/>
          <w:color w:val="000000"/>
          <w:sz w:val="22"/>
          <w:szCs w:val="22"/>
        </w:rPr>
        <w:t xml:space="preserve">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spacing w:after="60" w:before="60" w:line="280" w:lineRule="auto"/>
        <w:jc w:val="both"/>
      </w:pPr>
      <w:r>
        <w:rPr>
          <w:rFonts w:ascii="Times New Roman" w:cs="Times New Roman" w:eastAsia="Times New Roman" w:hAnsi="Times New Roman"/>
          <w:b/>
          <w:bCs/>
          <w:color w:val="1B2A4A"/>
          <w:sz w:val="22"/>
          <w:szCs w:val="22"/>
        </w:rPr>
        <w:t xml:space="preserve">16.2 Electoral Commission Qualifications: </w:t>
      </w:r>
      <w:r>
        <w:rPr>
          <w:rFonts w:ascii="Times New Roman" w:cs="Times New Roman" w:eastAsia="Times New Roman" w:hAnsi="Times New Roman"/>
          <w:color w:val="000000"/>
          <w:sz w:val="22"/>
          <w:szCs w:val="22"/>
        </w:rPr>
        <w:t xml:space="preserve">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 whether the submitted facts are accurate — to the National Record System before the election. The JI separately applies the §16.2 eligibility criteria and publishes an eligibility determination to the NRS. The JI eligibility determination is a gatekeeping decision subject to §8.9.d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16.2.a Electoral Commission Removal:</w:t>
      </w:r>
      <w:r>
        <w:rPr>
          <w:rFonts w:ascii="Times New Roman" w:cs="Times New Roman" w:eastAsia="Times New Roman" w:hAnsi="Times New Roman"/>
          <w:b w:val="0"/>
          <w:color w:val="000000"/>
          <w:sz w:val="22"/>
          <w:szCs w:val="22"/>
        </w:rPr>
        <w:t xml:space="preserve"> Electoral Commission members may be removed only through For-Cause proceedings. No-Cause removal is not available — the Electoral Commission administers all national elections and referenda; a no-cause removal mechanism would create an unacceptable vector for electoral manipulation by any temporary legislative majority. For-Cause Removal Grounds: documented dereliction of duty, incapacity to perform the functions of the office, undisclosed conflict of interest, criminal conviction, or conduct that materially compromises the integrity of any election or referendum. Process: The Judicial Inspectorate — which audits the Electoral Commission annually under §8.1.c — must publish a documented finding of specific misconduct to the National Record System before any removal vote may proceed. The finding is published no later than 30 days after a removal motion is filed. The finding is advisory — it does not compel removal — but no removal vote may be held without it. Following publication of the JI finding, removal requires a 2/3 vote of both chambers simultaneously, calculated against full seated membership of each chamber. A member subject to For-Cause proceedings continues all duties through the JI finding and State Designee Panel process. Where the State Designee Panel substantiates grounds under §8.9.a, the member is suspended from all Electoral Commission duties: upon expiry of the 14-day Supreme Court appeal window under §8.9.b without a filed appeal, or immediately upon a Supreme Court ruling upholding the Panel's substantiation on appeal. If the Supreme Court reverses the Panel's substantiation, no suspension takes effect and the member continues all duties pending the legislative vote. A suspended member is excluded from the Commission's active seated membership for decision-threshold purposes during the suspension period. The 180-day election proximity restriction of §16.5.c applies to the removal vote, not to Panel-triggered suspension. On legislative acquittal, the suspended member returns immediately to full duties with no effect on their term or standing. Upon removal, the seat is filled through a special election held within 90 days under the same process as a regular Electoral Commission election. The replacement serves a full new non-renewable 6-year term from the date of certification, not the remainder of the removed member's term.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16.3 — Constitutional Properties of the National Voting System</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must satisfy these constitutional properties. the Legislature may not remove or weaken any of them by statute.</w:t>
      </w:r>
    </w:p>
    <w:p>
      <w:pPr>
        <w:spacing w:after="60" w:before="60" w:line="280" w:lineRule="auto"/>
        <w:jc w:val="both"/>
      </w:pPr>
      <w:r>
        <w:rPr>
          <w:rFonts w:ascii="Times New Roman" w:cs="Times New Roman" w:eastAsia="Times New Roman" w:hAnsi="Times New Roman"/>
          <w:b/>
          <w:bCs/>
          <w:color w:val="1B2A4A"/>
          <w:sz w:val="22"/>
          <w:szCs w:val="22"/>
        </w:rPr>
        <w:t xml:space="preserve">16.3.a Ballot Secrecy: </w:t>
      </w:r>
      <w:r>
        <w:rPr>
          <w:rFonts w:ascii="Times New Roman" w:cs="Times New Roman" w:eastAsia="Times New Roman" w:hAnsi="Times New Roman"/>
          <w:color w:val="000000"/>
          <w:sz w:val="22"/>
          <w:szCs w:val="22"/>
        </w:rPr>
        <w:t xml:space="preserve">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line="280" w:lineRule="auto"/>
        <w:jc w:val="both"/>
      </w:pPr>
      <w:r>
        <w:rPr>
          <w:rFonts w:ascii="Times New Roman" w:cs="Times New Roman" w:eastAsia="Times New Roman" w:hAnsi="Times New Roman"/>
          <w:b/>
          <w:bCs/>
          <w:color w:val="1B2A4A"/>
          <w:sz w:val="22"/>
          <w:szCs w:val="22"/>
        </w:rPr>
        <w:t xml:space="preserve">16.3.b Public Auditability: </w:t>
      </w:r>
      <w:r>
        <w:rPr>
          <w:rFonts w:ascii="Times New Roman" w:cs="Times New Roman" w:eastAsia="Times New Roman" w:hAnsi="Times New Roman"/>
          <w:color w:val="000000"/>
          <w:sz w:val="22"/>
          <w:szCs w:val="22"/>
        </w:rPr>
        <w:t xml:space="preserve">The aggregate results of every election and referendum must be mathematically verifiable by any citizen without specialized access. The system is open to public audit while preserving individual ballot secrecy.</w:t>
      </w:r>
    </w:p>
    <w:p>
      <w:pPr>
        <w:spacing w:after="60" w:before="60" w:line="280" w:lineRule="auto"/>
        <w:jc w:val="both"/>
      </w:pPr>
      <w:r>
        <w:rPr>
          <w:rFonts w:ascii="Times New Roman" w:cs="Times New Roman" w:eastAsia="Times New Roman" w:hAnsi="Times New Roman"/>
          <w:b/>
          <w:bCs/>
          <w:color w:val="1B2A4A"/>
          <w:sz w:val="22"/>
          <w:szCs w:val="22"/>
        </w:rPr>
        <w:t xml:space="preserve">16.3.c Resilience and Privacy: </w:t>
      </w:r>
      <w:r>
        <w:rPr>
          <w:rFonts w:ascii="Times New Roman" w:cs="Times New Roman" w:eastAsia="Times New Roman" w:hAnsi="Times New Roman"/>
          <w:color w:val="000000"/>
          <w:sz w:val="22"/>
          <w:szCs w:val="22"/>
        </w:rPr>
        <w:t xml:space="preserve">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the Legislature defines technical standards and implementation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16.4 — The Citizen Voting Credential</w:t>
      </w:r>
    </w:p>
    <w:p>
      <w:pPr>
        <w:spacing w:after="60" w:before="60" w:line="280" w:lineRule="auto"/>
        <w:jc w:val="both"/>
      </w:pPr>
      <w:r>
        <w:rPr>
          <w:rFonts w:ascii="Times New Roman" w:cs="Times New Roman" w:eastAsia="Times New Roman" w:hAnsi="Times New Roman"/>
          <w:b/>
          <w:bCs/>
          <w:color w:val="1B2A4A"/>
          <w:sz w:val="22"/>
          <w:szCs w:val="22"/>
        </w:rPr>
        <w:t xml:space="preserve">16.4.a Credential: </w:t>
      </w:r>
      <w:r>
        <w:rPr>
          <w:rFonts w:ascii="Times New Roman" w:cs="Times New Roman" w:eastAsia="Times New Roman" w:hAnsi="Times New Roman"/>
          <w:color w:val="00000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60" w:line="280" w:lineRule="auto"/>
        <w:jc w:val="both"/>
      </w:pPr>
      <w:r>
        <w:rPr>
          <w:rFonts w:ascii="Times New Roman" w:cs="Times New Roman" w:eastAsia="Times New Roman" w:hAnsi="Times New Roman"/>
          <w:b/>
          <w:bCs/>
          <w:color w:val="1B2A4A"/>
          <w:sz w:val="22"/>
          <w:szCs w:val="22"/>
        </w:rPr>
        <w:t xml:space="preserve">16.4.b Remote Voting: </w:t>
      </w:r>
      <w:r>
        <w:rPr>
          <w:rFonts w:ascii="Times New Roman" w:cs="Times New Roman" w:eastAsia="Times New Roman" w:hAnsi="Times New Roman"/>
          <w:color w:val="000000"/>
          <w:sz w:val="22"/>
          <w:szCs w:val="22"/>
        </w:rPr>
        <w:t xml:space="preserve">the Legislature may by statute authorize authenticated remote voting through the National Voting System. No statute may permanently prohibit remote voting as a method of participation.</w:t>
      </w:r>
    </w:p>
    <w:p>
      <w:pPr>
        <w:spacing w:after="60" w:before="60" w:line="280" w:lineRule="auto"/>
        <w:jc w:val="both"/>
      </w:pPr>
      <w:r>
        <w:rPr>
          <w:rFonts w:ascii="Times New Roman" w:cs="Times New Roman" w:eastAsia="Times New Roman" w:hAnsi="Times New Roman"/>
          <w:b/>
          <w:bCs/>
          <w:color w:val="1B2A4A"/>
          <w:sz w:val="22"/>
          <w:szCs w:val="22"/>
        </w:rPr>
        <w:t xml:space="preserve">16.4.c State Voting Method Flexibility: </w:t>
      </w:r>
      <w:r>
        <w:rPr>
          <w:rFonts w:ascii="Times New Roman" w:cs="Times New Roman" w:eastAsia="Times New Roman" w:hAnsi="Times New Roman"/>
          <w:color w:val="000000"/>
          <w:sz w:val="22"/>
          <w:szCs w:val="22"/>
        </w:rPr>
        <w:t xml:space="preserve">States may implement early voting periods, mail-in ballot options, and alternative secure voting methods — including electronic methods — for any election held within their jurisdiction, whether federal or state. No state may permanently prohibit any of these methods as a form of participation. The Electoral Commission sets minimum integrity standards applicable to any method a state chooses to offer: cryptographic verification or equivalent authentication, documented chain of custody, full audit trail, and counting deadlines consistent with national certification timelines. The Electoral Commission may not set standards so restrictive as to render a method effectively unavailable — any standard that has the practical effect of prohibiting a method a state has chosen to offer is void. States that adopt alternative methods publish their implementation standards to the National Record System before each election cycle in which those methods are available.</w:t>
      </w:r>
    </w:p>
    <w:p>
      <w:pPr>
        <w:spacing w:after="60" w:before="60" w:line="280" w:lineRule="auto"/>
        <w:jc w:val="both"/>
      </w:pPr>
      <w:r>
        <w:rPr>
          <w:rFonts w:ascii="Times New Roman" w:cs="Times New Roman" w:eastAsia="Times New Roman" w:hAnsi="Times New Roman"/>
          <w:b/>
          <w:bCs/>
          <w:color w:val="1B2A4A"/>
          <w:sz w:val="22"/>
          <w:szCs w:val="22"/>
        </w:rPr>
        <w:t xml:space="preserve">16.4.d Federal Ballot Information: </w:t>
      </w:r>
      <w:r>
        <w:rPr>
          <w:rFonts w:ascii="Times New Roman" w:cs="Times New Roman" w:eastAsia="Times New Roman" w:hAnsi="Times New Roman"/>
          <w:color w:val="000000"/>
          <w:sz w:val="22"/>
          <w:szCs w:val="22"/>
        </w:rPr>
        <w:t xml:space="preserve">Before each federal election window opens, the Electoral Commission provides every eligible citizen with complete ballot information for all federal offices and referenda on their ballot. Delivery is by electronic means through the National Voting System and, upon request, by physical mail — at no cost to the citizen. The ballot information package includes: every federal office the citizen is eligible to vote on; every certified candidate for those offices with their disclosure record and any advisory assessment published under the relevant selection process; and the full text of any federal referendum question. This provision applies exclusively to federal offices and federal referenda. State and local races are the responsibility of the relevant state — this Constitution does not mandate how states allocate their own resources for voter information.</w:t>
      </w:r>
    </w:p>
    <w:p>
      <w:pPr>
        <w:spacing w:after="60" w:before="60" w:line="280" w:lineRule="auto"/>
        <w:jc w:val="both"/>
      </w:pPr>
      <w:r>
        <w:rPr>
          <w:rFonts w:ascii="Times New Roman" w:cs="Times New Roman" w:eastAsia="Times New Roman" w:hAnsi="Times New Roman"/>
          <w:b/>
          <w:bCs/>
          <w:color w:val="1B2A4A"/>
          <w:sz w:val="22"/>
          <w:szCs w:val="22"/>
        </w:rPr>
        <w:t xml:space="preserve">16.4.e State Ballot Information on Request: </w:t>
      </w:r>
      <w:r>
        <w:rPr>
          <w:rFonts w:ascii="Times New Roman" w:cs="Times New Roman" w:eastAsia="Times New Roman" w:hAnsi="Times New Roman"/>
          <w:color w:val="000000"/>
          <w:sz w:val="22"/>
          <w:szCs w:val="22"/>
        </w:rPr>
        <w:t xml:space="preserve">At a state's request, the Electoral Commission may extend its ballot information delivery services to cover state and local races on the same ballot. The state bears the cost of this service under terms the Legislature defines by statute. The Electoral Commission may not refuse a state's request on grounds other than operational capacity. Participation is entirely voluntary — no state is required to use this service.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16.5 — Electoral Commission Oversight and Removal</w:t>
      </w:r>
    </w:p>
    <w:p>
      <w:pPr>
        <w:spacing w:after="60" w:before="60" w:line="280" w:lineRule="auto"/>
        <w:jc w:val="both"/>
      </w:pPr>
      <w:r>
        <w:rPr>
          <w:rFonts w:ascii="Times New Roman" w:cs="Times New Roman" w:eastAsia="Times New Roman" w:hAnsi="Times New Roman"/>
          <w:b/>
          <w:bCs/>
          <w:color w:val="1B2A4A"/>
          <w:sz w:val="22"/>
          <w:szCs w:val="22"/>
        </w:rPr>
        <w:t xml:space="preserve">16.5.a Campaign Funding: </w:t>
      </w:r>
      <w:r>
        <w:rPr>
          <w:rFonts w:ascii="Times New Roman" w:cs="Times New Roman" w:eastAsia="Times New Roman" w:hAnsi="Times New Roman"/>
          <w:color w:val="000000"/>
          <w:sz w:val="22"/>
          <w:szCs w:val="22"/>
        </w:rPr>
        <w:t xml:space="preserve">Campaigns for Electoral Commission seats are publicly funded in full. No private donations are permitted. The Commission sets its own campaign funding levels for successor seats, subject to National Record System audit.</w:t>
      </w:r>
    </w:p>
    <w:p>
      <w:pPr>
        <w:spacing w:after="60" w:before="60" w:line="280" w:lineRule="auto"/>
        <w:jc w:val="both"/>
      </w:pPr>
      <w:r>
        <w:rPr>
          <w:rFonts w:ascii="Times New Roman" w:cs="Times New Roman" w:eastAsia="Times New Roman" w:hAnsi="Times New Roman"/>
          <w:b/>
          <w:bCs/>
          <w:color w:val="1B2A4A"/>
          <w:sz w:val="22"/>
          <w:szCs w:val="22"/>
        </w:rPr>
        <w:t xml:space="preserve">16.5.b JI Oversight: </w:t>
      </w:r>
      <w:r>
        <w:rPr>
          <w:rFonts w:ascii="Times New Roman" w:cs="Times New Roman" w:eastAsia="Times New Roman" w:hAnsi="Times New Roman"/>
          <w:color w:val="000000"/>
          <w:sz w:val="22"/>
          <w:szCs w:val="22"/>
        </w:rPr>
        <w:t xml:space="preserve">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line="280" w:lineRule="auto"/>
        <w:jc w:val="both"/>
      </w:pPr>
      <w:r>
        <w:rPr>
          <w:rFonts w:ascii="Times New Roman" w:cs="Times New Roman" w:eastAsia="Times New Roman" w:hAnsi="Times New Roman"/>
          <w:b/>
          <w:bCs/>
          <w:color w:val="1B2A4A"/>
          <w:sz w:val="22"/>
          <w:szCs w:val="22"/>
        </w:rPr>
        <w:t>16.5.c Removal:</w:t>
      </w:r>
      <w:r>
        <w:rPr>
          <w:rFonts w:ascii="Times New Roman" w:cs="Times New Roman" w:eastAsia="Times New Roman" w:hAnsi="Times New Roman"/>
          <w:b w:val="0"/>
          <w:color w:val="000000"/>
          <w:sz w:val="22"/>
          <w:szCs w:val="22"/>
        </w:rPr>
        <w:t xml:space="preserve"> Electoral Commission members may only be removed by Track 1 For-Cause removal (§8.5), requiring a 2/3 vote of both chambers simultaneously, preceded by State Designee Panel verification under §8.9. No-Cause removal is not available for Electoral Commission members. Any removal vote within 180 days of a national election at which more than 20% of seated national offices are on the ballot is automatically suspended pending Supreme Court review within 48 hours. This restriction applies to the legislative removal vote only; Panel-triggered suspension of duties under §16.2.a operates independently of election proximity.</w:t>
      </w:r>
    </w:p>
    <w:p>
      <w:pPr>
        <w:spacing w:after="60" w:before="60" w:line="280" w:lineRule="auto"/>
        <w:jc w:val="both"/>
      </w:pPr>
      <w:r>
        <w:rPr>
          <w:rFonts w:ascii="Times New Roman" w:cs="Times New Roman" w:eastAsia="Times New Roman" w:hAnsi="Times New Roman"/>
          <w:b/>
          <w:bCs/>
          <w:color w:val="1B2A4A"/>
          <w:sz w:val="22"/>
          <w:szCs w:val="22"/>
        </w:rPr>
        <w:t xml:space="preserve">16.5.d Mid-Term Vacancy: </w:t>
      </w:r>
      <w:r>
        <w:rPr>
          <w:rFonts w:ascii="Times New Roman" w:cs="Times New Roman" w:eastAsia="Times New Roman" w:hAnsi="Times New Roman"/>
          <w:color w:val="000000"/>
          <w:sz w:val="22"/>
          <w:szCs w:val="22"/>
        </w:rPr>
        <w:t xml:space="preserve">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 House Caretaker Period — Joint Session Contingency: Where a House caretaker period under §2.3.a is active at the time an Electoral Commission seat that would ordinarily be filled by joint session under §16.1 becomes vacant, the Senate alone acts in the capacity of the Legislature for this purpose and elects the replacement by absolute majority of its full seated membership, applying the same qualified-candidate and JI-vetting requirements as a standard joint session. The replacement serves only the remainder of the original term. Upon the House being reconstituted, the Senate-elected replacement continues in office for the remainder of their term; the next standard vacancy or election cycle proceeds normally.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16.6 — Electoral Commission Technical Deadlock</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16.7 — Day Zero Voting System Transition</w:t>
      </w:r>
    </w:p>
    <w:p>
      <w:pPr>
        <w:spacing w:after="60" w:before="60" w:line="280" w:lineRule="auto"/>
        <w:jc w:val="both"/>
      </w:pPr>
      <w:r>
        <w:rPr>
          <w:rFonts w:ascii="Times New Roman" w:cs="Times New Roman" w:eastAsia="Times New Roman" w:hAnsi="Times New Roman"/>
          <w:b/>
          <w:bCs/>
          <w:color w:val="1B2A4A"/>
          <w:sz w:val="22"/>
          <w:szCs w:val="22"/>
        </w:rPr>
        <w:t xml:space="preserve">This section governs three one-time transition events: </w:t>
      </w:r>
      <w:r>
        <w:rPr>
          <w:rFonts w:ascii="Times New Roman" w:cs="Times New Roman" w:eastAsia="Times New Roman" w:hAnsi="Times New Roman"/>
          <w:color w:val="000000"/>
          <w:sz w:val="22"/>
          <w:szCs w:val="22"/>
        </w:rPr>
        <w:t xml:space="preserve">the initial Electoral Commission formation, the simultaneous election of all nine Supreme Court justices, and the Senate staggering mechanism. All three occur during the first Phase 3 National Election Day.</w:t>
      </w:r>
    </w:p>
    <w:p>
      <w:pPr>
        <w:spacing w:after="60" w:before="60" w:line="280" w:lineRule="auto"/>
        <w:jc w:val="both"/>
      </w:pPr>
      <w:r>
        <w:rPr>
          <w:rFonts w:ascii="Times New Roman" w:cs="Times New Roman" w:eastAsia="Times New Roman" w:hAnsi="Times New Roman"/>
          <w:b/>
          <w:bCs/>
          <w:color w:val="1B2A4A"/>
          <w:sz w:val="22"/>
          <w:szCs w:val="22"/>
        </w:rPr>
        <w:t xml:space="preserve">16.7 Day Zero Transition: </w:t>
      </w:r>
      <w:r>
        <w:rPr>
          <w:rFonts w:ascii="Times New Roman" w:cs="Times New Roman" w:eastAsia="Times New Roman" w:hAnsi="Times New Roman"/>
          <w:color w:val="000000"/>
          <w:sz w:val="22"/>
          <w:szCs w:val="22"/>
        </w:rPr>
        <w:t xml:space="preserve">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 — FEDERAL PROPERTY AND THE SEAT OF GOVERNMENT</w:t>
      </w:r>
    </w:p>
    <w:p>
      <w:pPr>
        <w:spacing w:after="60" w:before="60" w:line="280" w:lineRule="auto"/>
        <w:jc w:val="both"/>
      </w:pPr>
      <w:r>
        <w:rPr>
          <w:rFonts w:ascii="Times New Roman" w:cs="Times New Roman" w:eastAsia="Times New Roman" w:hAnsi="Times New Roman"/>
          <w:color w:val="000000"/>
          <w:sz w:val="22"/>
          <w:szCs w:val="22"/>
        </w:rPr>
        <w:t xml:space="preserve">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17.1 — The Use Doctrine</w:t>
      </w:r>
    </w:p>
    <w:p>
      <w:pPr>
        <w:spacing w:after="60" w:before="60" w:line="280" w:lineRule="auto"/>
        <w:jc w:val="both"/>
      </w:pPr>
      <w:r>
        <w:rPr>
          <w:rFonts w:ascii="Times New Roman" w:cs="Times New Roman" w:eastAsia="Times New Roman" w:hAnsi="Times New Roman"/>
          <w:color w:val="000000"/>
          <w:sz w:val="22"/>
          <w:szCs w:val="22"/>
        </w:rPr>
        <w:t xml:space="preserve">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17.2 — The Federal Seat of Government</w:t>
      </w:r>
    </w:p>
    <w:p>
      <w:pPr>
        <w:spacing w:after="60" w:before="60" w:line="280" w:lineRule="auto"/>
        <w:jc w:val="both"/>
      </w:pPr>
      <w:r>
        <w:rPr>
          <w:rFonts w:ascii="Times New Roman" w:cs="Times New Roman" w:eastAsia="Times New Roman" w:hAnsi="Times New Roman"/>
          <w:color w:val="000000"/>
          <w:sz w:val="22"/>
          <w:szCs w:val="22"/>
        </w:rPr>
        <w:t xml:space="preserve">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line="280" w:lineRule="auto"/>
        <w:jc w:val="both"/>
      </w:pPr>
      <w:r>
        <w:rPr>
          <w:rFonts w:ascii="Times New Roman" w:cs="Times New Roman" w:eastAsia="Times New Roman" w:hAnsi="Times New Roman"/>
          <w:b/>
          <w:bCs/>
          <w:color w:val="1B2A4A"/>
          <w:sz w:val="22"/>
          <w:szCs w:val="22"/>
        </w:rPr>
        <w:t xml:space="preserve">17.2.a Host State Consent: </w:t>
      </w:r>
      <w:r>
        <w:rPr>
          <w:rFonts w:ascii="Times New Roman" w:cs="Times New Roman" w:eastAsia="Times New Roman" w:hAnsi="Times New Roman"/>
          <w:color w:val="000000"/>
          <w:sz w:val="22"/>
          <w:szCs w:val="22"/>
        </w:rPr>
        <w:t xml:space="preserve">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spacing w:after="60" w:before="60" w:line="280" w:lineRule="auto"/>
        <w:jc w:val="both"/>
      </w:pPr>
      <w:r>
        <w:rPr>
          <w:rFonts w:ascii="Times New Roman" w:cs="Times New Roman" w:eastAsia="Times New Roman" w:hAnsi="Times New Roman"/>
          <w:b/>
          <w:bCs/>
          <w:color w:val="1B2A4A"/>
          <w:sz w:val="22"/>
          <w:szCs w:val="22"/>
        </w:rPr>
        <w:t xml:space="preserve">17.2.b What Federal Control Means Within the Footprint: </w:t>
      </w:r>
      <w:r>
        <w:rPr>
          <w:rFonts w:ascii="Times New Roman" w:cs="Times New Roman" w:eastAsia="Times New Roman" w:hAnsi="Times New Roman"/>
          <w:color w:val="000000"/>
          <w:sz w:val="22"/>
          <w:szCs w:val="22"/>
        </w:rPr>
        <w:t xml:space="preserve">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line="280" w:lineRule="auto"/>
        <w:jc w:val="both"/>
      </w:pPr>
      <w:r>
        <w:rPr>
          <w:rFonts w:ascii="Times New Roman" w:cs="Times New Roman" w:eastAsia="Times New Roman" w:hAnsi="Times New Roman"/>
          <w:b/>
          <w:bCs/>
          <w:color w:val="1B2A4A"/>
          <w:sz w:val="22"/>
          <w:szCs w:val="22"/>
        </w:rPr>
        <w:t xml:space="preserve">17.2.c Resident Rights: </w:t>
      </w:r>
      <w:r>
        <w:rPr>
          <w:rFonts w:ascii="Times New Roman" w:cs="Times New Roman" w:eastAsia="Times New Roman" w:hAnsi="Times New Roman"/>
          <w:color w:val="000000"/>
          <w:sz w:val="22"/>
          <w:szCs w:val="22"/>
        </w:rPr>
        <w:t xml:space="preserve">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line="280" w:lineRule="auto"/>
        <w:jc w:val="both"/>
      </w:pPr>
      <w:r>
        <w:rPr>
          <w:rFonts w:ascii="Times New Roman" w:cs="Times New Roman" w:eastAsia="Times New Roman" w:hAnsi="Times New Roman"/>
          <w:b/>
          <w:bCs/>
          <w:color w:val="1B2A4A"/>
          <w:sz w:val="22"/>
          <w:szCs w:val="22"/>
        </w:rPr>
        <w:t xml:space="preserve">17.2.d Reversion on Relocation: </w:t>
      </w:r>
      <w:r>
        <w:rPr>
          <w:rFonts w:ascii="Times New Roman" w:cs="Times New Roman" w:eastAsia="Times New Roman" w:hAnsi="Times New Roman"/>
          <w:color w:val="000000"/>
          <w:sz w:val="22"/>
          <w:szCs w:val="22"/>
        </w:rPr>
        <w:t xml:space="preserve">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line="280" w:lineRule="auto"/>
        <w:jc w:val="both"/>
      </w:pPr>
      <w:r>
        <w:rPr>
          <w:rFonts w:ascii="Times New Roman" w:cs="Times New Roman" w:eastAsia="Times New Roman" w:hAnsi="Times New Roman"/>
          <w:b/>
          <w:bCs/>
          <w:color w:val="1B2A4A"/>
          <w:sz w:val="22"/>
          <w:szCs w:val="22"/>
        </w:rPr>
        <w:t xml:space="preserve">17.2.e Provisional Seat — No Voluntary Host: </w:t>
      </w:r>
      <w:r>
        <w:rPr>
          <w:rFonts w:ascii="Times New Roman" w:cs="Times New Roman" w:eastAsia="Times New Roman" w:hAnsi="Times New Roman"/>
          <w:color w:val="000000"/>
          <w:sz w:val="22"/>
          <w:szCs w:val="22"/>
        </w:rPr>
        <w:t xml:space="preserve">If no State has consented to host the seat of government within 24 months of ratification — or within 24 months of a host State withdrawing consent — 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the Legislature must actively pursue a consenting host throughout any provisional period. the Legislature defines the designation procedure and footprint mechanics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17.3 — Operational Use Rights</w:t>
      </w:r>
    </w:p>
    <w:p>
      <w:pPr>
        <w:spacing w:after="60" w:before="60" w:line="280" w:lineRule="auto"/>
        <w:jc w:val="both"/>
      </w:pPr>
      <w:r>
        <w:rPr>
          <w:rFonts w:ascii="Times New Roman" w:cs="Times New Roman" w:eastAsia="Times New Roman" w:hAnsi="Times New Roman"/>
          <w:color w:val="000000"/>
          <w:sz w:val="22"/>
          <w:szCs w:val="22"/>
        </w:rPr>
        <w:t xml:space="preserve">Military bases, federal courthouses, government office buildings, research facilities, border infrastructure, and all other facilities serving a specific ongoing federal function are held as Operational Use Rights.</w:t>
      </w:r>
    </w:p>
    <w:p>
      <w:pPr>
        <w:spacing w:after="60" w:before="60" w:line="280" w:lineRule="auto"/>
        <w:jc w:val="both"/>
      </w:pPr>
      <w:r>
        <w:rPr>
          <w:rFonts w:ascii="Times New Roman" w:cs="Times New Roman" w:eastAsia="Times New Roman" w:hAnsi="Times New Roman"/>
          <w:b/>
          <w:bCs/>
          <w:color w:val="1B2A4A"/>
          <w:sz w:val="22"/>
          <w:szCs w:val="22"/>
        </w:rPr>
        <w:t xml:space="preserve">17.3.a Registration: </w:t>
      </w:r>
      <w:r>
        <w:rPr>
          <w:rFonts w:ascii="Times New Roman" w:cs="Times New Roman" w:eastAsia="Times New Roman" w:hAnsi="Times New Roman"/>
          <w:color w:val="000000"/>
          <w:sz w:val="22"/>
          <w:szCs w:val="22"/>
        </w:rPr>
        <w:t xml:space="preserve">Every Operational Use Right must be registered on the National Record System with the function described in plain language. An unregistered use right is void. The Executive Inspectorate audits the register annually.</w:t>
      </w:r>
    </w:p>
    <w:p>
      <w:pPr>
        <w:spacing w:after="60" w:before="60" w:line="280" w:lineRule="auto"/>
        <w:jc w:val="both"/>
      </w:pPr>
      <w:r>
        <w:rPr>
          <w:rFonts w:ascii="Times New Roman" w:cs="Times New Roman" w:eastAsia="Times New Roman" w:hAnsi="Times New Roman"/>
          <w:b/>
          <w:bCs/>
          <w:color w:val="1B2A4A"/>
          <w:sz w:val="22"/>
          <w:szCs w:val="22"/>
        </w:rPr>
        <w:t xml:space="preserve">17.3.b Termination and Reversion: </w:t>
      </w:r>
      <w:r>
        <w:rPr>
          <w:rFonts w:ascii="Times New Roman" w:cs="Times New Roman" w:eastAsia="Times New Roman" w:hAnsi="Times New Roman"/>
          <w:color w:val="000000"/>
          <w:sz w:val="22"/>
          <w:szCs w:val="22"/>
        </w:rPr>
        <w:t xml:space="preserve">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17.3.c Improvements — Negotiated Settlement: </w:t>
      </w:r>
      <w:r>
        <w:rPr>
          <w:rFonts w:ascii="Times New Roman" w:cs="Times New Roman" w:eastAsia="Times New Roman" w:hAnsi="Times New Roman"/>
          <w:color w:val="000000"/>
          <w:sz w:val="22"/>
          <w:szCs w:val="22"/>
        </w:rPr>
        <w:t xml:space="preserve">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line="280" w:lineRule="auto"/>
        <w:jc w:val="both"/>
      </w:pPr>
      <w:r>
        <w:rPr>
          <w:rFonts w:ascii="Times New Roman" w:cs="Times New Roman" w:eastAsia="Times New Roman" w:hAnsi="Times New Roman"/>
          <w:b/>
          <w:bCs/>
          <w:color w:val="1B2A4A"/>
          <w:sz w:val="22"/>
          <w:szCs w:val="22"/>
        </w:rPr>
        <w:t xml:space="preserve">17.3.d Disputes: </w:t>
      </w:r>
      <w:r>
        <w:rPr>
          <w:rFonts w:ascii="Times New Roman" w:cs="Times New Roman" w:eastAsia="Times New Roman" w:hAnsi="Times New Roman"/>
          <w:color w:val="000000"/>
          <w:sz w:val="22"/>
          <w:szCs w:val="22"/>
        </w:rPr>
        <w:t xml:space="preserve">Disputes over use right boundaries, termination, or improvement valuation are resolved by the Supreme Court on an expedited track. Neither party may occupy or alter disputed land during the proceeding.</w:t>
      </w:r>
    </w:p>
    <w:p>
      <w:pPr>
        <w:spacing w:after="60" w:before="60" w:line="280" w:lineRule="auto"/>
        <w:jc w:val="both"/>
      </w:pPr>
      <w:r>
        <w:rPr>
          <w:rFonts w:ascii="Times New Roman" w:cs="Times New Roman" w:eastAsia="Times New Roman" w:hAnsi="Times New Roman"/>
          <w:b/>
          <w:bCs/>
          <w:color w:val="1B2A4A"/>
          <w:sz w:val="22"/>
          <w:szCs w:val="22"/>
        </w:rPr>
        <w:t xml:space="preserve">17.3.e Independence Transition: </w:t>
      </w:r>
      <w:r>
        <w:rPr>
          <w:rFonts w:ascii="Times New Roman" w:cs="Times New Roman" w:eastAsia="Times New Roman" w:hAnsi="Times New Roman"/>
          <w:color w:val="000000"/>
          <w:sz w:val="22"/>
          <w:szCs w:val="22"/>
        </w:rPr>
        <w:t xml:space="preserve">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17.4 — The National Trust</w:t>
      </w:r>
    </w:p>
    <w:p>
      <w:pPr>
        <w:spacing w:after="60" w:before="60" w:line="280" w:lineRule="auto"/>
        <w:jc w:val="both"/>
      </w:pPr>
      <w:r>
        <w:rPr>
          <w:rFonts w:ascii="Times New Roman" w:cs="Times New Roman" w:eastAsia="Times New Roman" w:hAnsi="Times New Roman"/>
          <w:color w:val="000000"/>
          <w:sz w:val="22"/>
          <w:szCs w:val="22"/>
        </w:rPr>
        <w:t xml:space="preserve">National Parks, designated wilderness areas, protected coastlines, heritage sites, and ecologically critical lands are held by the federal government as constitutional trustee for all Inhabitants of the Republic, present and future.</w:t>
      </w:r>
    </w:p>
    <w:p>
      <w:pPr>
        <w:spacing w:after="60" w:before="60" w:line="280" w:lineRule="auto"/>
        <w:jc w:val="both"/>
      </w:pPr>
      <w:r>
        <w:rPr>
          <w:rFonts w:ascii="Times New Roman" w:cs="Times New Roman" w:eastAsia="Times New Roman" w:hAnsi="Times New Roman"/>
          <w:b/>
          <w:bCs/>
          <w:color w:val="1B2A4A"/>
          <w:sz w:val="22"/>
          <w:szCs w:val="22"/>
        </w:rPr>
        <w:t xml:space="preserve">17.4.a Trust Nature: </w:t>
      </w:r>
      <w:r>
        <w:rPr>
          <w:rFonts w:ascii="Times New Roman" w:cs="Times New Roman" w:eastAsia="Times New Roman" w:hAnsi="Times New Roman"/>
          <w:color w:val="000000"/>
          <w:sz w:val="22"/>
          <w:szCs w:val="22"/>
        </w:rPr>
        <w:t xml:space="preserve">National Trust lands are held in perpetuity for the public benefit of preservation, ecological integrity, and cultural heritage. The Trust may not be dissolved, privatized, or transferred by statute or executive action alone.</w:t>
      </w:r>
    </w:p>
    <w:p>
      <w:pPr>
        <w:spacing w:after="60" w:before="60" w:line="280" w:lineRule="auto"/>
        <w:jc w:val="both"/>
      </w:pPr>
      <w:r>
        <w:rPr>
          <w:rFonts w:ascii="Times New Roman" w:cs="Times New Roman" w:eastAsia="Times New Roman" w:hAnsi="Times New Roman"/>
          <w:b/>
          <w:bCs/>
          <w:color w:val="1B2A4A"/>
          <w:sz w:val="22"/>
          <w:szCs w:val="22"/>
        </w:rPr>
        <w:t xml:space="preserve">17.4.b Stewardship Obligation: </w:t>
      </w:r>
      <w:r>
        <w:rPr>
          <w:rFonts w:ascii="Times New Roman" w:cs="Times New Roman" w:eastAsia="Times New Roman" w:hAnsi="Times New Roman"/>
          <w:color w:val="000000"/>
          <w:sz w:val="22"/>
          <w:szCs w:val="22"/>
        </w:rPr>
        <w:t xml:space="preserve">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is reported to the National Record System by the relevant Inspectorate and triggers a mandatory remediation plan.</w:t>
      </w:r>
    </w:p>
    <w:p>
      <w:pPr>
        <w:spacing w:after="60" w:before="60" w:line="280" w:lineRule="auto"/>
        <w:jc w:val="both"/>
      </w:pPr>
      <w:r>
        <w:rPr>
          <w:rFonts w:ascii="Times New Roman" w:cs="Times New Roman" w:eastAsia="Times New Roman" w:hAnsi="Times New Roman"/>
          <w:b/>
          <w:bCs/>
          <w:color w:val="1B2A4A"/>
          <w:sz w:val="22"/>
          <w:szCs w:val="22"/>
        </w:rPr>
        <w:t xml:space="preserve">17.4.c Co-Management: </w:t>
      </w:r>
      <w:r>
        <w:rPr>
          <w:rFonts w:ascii="Times New Roman" w:cs="Times New Roman" w:eastAsia="Times New Roman" w:hAnsi="Times New Roman"/>
          <w:color w:val="000000"/>
          <w:sz w:val="22"/>
          <w:szCs w:val="22"/>
        </w:rPr>
        <w:t xml:space="preserve">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17.4.d Reclassification Threshold: </w:t>
      </w:r>
      <w:r>
        <w:rPr>
          <w:rFonts w:ascii="Times New Roman" w:cs="Times New Roman" w:eastAsia="Times New Roman" w:hAnsi="Times New Roman"/>
          <w:color w:val="000000"/>
          <w:sz w:val="22"/>
          <w:szCs w:val="22"/>
        </w:rPr>
        <w:t xml:space="preserve">Removing any land from National Trust status requires a national referendum under Article XI with a 65% affirmative threshold. No executive order or parliamentary act may reclassify National Trust land without this referendum.</w:t>
      </w:r>
    </w:p>
    <w:p>
      <w:pPr>
        <w:spacing w:after="60" w:before="60" w:line="280" w:lineRule="auto"/>
        <w:jc w:val="both"/>
      </w:pPr>
      <w:r>
        <w:rPr>
          <w:rFonts w:ascii="Times New Roman" w:cs="Times New Roman" w:eastAsia="Times New Roman" w:hAnsi="Times New Roman"/>
          <w:b/>
          <w:bCs/>
          <w:color w:val="1B2A4A"/>
          <w:sz w:val="22"/>
          <w:szCs w:val="22"/>
        </w:rPr>
        <w:t xml:space="preserve">17.4.e International Sites: </w:t>
      </w:r>
      <w:r>
        <w:rPr>
          <w:rFonts w:ascii="Times New Roman" w:cs="Times New Roman" w:eastAsia="Times New Roman" w:hAnsi="Times New Roman"/>
          <w:color w:val="000000"/>
          <w:sz w:val="22"/>
          <w:szCs w:val="22"/>
        </w:rPr>
        <w:t xml:space="preserve">National Trust lands recognized under international conservation agreements require a 2/3 Senate vote to withdraw from the relevant international obligation before the national referendum may proceed.</w:t>
      </w:r>
    </w:p>
    <w:p>
      <w:pPr>
        <w:spacing w:after="60" w:before="60" w:line="280" w:lineRule="auto"/>
        <w:jc w:val="both"/>
      </w:pPr>
      <w:r>
        <w:rPr>
          <w:rFonts w:ascii="Times New Roman" w:cs="Times New Roman" w:eastAsia="Times New Roman" w:hAnsi="Times New Roman"/>
          <w:b/>
          <w:bCs/>
          <w:color w:val="1B2A4A"/>
          <w:sz w:val="22"/>
          <w:szCs w:val="22"/>
        </w:rPr>
        <w:t xml:space="preserve">17.4.f Admission of New Trust Lands: </w:t>
      </w:r>
      <w:r>
        <w:rPr>
          <w:rFonts w:ascii="Times New Roman" w:cs="Times New Roman" w:eastAsia="Times New Roman" w:hAnsi="Times New Roman"/>
          <w:color w:val="000000"/>
          <w:sz w:val="22"/>
          <w:szCs w:val="22"/>
        </w:rPr>
        <w:t xml:space="preserve">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line="280" w:lineRule="auto"/>
        <w:jc w:val="both"/>
      </w:pPr>
      <w:r>
        <w:rPr>
          <w:rFonts w:ascii="Times New Roman" w:cs="Times New Roman" w:eastAsia="Times New Roman" w:hAnsi="Times New Roman"/>
          <w:b/>
          <w:bCs/>
          <w:color w:val="1B2A4A"/>
          <w:sz w:val="22"/>
          <w:szCs w:val="22"/>
        </w:rPr>
        <w:t xml:space="preserve">17.4.g National Trust Administrator: </w:t>
      </w:r>
      <w:r>
        <w:rPr>
          <w:rFonts w:ascii="Times New Roman" w:cs="Times New Roman" w:eastAsia="Times New Roman" w:hAnsi="Times New Roman"/>
          <w:color w:val="000000"/>
          <w:sz w:val="22"/>
          <w:szCs w:val="22"/>
        </w:rPr>
        <w:t>The National Trust is administered by a statutory independent officer established by the Legislature under §3.7. The enabling statute shall define the Administrator’s mandate, term of service, qualifications, and removal grounds consistent with the stewardship obligations of §17.4.b and the independence framework of §3.7. The enabling statute may not reduce or qualify the Trust’s stewardship obligations or the Executive Inspectorate’s annual compliance monitoring under §17.4.b.</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17.5 — Federal Property in Territories</w:t>
      </w:r>
    </w:p>
    <w:p>
      <w:pPr>
        <w:spacing w:after="60" w:before="60" w:line="280" w:lineRule="auto"/>
        <w:jc w:val="both"/>
      </w:pPr>
      <w:r>
        <w:rPr>
          <w:rFonts w:ascii="Times New Roman" w:cs="Times New Roman" w:eastAsia="Times New Roman" w:hAnsi="Times New Roman"/>
          <w:color w:val="000000"/>
          <w:sz w:val="22"/>
          <w:szCs w:val="22"/>
        </w:rPr>
        <w:t xml:space="preserve">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XVIII — ELECTORAL FINANCE AND CAMPAIGN INTEGRITY</w:t>
      </w:r>
    </w:p>
    <w:p>
      <w:pPr>
        <w:spacing w:after="60" w:before="60" w:line="280" w:lineRule="auto"/>
        <w:jc w:val="both"/>
      </w:pPr>
      <w:r>
        <w:rPr>
          <w:rFonts w:ascii="Times New Roman" w:cs="Times New Roman" w:eastAsia="Times New Roman" w:hAnsi="Times New Roman"/>
          <w:color w:val="000000"/>
          <w:sz w:val="22"/>
          <w:szCs w:val="22"/>
        </w:rPr>
        <w:t xml:space="preserve">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18.1 — Foundational Principles</w:t>
      </w:r>
    </w:p>
    <w:p>
      <w:pPr>
        <w:spacing w:after="60" w:before="60" w:line="280" w:lineRule="auto"/>
        <w:jc w:val="both"/>
      </w:pPr>
      <w:r>
        <w:rPr>
          <w:rFonts w:ascii="Times New Roman" w:cs="Times New Roman" w:eastAsia="Times New Roman" w:hAnsi="Times New Roman"/>
          <w:b/>
          <w:bCs/>
          <w:color w:val="1B2A4A"/>
          <w:sz w:val="22"/>
          <w:szCs w:val="22"/>
        </w:rPr>
        <w:t xml:space="preserve">18.1.a Financial Contributions as Electoral Acts: </w:t>
      </w:r>
      <w:r>
        <w:rPr>
          <w:rFonts w:ascii="Times New Roman" w:cs="Times New Roman" w:eastAsia="Times New Roman" w:hAnsi="Times New Roman"/>
          <w:color w:val="000000"/>
          <w:sz w:val="22"/>
          <w:szCs w:val="22"/>
        </w:rPr>
        <w:t xml:space="preserve">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§1.7 in the electoral context. The regulation of electoral finance is a matter of democratic integrity that this Constitution explicitly reserves from both speech and associational protection.</w:t>
      </w:r>
    </w:p>
    <w:p>
      <w:pPr>
        <w:spacing w:after="60" w:before="60" w:line="280" w:lineRule="auto"/>
        <w:jc w:val="both"/>
      </w:pPr>
      <w:r>
        <w:rPr>
          <w:rFonts w:ascii="Times New Roman" w:cs="Times New Roman" w:eastAsia="Times New Roman" w:hAnsi="Times New Roman"/>
          <w:b/>
          <w:bCs/>
          <w:color w:val="1B2A4A"/>
          <w:sz w:val="22"/>
          <w:szCs w:val="22"/>
        </w:rPr>
        <w:t xml:space="preserve">18.1.b Natural Persons Only: </w:t>
      </w:r>
      <w:r>
        <w:rPr>
          <w:rFonts w:ascii="Times New Roman" w:cs="Times New Roman" w:eastAsia="Times New Roman" w:hAnsi="Times New Roman"/>
          <w:color w:val="000000"/>
          <w:sz w:val="22"/>
          <w:szCs w:val="22"/>
        </w:rPr>
        <w:t xml:space="preserve">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line="280" w:lineRule="auto"/>
        <w:jc w:val="both"/>
      </w:pPr>
      <w:r>
        <w:rPr>
          <w:rFonts w:ascii="Times New Roman" w:cs="Times New Roman" w:eastAsia="Times New Roman" w:hAnsi="Times New Roman"/>
          <w:b/>
          <w:bCs/>
          <w:color w:val="1B2A4A"/>
          <w:sz w:val="22"/>
          <w:szCs w:val="22"/>
        </w:rPr>
        <w:t xml:space="preserve">18.1.c Voter-Donor Parity: </w:t>
      </w:r>
      <w:r>
        <w:rPr>
          <w:rFonts w:ascii="Times New Roman" w:cs="Times New Roman" w:eastAsia="Times New Roman" w:hAnsi="Times New Roman"/>
          <w:color w:val="000000"/>
          <w:sz w:val="22"/>
          <w:szCs w:val="22"/>
        </w:rPr>
        <w:t xml:space="preserve">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line="280" w:lineRule="auto"/>
        <w:jc w:val="both"/>
      </w:pPr>
      <w:r>
        <w:rPr>
          <w:rFonts w:ascii="Times New Roman" w:cs="Times New Roman" w:eastAsia="Times New Roman" w:hAnsi="Times New Roman"/>
          <w:b/>
          <w:bCs/>
          <w:color w:val="1B2A4A"/>
          <w:sz w:val="22"/>
          <w:szCs w:val="22"/>
        </w:rPr>
        <w:t xml:space="preserve">18.1.d Full Disclosure: </w:t>
      </w:r>
      <w:r>
        <w:rPr>
          <w:rFonts w:ascii="Times New Roman" w:cs="Times New Roman" w:eastAsia="Times New Roman" w:hAnsi="Times New Roman"/>
          <w:color w:val="000000"/>
          <w:sz w:val="22"/>
          <w:szCs w:val="22"/>
        </w:rPr>
        <w:t xml:space="preserve">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18.2 — Public Campaign Funding</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system of public campaign financing for all federal elections meeting these constitutional requirements, within three years of Phase 4 activation. Failure to enact within this period constitutes a constitutional violation for the presiding officer of each chamber; the EC must notify the Supreme Court within 30 days of the deadline. Interim Default: In the absence of a statutory system three years after Phase 4, the Electoral Commission must establish minimum public funding allocations for all federal candidates by published rule, drawing on available appropriated funds, with methodology published to the NRS. This default operates until the Legislature acts but does not satisfy the statutory requirement — the constitutional violation continues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18.2.a Qualification Threshold: </w:t>
      </w:r>
      <w:r>
        <w:rPr>
          <w:rFonts w:ascii="Times New Roman" w:cs="Times New Roman" w:eastAsia="Times New Roman" w:hAnsi="Times New Roman"/>
          <w:color w:val="000000"/>
          <w:sz w:val="22"/>
          <w:szCs w:val="22"/>
        </w:rPr>
        <w:t xml:space="preserve">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line="280" w:lineRule="auto"/>
        <w:jc w:val="both"/>
      </w:pPr>
      <w:r>
        <w:rPr>
          <w:rFonts w:ascii="Times New Roman" w:cs="Times New Roman" w:eastAsia="Times New Roman" w:hAnsi="Times New Roman"/>
          <w:b/>
          <w:bCs/>
          <w:color w:val="1B2A4A"/>
          <w:sz w:val="22"/>
          <w:szCs w:val="22"/>
        </w:rPr>
        <w:t xml:space="preserve">18.2.b Adequate Allocation: </w:t>
      </w:r>
      <w:r>
        <w:rPr>
          <w:rFonts w:ascii="Times New Roman" w:cs="Times New Roman" w:eastAsia="Times New Roman" w:hAnsi="Times New Roman"/>
          <w:color w:val="000000"/>
          <w:sz w:val="22"/>
          <w:szCs w:val="22"/>
        </w:rPr>
        <w:t xml:space="preserve">The public campaign allocation must be sufficient to allow a qualified candidate to conduct a meaningful campaign. the Legislature reviews the adequacy of the allocation after each election cycle and adjusts by statute as needed.</w:t>
      </w:r>
    </w:p>
    <w:p>
      <w:pPr>
        <w:spacing w:after="60" w:before="60" w:line="280" w:lineRule="auto"/>
        <w:jc w:val="both"/>
      </w:pPr>
      <w:r>
        <w:rPr>
          <w:rFonts w:ascii="Times New Roman" w:cs="Times New Roman" w:eastAsia="Times New Roman" w:hAnsi="Times New Roman"/>
          <w:b/>
          <w:bCs/>
          <w:color w:val="1B2A4A"/>
          <w:sz w:val="22"/>
          <w:szCs w:val="22"/>
        </w:rPr>
        <w:t xml:space="preserve">18.2.c Optional Participation: </w:t>
      </w:r>
      <w:r>
        <w:rPr>
          <w:rFonts w:ascii="Times New Roman" w:cs="Times New Roman" w:eastAsia="Times New Roman" w:hAnsi="Times New Roman"/>
          <w:color w:val="000000"/>
          <w:sz w:val="22"/>
          <w:szCs w:val="22"/>
        </w:rPr>
        <w:t xml:space="preserve">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line="280" w:lineRule="auto"/>
        <w:jc w:val="both"/>
      </w:pPr>
      <w:r>
        <w:rPr>
          <w:rFonts w:ascii="Times New Roman" w:cs="Times New Roman" w:eastAsia="Times New Roman" w:hAnsi="Times New Roman"/>
          <w:b/>
          <w:bCs/>
          <w:color w:val="1B2A4A"/>
          <w:sz w:val="22"/>
          <w:szCs w:val="22"/>
        </w:rPr>
        <w:t xml:space="preserve">18.2.d EC Administration: </w:t>
      </w:r>
      <w:r>
        <w:rPr>
          <w:rFonts w:ascii="Times New Roman" w:cs="Times New Roman" w:eastAsia="Times New Roman" w:hAnsi="Times New Roman"/>
          <w:color w:val="000000"/>
          <w:sz w:val="22"/>
          <w:szCs w:val="22"/>
        </w:rPr>
        <w:t xml:space="preserve">The Electoral Commission administers the public funding system and is responsible for verifying candidate qualification, distributing allocated funds, and auditing compliance. All distributions and compliance findings are published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18.3 — The Campaign Finance Registry</w:t>
      </w:r>
    </w:p>
    <w:p>
      <w:pPr>
        <w:spacing w:after="60" w:before="60" w:line="280" w:lineRule="auto"/>
        <w:jc w:val="both"/>
      </w:pPr>
      <w:r>
        <w:rPr>
          <w:rFonts w:ascii="Times New Roman" w:cs="Times New Roman" w:eastAsia="Times New Roman" w:hAnsi="Times New Roman"/>
          <w:color w:val="000000"/>
          <w:sz w:val="22"/>
          <w:szCs w:val="22"/>
        </w:rPr>
        <w:t xml:space="preserve">A Campaign Finance Registry — a constitutionally mandated public record — is established as a system distinct from the National Voting System. The Registry records all electoral financial transactions above the de minimis threshold.</w:t>
      </w:r>
    </w:p>
    <w:p>
      <w:pPr>
        <w:spacing w:after="60" w:before="60" w:line="280" w:lineRule="auto"/>
        <w:jc w:val="both"/>
      </w:pPr>
      <w:r>
        <w:rPr>
          <w:rFonts w:ascii="Times New Roman" w:cs="Times New Roman" w:eastAsia="Times New Roman" w:hAnsi="Times New Roman"/>
          <w:b/>
          <w:bCs/>
          <w:color w:val="1B2A4A"/>
          <w:sz w:val="22"/>
          <w:szCs w:val="22"/>
        </w:rPr>
        <w:t xml:space="preserve">18.3.a Separation from the Voting System: </w:t>
      </w:r>
      <w:r>
        <w:rPr>
          <w:rFonts w:ascii="Times New Roman" w:cs="Times New Roman" w:eastAsia="Times New Roman" w:hAnsi="Times New Roman"/>
          <w:color w:val="000000"/>
          <w:sz w:val="22"/>
          <w:szCs w:val="22"/>
        </w:rPr>
        <w:t xml:space="preserve">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is reported to the National Record System by the relevant Inspectorate.</w:t>
      </w:r>
    </w:p>
    <w:p>
      <w:pPr>
        <w:spacing w:after="60" w:before="60" w:line="280" w:lineRule="auto"/>
        <w:jc w:val="both"/>
      </w:pPr>
      <w:r>
        <w:rPr>
          <w:rFonts w:ascii="Times New Roman" w:cs="Times New Roman" w:eastAsia="Times New Roman" w:hAnsi="Times New Roman"/>
          <w:b/>
          <w:bCs/>
          <w:color w:val="1B2A4A"/>
          <w:sz w:val="22"/>
          <w:szCs w:val="22"/>
        </w:rPr>
        <w:t xml:space="preserve">18.3.b Registry Contents: </w:t>
      </w:r>
      <w:r>
        <w:rPr>
          <w:rFonts w:ascii="Times New Roman" w:cs="Times New Roman" w:eastAsia="Times New Roman" w:hAnsi="Times New Roman"/>
          <w:color w:val="000000"/>
          <w:sz w:val="22"/>
          <w:szCs w:val="22"/>
        </w:rPr>
        <w:t xml:space="preserve">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line="280" w:lineRule="auto"/>
        <w:jc w:val="both"/>
      </w:pPr>
      <w:r>
        <w:rPr>
          <w:rFonts w:ascii="Times New Roman" w:cs="Times New Roman" w:eastAsia="Times New Roman" w:hAnsi="Times New Roman"/>
          <w:b/>
          <w:bCs/>
          <w:color w:val="1B2A4A"/>
          <w:sz w:val="22"/>
          <w:szCs w:val="22"/>
        </w:rPr>
        <w:t xml:space="preserve">18.3.c Aggregate Attribution: </w:t>
      </w:r>
      <w:r>
        <w:rPr>
          <w:rFonts w:ascii="Times New Roman" w:cs="Times New Roman" w:eastAsia="Times New Roman" w:hAnsi="Times New Roman"/>
          <w:color w:val="000000"/>
          <w:sz w:val="22"/>
          <w:szCs w:val="22"/>
        </w:rPr>
        <w:t xml:space="preserve">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line="280" w:lineRule="auto"/>
        <w:jc w:val="both"/>
      </w:pPr>
      <w:r>
        <w:rPr>
          <w:rFonts w:ascii="Times New Roman" w:cs="Times New Roman" w:eastAsia="Times New Roman" w:hAnsi="Times New Roman"/>
          <w:b/>
          <w:bCs/>
          <w:color w:val="1B2A4A"/>
          <w:sz w:val="22"/>
          <w:szCs w:val="22"/>
        </w:rPr>
        <w:t xml:space="preserve">18.3.d Administration: </w:t>
      </w:r>
      <w:r>
        <w:rPr>
          <w:rFonts w:ascii="Times New Roman" w:cs="Times New Roman" w:eastAsia="Times New Roman" w:hAnsi="Times New Roman"/>
          <w:color w:val="000000"/>
          <w:sz w:val="22"/>
          <w:szCs w:val="22"/>
        </w:rPr>
        <w:t xml:space="preserve">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XIX — RATIFICATION AND TRANSITION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19.1 — The Activation Threshold</w:t>
      </w:r>
    </w:p>
    <w:p>
      <w:pPr>
        <w:spacing w:after="60" w:before="60" w:line="280" w:lineRule="auto"/>
        <w:jc w:val="both"/>
      </w:pPr>
      <w:r>
        <w:rPr>
          <w:rFonts w:ascii="Times New Roman" w:cs="Times New Roman" w:eastAsia="Times New Roman" w:hAnsi="Times New Roman"/>
          <w:b/>
          <w:bCs/>
          <w:color w:val="1B2A4A"/>
          <w:sz w:val="22"/>
          <w:szCs w:val="22"/>
        </w:rPr>
        <w:t xml:space="preserve">19.1.a Activation Threshold: </w:t>
      </w:r>
      <w:r>
        <w:rPr>
          <w:rFonts w:ascii="Times New Roman" w:cs="Times New Roman" w:eastAsia="Times New Roman" w:hAnsi="Times New Roman"/>
          <w:color w:val="000000"/>
          <w:sz w:val="22"/>
          <w:szCs w:val="22"/>
        </w:rPr>
        <w:t xml:space="preserve">This Constitution is activated upon: (1) certification by the interim Electoral Commission that the National Voting System is operational and meets the properties of §16.3; and (2) a national ratification vote conducted through the National Voting System achieving 60% affirmative support with at least 50% participation.</w:t>
      </w:r>
    </w:p>
    <w:p>
      <w:pPr>
        <w:spacing w:after="60" w:before="60" w:line="280" w:lineRule="auto"/>
        <w:jc w:val="both"/>
      </w:pPr>
      <w:r>
        <w:rPr>
          <w:rFonts w:ascii="Times New Roman" w:cs="Times New Roman" w:eastAsia="Times New Roman" w:hAnsi="Times New Roman"/>
          <w:b/>
          <w:bCs/>
          <w:color w:val="1B2A4A"/>
          <w:sz w:val="22"/>
          <w:szCs w:val="22"/>
        </w:rPr>
        <w:t xml:space="preserve">19.1.b Institutional Accommodation: </w:t>
      </w:r>
      <w:r>
        <w:rPr>
          <w:rFonts w:ascii="Times New Roman" w:cs="Times New Roman" w:eastAsia="Times New Roman" w:hAnsi="Times New Roman"/>
          <w:color w:val="000000"/>
          <w:sz w:val="22"/>
          <w:szCs w:val="22"/>
        </w:rPr>
        <w:t xml:space="preserve">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w:t>
      </w:r>
    </w:p>
    <w:p>
      <w:pPr>
        <w:spacing w:after="60" w:before="60" w:line="280" w:lineRule="auto"/>
        <w:jc w:val="both"/>
      </w:pPr>
      <w:r>
        <w:rPr>
          <w:rFonts w:ascii="Times New Roman" w:cs="Times New Roman" w:eastAsia="Times New Roman" w:hAnsi="Times New Roman"/>
          <w:b/>
          <w:bCs/>
          <w:color w:val="1B2A4A"/>
          <w:sz w:val="22"/>
          <w:szCs w:val="22"/>
        </w:rPr>
        <w:t xml:space="preserve">19.1.c Multi-Founder Formation: </w:t>
      </w:r>
      <w:r>
        <w:rPr>
          <w:rFonts w:ascii="Times New Roman" w:cs="Times New Roman" w:eastAsia="Times New Roman" w:hAnsi="Times New Roman"/>
          <w:color w:val="000000"/>
          <w:sz w:val="22"/>
          <w:szCs w:val="22"/>
        </w:rPr>
        <w:t xml:space="preserve">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19.2 — Day Zero</w:t>
      </w:r>
    </w:p>
    <w:p>
      <w:pPr>
        <w:spacing w:after="60" w:before="60" w:line="280" w:lineRule="auto"/>
        <w:jc w:val="both"/>
      </w:pPr>
      <w:r>
        <w:rPr>
          <w:rFonts w:ascii="Times New Roman" w:cs="Times New Roman" w:eastAsia="Times New Roman" w:hAnsi="Times New Roman"/>
          <w:color w:val="000000"/>
          <w:sz w:val="22"/>
          <w:szCs w:val="22"/>
        </w:rPr>
        <w:t xml:space="preserve">Day Zero is the date on which the ratification threshold of §19.1 is certified as achieved by the interim Electoral Commission. Upon ratification, all laws, orders, and regulations conflicting with the Individual Sovereignty Floor are immediately null and void. All public assets are transferred to the National Record System. The 24-month Transition Window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19.3 — The Four-Phase Transition</w:t>
      </w:r>
    </w:p>
    <w:p>
      <w:pPr>
        <w:spacing w:after="60" w:before="60" w:line="280" w:lineRule="auto"/>
        <w:jc w:val="both"/>
      </w:pPr>
      <w:r>
        <w:rPr>
          <w:rFonts w:ascii="Times New Roman" w:cs="Times New Roman" w:eastAsia="Times New Roman" w:hAnsi="Times New Roman"/>
          <w:color w:val="000000"/>
          <w:sz w:val="22"/>
          <w:szCs w:val="22"/>
        </w:rPr>
        <w:t xml:space="preserve">The transition is structured as a 24-month, four-phase process to prevent systemic shock and provide adequate time for institutional construction.</w:t>
      </w:r>
    </w:p>
    <w:p>
      <w:pPr>
        <w:spacing w:after="60" w:before="60" w:line="280" w:lineRule="auto"/>
        <w:jc w:val="both"/>
      </w:pPr>
      <w:r>
        <w:rPr>
          <w:rFonts w:ascii="Times New Roman" w:cs="Times New Roman" w:eastAsia="Times New Roman" w:hAnsi="Times New Roman"/>
          <w:b/>
          <w:bCs/>
          <w:color w:val="1B2A4A"/>
          <w:sz w:val="22"/>
          <w:szCs w:val="22"/>
        </w:rPr>
        <w:t xml:space="preserve">19.3.a Phase 0 — Pre-Ratification Preparation: </w:t>
      </w:r>
      <w:r>
        <w:rPr>
          <w:rFonts w:ascii="Times New Roman" w:cs="Times New Roman" w:eastAsia="Times New Roman" w:hAnsi="Times New Roman"/>
          <w:color w:val="000000"/>
          <w:sz w:val="22"/>
          <w:szCs w:val="22"/>
        </w:rPr>
        <w:t xml:space="preserve">The period before the ratification vote during which the interim Electoral Commission is constituted, the National Voting System is certified operational, and the joint Inspectorate panel is formed. Phase 0 ends upon Day Zero.</w:t>
      </w:r>
    </w:p>
    <w:p>
      <w:pPr>
        <w:spacing w:after="60" w:before="60" w:line="280" w:lineRule="auto"/>
        <w:jc w:val="both"/>
      </w:pPr>
      <w:r>
        <w:rPr>
          <w:rFonts w:ascii="Times New Roman" w:cs="Times New Roman" w:eastAsia="Times New Roman" w:hAnsi="Times New Roman"/>
          <w:b/>
          <w:bCs/>
          <w:color w:val="1B2A4A"/>
          <w:sz w:val="22"/>
          <w:szCs w:val="22"/>
        </w:rPr>
        <w:t xml:space="preserve">19.3.b Phase 1 — Emergency Stabilisation (Days 1–90): </w:t>
      </w:r>
      <w:r>
        <w:rPr>
          <w:rFonts w:ascii="Times New Roman" w:cs="Times New Roman" w:eastAsia="Times New Roman" w:hAnsi="Times New Roman"/>
          <w:color w:val="000000"/>
          <w:sz w:val="22"/>
          <w:szCs w:val="22"/>
        </w:rPr>
        <w:t xml:space="preserve">Existing government officials serve as caretakers under §19.4. The Basic Needs Floor activates at the constitutional minimum. No new permanent legislation may be passed. Phase 1 ends at Day 90.</w:t>
      </w:r>
    </w:p>
    <w:p>
      <w:pPr>
        <w:spacing w:after="60" w:before="60" w:line="280" w:lineRule="auto"/>
        <w:jc w:val="both"/>
      </w:pPr>
      <w:r>
        <w:rPr>
          <w:rFonts w:ascii="Times New Roman" w:cs="Times New Roman" w:eastAsia="Times New Roman" w:hAnsi="Times New Roman"/>
          <w:b/>
          <w:bCs/>
          <w:color w:val="1B2A4A"/>
          <w:sz w:val="22"/>
          <w:szCs w:val="22"/>
        </w:rPr>
        <w:t xml:space="preserve">19.3.c Phase 2 — Institutional Construction (Days 91–270): </w:t>
      </w:r>
      <w:r>
        <w:rPr>
          <w:rFonts w:ascii="Times New Roman" w:cs="Times New Roman" w:eastAsia="Times New Roman" w:hAnsi="Times New Roman"/>
          <w:color w:val="000000"/>
          <w:sz w:val="22"/>
          <w:szCs w:val="22"/>
        </w:rPr>
        <w:t xml:space="preserve">Statehood Audits are conducted for all entering territories. The Candidate Register for the RSA Director and for Monetary Authority board members is assembled under §19.8. The first MA Director election is scheduled for Phase 3 as a national election alongside other federal offices. The National Voting System is fully deployed for citizen registration. Phase 2 ends at Day 270.</w:t>
      </w:r>
    </w:p>
    <w:p>
      <w:pPr>
        <w:spacing w:after="60" w:before="60" w:line="280" w:lineRule="auto"/>
        <w:jc w:val="both"/>
      </w:pPr>
      <w:r>
        <w:rPr>
          <w:rFonts w:ascii="Times New Roman" w:cs="Times New Roman" w:eastAsia="Times New Roman" w:hAnsi="Times New Roman"/>
          <w:b/>
          <w:bCs/>
          <w:color w:val="1B2A4A"/>
          <w:sz w:val="22"/>
          <w:szCs w:val="22"/>
        </w:rPr>
        <w:t xml:space="preserve">19.3.d Phase 3 — First Elections (Days 271–450): </w:t>
      </w:r>
      <w:r>
        <w:rPr>
          <w:rFonts w:ascii="Times New Roman" w:cs="Times New Roman" w:eastAsia="Times New Roman" w:hAnsi="Times New Roman"/>
          <w:color w:val="000000"/>
          <w:sz w:val="22"/>
          <w:szCs w:val="22"/>
        </w:rPr>
        <w:t xml:space="preserve">The first National Election Day is held. Supreme Court justices are elected simultaneously through the open-candidacy judicial election process. The Electoral Commission holds its inaugural elections. Phase 3 ends when the first Legislature is sworn in and the first President and Prime Minister take office.</w:t>
      </w:r>
    </w:p>
    <w:p>
      <w:pPr>
        <w:spacing w:after="60" w:before="60" w:line="280" w:lineRule="auto"/>
        <w:jc w:val="both"/>
      </w:pPr>
      <w:r>
        <w:rPr>
          <w:rFonts w:ascii="Times New Roman" w:cs="Times New Roman" w:eastAsia="Times New Roman" w:hAnsi="Times New Roman"/>
          <w:b/>
          <w:bCs/>
          <w:color w:val="1B2A4A"/>
          <w:sz w:val="22"/>
          <w:szCs w:val="22"/>
        </w:rPr>
        <w:t xml:space="preserve">19.3.e Phase 4 — Full Constitutional Operation: </w:t>
      </w:r>
      <w:r>
        <w:rPr>
          <w:rFonts w:ascii="Times New Roman" w:cs="Times New Roman" w:eastAsia="Times New Roman" w:hAnsi="Times New Roman"/>
          <w:color w:val="000000"/>
          <w:sz w:val="22"/>
          <w:szCs w:val="22"/>
        </w:rPr>
        <w:t xml:space="preserve">The Republic enters full constitutional operation from the date the first Legislature convenes and the first executives take the oath of office. All constitutional provisions are fully operative from Phase 4 activation. The 24-month Transition Window concludes at the end of Phase 4.</w:t>
      </w:r>
    </w:p>
    <w:p>
      <w:pPr>
        <w:spacing w:after="60" w:before="60" w:line="280" w:lineRule="auto"/>
        <w:jc w:val="both"/>
      </w:pPr>
      <w:r>
        <w:rPr>
          <w:rFonts w:ascii="Times New Roman" w:cs="Times New Roman" w:eastAsia="Times New Roman" w:hAnsi="Times New Roman"/>
          <w:b/>
          <w:bCs/>
          <w:color w:val="1B2A4A"/>
          <w:sz w:val="22"/>
          <w:szCs w:val="22"/>
        </w:rPr>
        <w:t xml:space="preserve">19.3.f Provisional NRS and Node Authority During Transition: </w:t>
      </w:r>
      <w:r>
        <w:rPr>
          <w:rFonts w:ascii="Times New Roman" w:cs="Times New Roman" w:eastAsia="Times New Roman" w:hAnsi="Times New Roman"/>
          <w:color w:val="000000"/>
          <w:sz w:val="22"/>
          <w:szCs w:val="22"/>
        </w:rPr>
        <w:t xml:space="preserve">During Phases 1 through 3, the joint Inspectorate panel may certify a provisional NRS arrangement — including internationally hosted nodes and provisionally chartered domestic node operators — as constitutionally valid for recording purposes pending achievement of full §9.1.b node independence. Orders and entries recorded to a panel-certified provisional NRS during this period have full constitutional validity. The joint Inspectorate panel is authorized to charter provisional NRS node operators during the Transition Window without prior Legislature action under §9.2. Nodes chartered by the panel hold provisional constitutional status; the Legislature must ratify or replace the panel's provisional charters within the first budget cycle following Phase 4 activation. Where no provisional NRS is certified and no Legislature-chartered network yet exists, the joint Inspectorate panel designates the most technically capable available system consistent with §9.1 as the transitional record system, and orders recorded to it hold full constitutional validity during the Transition Window.</w:t>
      </w:r>
    </w:p>
    <w:p>
      <w:pPr>
        <w:spacing w:after="60" w:before="60" w:line="280" w:lineRule="auto"/>
        <w:jc w:val="both"/>
      </w:pPr>
      <w:r>
        <w:rPr>
          <w:rFonts w:ascii="Times New Roman" w:cs="Times New Roman" w:eastAsia="Times New Roman" w:hAnsi="Times New Roman"/>
          <w:b/>
          <w:bCs/>
          <w:color w:val="1B2A4A"/>
          <w:sz w:val="22"/>
          <w:szCs w:val="22"/>
        </w:rPr>
        <w:t xml:space="preserve">19.3.g Phase Extension Mechanism: </w:t>
      </w:r>
      <w:r>
        <w:rPr>
          <w:rFonts w:ascii="Times New Roman" w:cs="Times New Roman" w:eastAsia="Times New Roman" w:hAnsi="Times New Roman"/>
          <w:color w:val="000000"/>
          <w:sz w:val="22"/>
          <w:szCs w:val="22"/>
        </w:rPr>
        <w:t xml:space="preserve">Where circumstances prevent a phase from completing within its scheduled window — including security situations, infrastructure failures, natural disasters, or institutional resistance that cannot be resolved within the standard timeline — the joint Inspectorate panel may certify a phase extension of up to 90 days. The certification requires: unanimous agreement of the full joint panel; a published statement of the specific circumstances requiring extension and the measures being taken to resolve them; and publication to the National Record System within 24 hours of the certification decision. A single 90-day extension may be certified by the panel without further approval. A second extension — beyond the first 90 days — requires approval by a 2/3 majority of the caretaker legislature convened in joint session. The caretaker legislature must convene within 14 days of the panel requesting a second extension; failure to convene within 14 days is deemed approval of the extension. Total extensions across all phases combined may not exceed 180 days. During any extension period, all existing caretaker provisions remain fully operative — no constitutional authority lapses because a phase has exceeded its scheduled window. The extension mechanism is not a pathway to indefinite caretaker government; it is a bridge over specific obstacles toward Phase 4 activation. The joint Inspectorate panel publishes a monthly progress report to the National Record System during any extension period documenting the obstacle, the resolution efforts, and the revised expected completion date.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19.4 — Caretaker Status</w:t>
      </w:r>
    </w:p>
    <w:p>
      <w:pPr>
        <w:spacing w:after="60" w:before="60" w:line="280" w:lineRule="auto"/>
        <w:jc w:val="both"/>
      </w:pPr>
      <w:r>
        <w:rPr>
          <w:rFonts w:ascii="Times New Roman" w:cs="Times New Roman" w:eastAsia="Times New Roman" w:hAnsi="Times New Roman"/>
          <w:color w:val="000000"/>
          <w:sz w:val="22"/>
          <w:szCs w:val="22"/>
        </w:rPr>
        <w:t xml:space="preserve">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19.5 — Pre-Constitutional Classified Documents</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Classification Review Commission within 90 days of Phase 4 activation to review predecessor-government classified documents. The Commission applies the criteria of §9.5 to determine whether pre-existing classified material was legitimately classified for genuine security reasons or improperly classified to conceal constitutional violations or policy decisions. Legitimately classified documents enter the §9.5 duration framework from Day Zero. Improperly classified documents are immediately declassified and published to the National Record System. Any person may petition the Supreme Court to challenge a Commission determination.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19.6 — Pre-Existing Obligations</w:t>
      </w:r>
    </w:p>
    <w:p>
      <w:pPr>
        <w:spacing w:after="60" w:before="60" w:line="280" w:lineRule="auto"/>
        <w:jc w:val="both"/>
      </w:pPr>
      <w:r>
        <w:rPr>
          <w:rFonts w:ascii="Times New Roman" w:cs="Times New Roman" w:eastAsia="Times New Roman" w:hAnsi="Times New Roman"/>
          <w:b/>
          <w:bCs/>
          <w:color w:val="1B2A4A"/>
          <w:sz w:val="22"/>
          <w:szCs w:val="22"/>
        </w:rPr>
        <w:t xml:space="preserve">19.6.a Debt Assumption: </w:t>
      </w:r>
      <w:r>
        <w:rPr>
          <w:rFonts w:ascii="Times New Roman" w:cs="Times New Roman" w:eastAsia="Times New Roman" w:hAnsi="Times New Roman"/>
          <w:color w:val="000000"/>
          <w:sz w:val="22"/>
          <w:szCs w:val="22"/>
        </w:rPr>
        <w:t xml:space="preserve">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line="280" w:lineRule="auto"/>
        <w:jc w:val="both"/>
      </w:pPr>
      <w:r>
        <w:rPr>
          <w:rFonts w:ascii="Times New Roman" w:cs="Times New Roman" w:eastAsia="Times New Roman" w:hAnsi="Times New Roman"/>
          <w:b/>
          <w:bCs/>
          <w:color w:val="1B2A4A"/>
          <w:sz w:val="22"/>
          <w:szCs w:val="22"/>
        </w:rPr>
        <w:t xml:space="preserve">19.6.b Active Military Operations: </w:t>
      </w:r>
      <w:r>
        <w:rPr>
          <w:rFonts w:ascii="Times New Roman" w:cs="Times New Roman" w:eastAsia="Times New Roman" w:hAnsi="Times New Roman"/>
          <w:color w:val="000000"/>
          <w:sz w:val="22"/>
          <w:szCs w:val="22"/>
        </w:rPr>
        <w:t xml:space="preserve">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19.6.c Social Insurance Programs: </w:t>
      </w:r>
      <w:r>
        <w:rPr>
          <w:rFonts w:ascii="Times New Roman" w:cs="Times New Roman" w:eastAsia="Times New Roman" w:hAnsi="Times New Roman"/>
          <w:color w:val="000000"/>
          <w:sz w:val="22"/>
          <w:szCs w:val="22"/>
        </w:rPr>
        <w:t xml:space="preserve">Existing social insurance programs of the prior government — including retirement, disability, healthcare, and unemployment programs — 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19.6.d Veterans and National Service Obligations: </w:t>
      </w:r>
      <w:r>
        <w:rPr>
          <w:rFonts w:ascii="Times New Roman" w:cs="Times New Roman" w:eastAsia="Times New Roman" w:hAnsi="Times New Roman"/>
          <w:color w:val="000000"/>
          <w:sz w:val="22"/>
          <w:szCs w:val="22"/>
        </w:rPr>
        <w:t xml:space="preserve">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line="280" w:lineRule="auto"/>
        <w:jc w:val="both"/>
      </w:pPr>
      <w:r>
        <w:rPr>
          <w:rFonts w:ascii="Times New Roman" w:cs="Times New Roman" w:eastAsia="Times New Roman" w:hAnsi="Times New Roman"/>
          <w:b/>
          <w:bCs/>
          <w:color w:val="1B2A4A"/>
          <w:sz w:val="22"/>
          <w:szCs w:val="22"/>
        </w:rPr>
        <w:t xml:space="preserve">19.6.e Constitutional Claims Court: </w:t>
      </w:r>
      <w:r>
        <w:rPr>
          <w:rFonts w:ascii="Times New Roman" w:cs="Times New Roman" w:eastAsia="Times New Roman" w:hAnsi="Times New Roman"/>
          <w:color w:val="000000"/>
          <w:sz w:val="22"/>
          <w:szCs w:val="22"/>
        </w:rPr>
        <w:t xml:space="preserve">The immediate nullification of laws conflicting with the Individual Sovereignty Floor under §19.2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spacing w:after="60" w:before="60" w:line="280" w:lineRule="auto"/>
        <w:jc w:val="both"/>
      </w:pPr>
      <w:r>
        <w:rPr>
          <w:rFonts w:ascii="Times New Roman" w:cs="Times New Roman" w:eastAsia="Times New Roman" w:hAnsi="Times New Roman"/>
          <w:b/>
          <w:bCs/>
          <w:color w:val="1B2A4A"/>
          <w:sz w:val="22"/>
          <w:szCs w:val="22"/>
        </w:rPr>
        <w:t xml:space="preserve">19.6.f Legal Continuity: </w:t>
      </w:r>
      <w:r>
        <w:rPr>
          <w:rFonts w:ascii="Times New Roman" w:cs="Times New Roman" w:eastAsia="Times New Roman" w:hAnsi="Times New Roman"/>
          <w:color w:val="000000"/>
          <w:sz w:val="22"/>
          <w:szCs w:val="22"/>
        </w:rPr>
        <w:t xml:space="preserve">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19.7 — Transition-Period Territorial and Subdivision Elections</w:t>
      </w:r>
    </w:p>
    <w:p>
      <w:pPr>
        <w:spacing w:after="60" w:before="60" w:line="280" w:lineRule="auto"/>
        <w:jc w:val="both"/>
      </w:pPr>
      <w:r>
        <w:rPr>
          <w:rFonts w:ascii="Times New Roman" w:cs="Times New Roman" w:eastAsia="Times New Roman" w:hAnsi="Times New Roman"/>
          <w:color w:val="000000"/>
          <w:sz w:val="22"/>
          <w:szCs w:val="22"/>
        </w:rPr>
        <w:t xml:space="preserve">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24-month Transition Window. This section governs all three.</w:t>
      </w:r>
    </w:p>
    <w:p>
      <w:pPr>
        <w:spacing w:after="60" w:before="60" w:line="280" w:lineRule="auto"/>
        <w:jc w:val="both"/>
      </w:pPr>
      <w:r>
        <w:rPr>
          <w:rFonts w:ascii="Times New Roman" w:cs="Times New Roman" w:eastAsia="Times New Roman" w:hAnsi="Times New Roman"/>
          <w:b/>
          <w:bCs/>
          <w:color w:val="1B2A4A"/>
          <w:sz w:val="22"/>
          <w:szCs w:val="22"/>
        </w:rPr>
        <w:t xml:space="preserve">19.7.a Transition-Period Territorial Elections: </w:t>
      </w:r>
      <w:r>
        <w:rPr>
          <w:rFonts w:ascii="Times New Roman" w:cs="Times New Roman" w:eastAsia="Times New Roman" w:hAnsi="Times New Roman"/>
          <w:color w:val="000000"/>
          <w:sz w:val="22"/>
          <w:szCs w:val="22"/>
        </w:rPr>
        <w:t xml:space="preserve">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spacing w:after="60" w:before="60" w:line="280" w:lineRule="auto"/>
        <w:jc w:val="both"/>
      </w:pPr>
      <w:r>
        <w:rPr>
          <w:rFonts w:ascii="Times New Roman" w:cs="Times New Roman" w:eastAsia="Times New Roman" w:hAnsi="Times New Roman"/>
          <w:b/>
          <w:bCs/>
          <w:color w:val="1B2A4A"/>
          <w:sz w:val="22"/>
          <w:szCs w:val="22"/>
        </w:rPr>
        <w:t xml:space="preserve">19.7.b Subdivision Elections: </w:t>
      </w:r>
      <w:r>
        <w:rPr>
          <w:rFonts w:ascii="Times New Roman" w:cs="Times New Roman" w:eastAsia="Times New Roman" w:hAnsi="Times New Roman"/>
          <w:color w:val="000000"/>
          <w:sz w:val="22"/>
          <w:szCs w:val="22"/>
        </w:rPr>
        <w:t xml:space="preserve">Territories or states of the prior government may voluntarily subdivide during the Transition Window by vote of their existing legislative body. New subdivisions are treated as separate petitioning entities for purposes of §19.7.a. the Legislature must by statute establish the process for recognizing subdivisions during the Transition Window, including minimum population thresholds and geographic criteria consistent with §3.4.</w:t>
      </w:r>
    </w:p>
    <w:p>
      <w:pPr>
        <w:spacing w:after="60" w:before="60" w:line="280" w:lineRule="auto"/>
        <w:jc w:val="both"/>
      </w:pPr>
      <w:r>
        <w:rPr>
          <w:rFonts w:ascii="Times New Roman" w:cs="Times New Roman" w:eastAsia="Times New Roman" w:hAnsi="Times New Roman"/>
          <w:b/>
          <w:bCs/>
          <w:color w:val="1B2A4A"/>
          <w:sz w:val="22"/>
          <w:szCs w:val="22"/>
        </w:rPr>
        <w:t xml:space="preserve">19.7.c Phase 2 Statehood Audit Failures: </w:t>
      </w:r>
      <w:r>
        <w:rPr>
          <w:rFonts w:ascii="Times New Roman" w:cs="Times New Roman" w:eastAsia="Times New Roman" w:hAnsi="Times New Roman"/>
          <w:color w:val="000000"/>
          <w:sz w:val="22"/>
          <w:szCs w:val="22"/>
        </w:rPr>
        <w:t xml:space="preserve">Where a state fails the Phase 2 Statehood Audit, it enters as a Territory under §13.1 rather than a State. Its population retains all Article I rights. It may begin the §13.2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line="280" w:lineRule="auto"/>
        <w:jc w:val="both"/>
      </w:pPr>
      <w:r>
        <w:rPr>
          <w:rFonts w:ascii="Times New Roman" w:cs="Times New Roman" w:eastAsia="Times New Roman" w:hAnsi="Times New Roman"/>
          <w:b/>
          <w:bCs/>
          <w:color w:val="1B2A4A"/>
          <w:sz w:val="22"/>
          <w:szCs w:val="22"/>
        </w:rPr>
        <w:t xml:space="preserve">19.7.d Pre-Existing Territories and the District: </w:t>
      </w:r>
      <w:r>
        <w:rPr>
          <w:rFonts w:ascii="Times New Roman" w:cs="Times New Roman" w:eastAsia="Times New Roman" w:hAnsi="Times New Roman"/>
          <w:color w:val="000000"/>
          <w:sz w:val="22"/>
          <w:szCs w:val="22"/>
        </w:rPr>
        <w:t xml:space="preserve">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19.8 — Transition Candidate Registers</w:t>
      </w:r>
    </w:p>
    <w:p>
      <w:pPr>
        <w:spacing w:after="60" w:before="60" w:line="280" w:lineRule="auto"/>
        <w:jc w:val="both"/>
      </w:pPr>
      <w:r>
        <w:rPr>
          <w:rFonts w:ascii="Times New Roman" w:cs="Times New Roman" w:eastAsia="Times New Roman" w:hAnsi="Times New Roman"/>
          <w:b/>
          <w:bCs/>
          <w:color w:val="1B2A4A"/>
          <w:sz w:val="22"/>
          <w:szCs w:val="22"/>
        </w:rPr>
        <w:t xml:space="preserve">19.8.a Initial Register Assembly: </w:t>
      </w:r>
      <w:r>
        <w:rPr>
          <w:rFonts w:ascii="Times New Roman" w:cs="Times New Roman" w:eastAsia="Times New Roman" w:hAnsi="Times New Roman"/>
          <w:color w:val="000000"/>
          <w:sz w:val="22"/>
          <w:szCs w:val="22"/>
        </w:rPr>
        <w:t xml:space="preserve">During Phase 2, the joint Inspectorate panel assembles an initial Candidate Register for the Monetary Authority board members and the Record System Authority Director. No Candidate Register is required for the Monetary Authority Director, who is elected by national Ranked Choice Voting under §10.4.a. the Legislature may by statute designate additional constitutionally independent bodies requiring a Candidate Register, to which the provisions of this section apply. For each candidate, the panel receives a candidate disclosure record submitted by or on behalf of the candidate — including professional background, relevant expertise, financial disclosures, and any prior government positions held. The panel reviews the submitted record for factual accuracy, applies the constitutional eligibility criteria, and publishes the record together with its recommendation to the National Record System, applying the same standards the Executive Inspectorate applies to subsequent reviews.</w:t>
      </w:r>
    </w:p>
    <w:p>
      <w:pPr>
        <w:spacing w:after="60" w:before="60" w:line="280" w:lineRule="auto"/>
        <w:jc w:val="both"/>
      </w:pPr>
      <w:r>
        <w:rPr>
          <w:rFonts w:ascii="Times New Roman" w:cs="Times New Roman" w:eastAsia="Times New Roman" w:hAnsi="Times New Roman"/>
          <w:b/>
          <w:bCs/>
          <w:color w:val="1B2A4A"/>
          <w:sz w:val="22"/>
          <w:szCs w:val="22"/>
        </w:rPr>
        <w:t xml:space="preserve">19.8.b Interim Functions and First Nomination: </w:t>
      </w:r>
      <w:r>
        <w:rPr>
          <w:rFonts w:ascii="Times New Roman" w:cs="Times New Roman" w:eastAsia="Times New Roman" w:hAnsi="Times New Roman"/>
          <w:color w:val="000000"/>
          <w:sz w:val="22"/>
          <w:szCs w:val="22"/>
        </w:rPr>
        <w:t xml:space="preserve">The joint Inspectorate panel performs interim MA fiscal certification functions from Phase 4 activation until the first MA Director takes office following the Phase 3 election, including the initial gross national revenue certification and the inherited debt assessment required under §19.6.a. These interim certifications carry full constitutional weight. The first MA Director election is held as part of the Phase 3 National Election Day. The first Prime Minister must nominate MA board members within 90 days of Phase 4 activation and must nominate an RSA Director within 180 days of Phase 4 activation.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19.9 — Transitional Accountability Mechanism</w:t>
      </w:r>
    </w:p>
    <w:p>
      <w:pPr>
        <w:spacing w:after="60" w:before="60" w:line="280" w:lineRule="auto"/>
        <w:jc w:val="both"/>
      </w:pPr>
      <w:r>
        <w:rPr>
          <w:rFonts w:ascii="Times New Roman" w:cs="Times New Roman" w:eastAsia="Times New Roman" w:hAnsi="Times New Roman"/>
          <w:b/>
          <w:bCs/>
          <w:color w:val="1B2A4A"/>
          <w:sz w:val="22"/>
          <w:szCs w:val="22"/>
        </w:rPr>
        <w:t xml:space="preserve">19.9.a Establishment and Purpose: </w:t>
      </w:r>
      <w:r>
        <w:rPr>
          <w:rFonts w:ascii="Times New Roman" w:cs="Times New Roman" w:eastAsia="Times New Roman" w:hAnsi="Times New Roman"/>
          <w:color w:val="000000"/>
          <w:sz w:val="22"/>
          <w:szCs w:val="22"/>
        </w:rPr>
        <w:t xml:space="preserve">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19.9.b Amendment and Successor Bar: </w:t>
      </w:r>
      <w:r>
        <w:rPr>
          <w:rFonts w:ascii="Times New Roman" w:cs="Times New Roman" w:eastAsia="Times New Roman" w:hAnsi="Times New Roman"/>
          <w:color w:val="00000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line="280" w:lineRule="auto"/>
        <w:jc w:val="both"/>
      </w:pPr>
      <w:r>
        <w:rPr>
          <w:rFonts w:ascii="Times New Roman" w:cs="Times New Roman" w:eastAsia="Times New Roman" w:hAnsi="Times New Roman"/>
          <w:b/>
          <w:bCs/>
          <w:color w:val="1B2A4A"/>
          <w:sz w:val="22"/>
          <w:szCs w:val="22"/>
        </w:rPr>
        <w:t xml:space="preserve">19.9.c Jurisdiction and Publication Limits: </w:t>
      </w:r>
      <w:r>
        <w:rPr>
          <w:rFonts w:ascii="Times New Roman" w:cs="Times New Roman" w:eastAsia="Times New Roman" w:hAnsi="Times New Roman"/>
          <w:color w:val="00000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line="280" w:lineRule="auto"/>
        <w:jc w:val="both"/>
      </w:pPr>
      <w:r>
        <w:rPr>
          <w:rFonts w:ascii="Times New Roman" w:cs="Times New Roman" w:eastAsia="Times New Roman" w:hAnsi="Times New Roman"/>
          <w:b/>
          <w:bCs/>
          <w:color w:val="1B2A4A"/>
          <w:sz w:val="22"/>
          <w:szCs w:val="22"/>
        </w:rPr>
        <w:t xml:space="preserve">19.9.d Sunset and Constitutional Rationale: </w:t>
      </w:r>
      <w:r>
        <w:rPr>
          <w:rFonts w:ascii="Times New Roman" w:cs="Times New Roman" w:eastAsia="Times New Roman" w:hAnsi="Times New Roman"/>
          <w:color w:val="00000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XX — ASSOCIATED COMMUNITY RELATIONSHIPS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20.1 — Associated Community Status</w:t>
      </w:r>
    </w:p>
    <w:p>
      <w:pPr>
        <w:spacing w:after="60" w:before="60" w:line="280" w:lineRule="auto"/>
        <w:jc w:val="both"/>
      </w:pPr>
      <w:r>
        <w:rPr>
          <w:rFonts w:ascii="Times New Roman" w:cs="Times New Roman" w:eastAsia="Times New Roman" w:hAnsi="Times New Roman"/>
          <w:b/>
          <w:bCs/>
          <w:color w:val="1B2A4A"/>
          <w:sz w:val="22"/>
          <w:szCs w:val="22"/>
        </w:rPr>
        <w:t xml:space="preserve">20.1 Associated Community Status: </w:t>
      </w:r>
      <w:r>
        <w:rPr>
          <w:rFonts w:ascii="Times New Roman" w:cs="Times New Roman" w:eastAsia="Times New Roman" w:hAnsi="Times New Roman"/>
          <w:color w:val="000000"/>
          <w:sz w:val="22"/>
          <w:szCs w:val="22"/>
        </w:rPr>
        <w:t xml:space="preserve">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or that are recognised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20.2 — Compact Terms and Equal Sovereignty</w:t>
      </w:r>
    </w:p>
    <w:p>
      <w:pPr>
        <w:spacing w:after="60" w:before="60" w:line="280" w:lineRule="auto"/>
        <w:jc w:val="both"/>
      </w:pPr>
      <w:r>
        <w:rPr>
          <w:rFonts w:ascii="Times New Roman" w:cs="Times New Roman" w:eastAsia="Times New Roman" w:hAnsi="Times New Roman"/>
          <w:b/>
          <w:bCs/>
          <w:color w:val="1B2A4A"/>
          <w:sz w:val="22"/>
          <w:szCs w:val="22"/>
        </w:rPr>
        <w:t xml:space="preserve">20.2 Compact Terms and Equal Sovereignty: </w:t>
      </w:r>
      <w:r>
        <w:rPr>
          <w:rFonts w:ascii="Times New Roman" w:cs="Times New Roman" w:eastAsia="Times New Roman" w:hAnsi="Times New Roman"/>
          <w:color w:val="000000"/>
          <w:sz w:val="22"/>
          <w:szCs w:val="22"/>
        </w:rPr>
        <w:t xml:space="preserve">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20.3 — Compact Conditions and Ongoing Compliance</w:t>
      </w:r>
    </w:p>
    <w:p>
      <w:pPr>
        <w:spacing w:after="60" w:before="60" w:line="280" w:lineRule="auto"/>
        <w:jc w:val="both"/>
      </w:pPr>
      <w:r>
        <w:rPr>
          <w:rFonts w:ascii="Times New Roman" w:cs="Times New Roman" w:eastAsia="Times New Roman" w:hAnsi="Times New Roman"/>
          <w:b/>
          <w:bCs/>
          <w:color w:val="1B2A4A"/>
          <w:sz w:val="22"/>
          <w:szCs w:val="22"/>
        </w:rPr>
        <w:t xml:space="preserve">20.3 Compact Conditions and Ongoing Compliance: </w:t>
      </w:r>
      <w:r>
        <w:rPr>
          <w:rFonts w:ascii="Times New Roman" w:cs="Times New Roman" w:eastAsia="Times New Roman" w:hAnsi="Times New Roman"/>
          <w:color w:val="000000"/>
          <w:sz w:val="22"/>
          <w:szCs w:val="22"/>
        </w:rPr>
        <w:t xml:space="preserve">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20.4 — Sovereign Mobility</w:t>
      </w:r>
    </w:p>
    <w:p>
      <w:pPr>
        <w:spacing w:after="60" w:before="60" w:line="280" w:lineRule="auto"/>
        <w:jc w:val="both"/>
      </w:pPr>
      <w:r>
        <w:rPr>
          <w:rFonts w:ascii="Times New Roman" w:cs="Times New Roman" w:eastAsia="Times New Roman" w:hAnsi="Times New Roman"/>
          <w:b/>
          <w:bCs/>
          <w:color w:val="1B2A4A"/>
          <w:sz w:val="22"/>
          <w:szCs w:val="22"/>
        </w:rPr>
        <w:t xml:space="preserve">20.4 Sovereign Mobility: </w:t>
      </w:r>
      <w:r>
        <w:rPr>
          <w:rFonts w:ascii="Times New Roman" w:cs="Times New Roman" w:eastAsia="Times New Roman" w:hAnsi="Times New Roman"/>
          <w:color w:val="00000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20.5 — Reciprocal Obligations and Review</w:t>
      </w:r>
    </w:p>
    <w:p>
      <w:pPr>
        <w:spacing w:after="60" w:before="60" w:line="280" w:lineRule="auto"/>
        <w:jc w:val="both"/>
      </w:pPr>
      <w:r>
        <w:rPr>
          <w:rFonts w:ascii="Times New Roman" w:cs="Times New Roman" w:eastAsia="Times New Roman" w:hAnsi="Times New Roman"/>
          <w:b/>
          <w:bCs/>
          <w:color w:val="1B2A4A"/>
          <w:sz w:val="22"/>
          <w:szCs w:val="22"/>
        </w:rPr>
        <w:t xml:space="preserve">20.5 Reciprocal Obligations and Review: </w:t>
      </w:r>
      <w:r>
        <w:rPr>
          <w:rFonts w:ascii="Times New Roman" w:cs="Times New Roman" w:eastAsia="Times New Roman" w:hAnsi="Times New Roman"/>
          <w:color w:val="000000"/>
          <w:sz w:val="22"/>
          <w:szCs w:val="22"/>
        </w:rPr>
        <w:t xml:space="preserve">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060"/>
        <w:sz w:val="16"/>
        <w:szCs w:val="16"/>
      </w:rPr>
      <w:t xml:space="preserve">The Constitution of the Federated Republic  ·  </w:t>
    </w:r>
    <w:r>
      <w:rPr>
        <w:rFonts w:ascii="Times New Roman" w:cs="Times New Roman" w:eastAsia="Times New Roman" w:hAnsi="Times New Roman"/>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pPr>
        <w:spacing w:after="60" w:before="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Constitution of the Federated Republic</dc:title>
  <dc:creator>The Federated Republic Project</dc:creator>
  <dc:description>v134 — Voter and Convention Ready</dc:description>
  <cp:lastModifiedBy>Un-named</cp:lastModifiedBy>
  <cp:revision>1</cp:revision>
  <dcterms:created xsi:type="dcterms:W3CDTF">2026-05-11T22:28:07.918Z</dcterms:created>
  <dcterms:modified xsi:type="dcterms:W3CDTF">2026-05-11T22:28:07.918Z</dcterms:modified>
</cp:coreProperties>
</file>

<file path=docProps/custom.xml><?xml version="1.0" encoding="utf-8"?>
<Properties xmlns="http://schemas.openxmlformats.org/officeDocument/2006/custom-properties" xmlns:vt="http://schemas.openxmlformats.org/officeDocument/2006/docPropsVTypes"/>
</file>