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sentence imposed by a court of competent jurisdiction following conviction. No executive may order the deliberate killing of any Inhabitant outside of active armed conflict governed by Article XII. This right admits no emergency derogation.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2.1.i Presidential Officer Appointments and Removal:</w:t>
      </w:r>
      <w:r>
        <w:rPr>
          <w:rFonts w:ascii="Times New Roman" w:cs="Times New Roman" w:eastAsia="Times New Roman" w:hAnsi="Times New Roman"/>
          <w:b w:val="0"/>
          <w:color w:val="000000"/>
          <w:sz w:val="22"/>
          <w:szCs w:val="22"/>
        </w:rPr>
        <w:t xml:space="preserve"> 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publishing a written Notice of Removal to the National Record System. Removal takes effect upon publication. The President's removal authority within this domain is unilateral — the Senate's role in appointments does not extend to tenure protection. An officer subject to an active §3.5 proceeding may not be removed by the President under this provision until those proceedings conclude, preventing the removal power from being used to obstruct a legislative accountability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Caretaker Activation and PM Formation: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The House continues in session and retains the ability to seat a PM at any time. The LI publishes weekly accountability reports naming each member's participation record,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1B2A4A"/>
          <w:sz w:val="22"/>
          <w:szCs w:val="22"/>
        </w:rPr>
        <w:t>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provisions of §2.3 operate independently of this term limit. A member who reaches the 6-term limit and whose cooling-off period coincides with a caretaker period serves the term-limit cooling-off from the later start date.</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4.1.c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4.2.e Mid-Term Vacancies:</w:t>
      </w:r>
      <w:r>
        <w:rPr>
          <w:rFonts w:ascii="Times New Roman" w:cs="Times New Roman" w:eastAsia="Times New Roman" w:hAnsi="Times New Roman"/>
          <w:b w:val="0"/>
          <w:color w:val="000000"/>
          <w:sz w:val="22"/>
          <w:szCs w:val="22"/>
        </w:rPr>
        <w:t xml:space="preserve"> Where a Supreme Court seat becomes vacant mid-term through death, resignation, removal, or expulsion, a special election is held within 180 days. The full open-candidacy process of §4.2.a through §4.2.d applies, with timelines adjusted to fit the 180-day window: candidate registration closes at day 30; EI review completes by day 60; Judicial Selection Board assessment is published by day 90; JI certification completes by day 120; election is held no later than day 180. The replacement justice serves only the remainder of the original 12-year term, not a new term. Where the adjusted timeline cannot be met due to extraordinary circumstances, the Judicial Inspectorate may extend the window by no more than 30 days and publishes the extension and grounds to the National Record System. The Temporary Associate Justice designated under §4.2.g continues to serve throughout the election period and until the replacement justice is seated.</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4.2.g Vacancy Operating Rules:</w:t>
      </w:r>
      <w:r>
        <w:rPr>
          <w:rFonts w:ascii="Times New Roman" w:cs="Times New Roman" w:eastAsia="Times New Roman" w:hAnsi="Times New Roman"/>
          <w:b w:val="0"/>
          <w:color w:val="000000"/>
          <w:sz w:val="22"/>
          <w:szCs w:val="22"/>
        </w:rPr>
        <w:t xml:space="preserve"> Where a Supreme Court seat becomes vacant, the most senior Appellate Court judge by continuous time served on the Appellate bench — with the eldest by age as the tiebreaker — is automatically designated as Temporary Associate Justice within five days of the vacancy being published to the National Record System. No nomination, confirmation, or legislative action is required; the designation is automatic by operation of this provision. The Temporary Associate Justice: (a) holds a full vote in all cases heard by the Court during the vacancy period; (b) may not participate in any case arising from a ruling they authored or in which they joined on the Appellate Court — in such cases the remaining justices constitute the full panel; (c) may not stand as a candidate in any election to fill the permanent seat to which they are designated as Temporary Associate Justice; (d) returns to their Appellate Court position, without loss of seniority or tenure, upon the seating of the permanently elected replacement justice. Where the designated judge is unavailable, the next most senior Appellate Court judge by the same criteria is designated. Where a case triggers clause (b) recusal and the remaining justices produce an equal division, the lower court's ruling is affirmed without creating binding precedent. The Legislature may not reduce, eliminate, or delay the temporary designation by statute.</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1B2A4A"/>
          <w:sz w:val="22"/>
          <w:szCs w:val="22"/>
        </w:rPr>
        <w:t>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§8.4.a Judicial IG Candidate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15.1.c Citizen-Led Path:</w:t>
      </w:r>
      <w:r>
        <w:rPr>
          <w:rFonts w:ascii="Times New Roman" w:cs="Times New Roman" w:eastAsia="Times New Roman" w:hAnsi="Times New Roman"/>
          <w:b w:val="0"/>
          <w:color w:val="000000"/>
          <w:sz w:val="22"/>
          <w:szCs w:val="22"/>
        </w:rPr>
        <w:t xml:space="preserve"> A national vote conducted through the National Voting System achieving 70% affirmative support with at least 65% citizen participation. If participation exceeds 60% but falls short of 65% and the affirmative vote exceeds 75%, the Electoral Commission automatically schedules a second vote on the same amendment text, to be held no sooner than 90 days and no later than 12 months after the first result is certified. The second vote is conducted under the standard thresholds of this section — 70% affirmative support with at least 65% citizen participation. If the second vote meets the standard thresholds, the amendment takes effect. If the second vote fails to meet the standard thresholds, the amendment fails and the same amendment text may not trigger a further second vote under this provision. The Electoral Commission certifies all results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16.2.a Electoral Commission Removal:</w:t>
      </w:r>
      <w:r>
        <w:rPr>
          <w:rFonts w:ascii="Times New Roman" w:cs="Times New Roman" w:eastAsia="Times New Roman" w:hAnsi="Times New Roman"/>
          <w:b w:val="0"/>
          <w:color w:val="000000"/>
          <w:sz w:val="22"/>
          <w:szCs w:val="22"/>
        </w:rPr>
        <w:t xml:space="preserve"> 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through the JI finding and State Designee Panel process. Where the State Designee Panel substantiates grounds under §8.9.a, the member is suspended from all Electoral Commission duties: upon expiry of the 14-day Supreme Court appeal window under §8.9.b without a filed appeal, or immediately upon a Supreme Court ruling upholding the Panel's substantiation on appeal. If the Supreme Court reverses the Panel's substantiation, no suspension takes effect and the member continues all duties pending the legislative vote. A suspended member is excluded from the Commission's active seated membership for decision-threshold purposes during the suspension period. The 180-day election proximity restriction of §16.5.c applies to the removal vote, not to Panel-triggered suspension. On legislative acquittal, the suspended member returns immediately to full duties with no effect on their term or standing.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16.5.c Removal:</w:t>
      </w:r>
      <w:r>
        <w:rPr>
          <w:rFonts w:ascii="Times New Roman" w:cs="Times New Roman" w:eastAsia="Times New Roman" w:hAnsi="Times New Roman"/>
          <w:b w:val="0"/>
          <w:color w:val="000000"/>
          <w:sz w:val="22"/>
          <w:szCs w:val="22"/>
        </w:rPr>
        <w:t xml:space="preserve"> Electoral Commission members may only be removed by Track 1 For-Cause removal (§8.5), requiring a 2/3 vote of both chambers simultaneously, preceded by State Designee Panel verification under §8.9. No-Cause removal is not available for Electoral Commission members. Any removal vote within 180 days of a national election at which more than 20% of seated national offices are on the ballot is automatically suspended pending Supreme Court review within 48 hours. This restriction applies to the legislative removal vote only; Panel-triggered suspension of duties under §16.2.a operates independently of election proximity.</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19.1.a Activation Threshold: </w:t>
      </w:r>
      <w:r>
        <w:rPr>
          <w:rFonts w:ascii="Times New Roman" w:cs="Times New Roman" w:eastAsia="Times New Roman" w:hAnsi="Times New Roman"/>
          <w:color w:val="000000"/>
          <w:sz w:val="22"/>
          <w:szCs w:val="22"/>
        </w:rPr>
        <w:t xml:space="preserve">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w:t>
      </w:r>
    </w:p>
    <w:p>
      <w:pPr>
        <w:spacing w:after="60" w:before="60" w:line="280" w:lineRule="auto"/>
        <w:jc w:val="both"/>
      </w:pPr>
      <w:r>
        <w:rPr>
          <w:rFonts w:ascii="Times New Roman" w:cs="Times New Roman" w:eastAsia="Times New Roman" w:hAnsi="Times New Roman"/>
          <w:b/>
          <w:bCs/>
          <w:color w:val="1B2A4A"/>
          <w:sz w:val="22"/>
          <w:szCs w:val="22"/>
        </w:rPr>
        <w:t xml:space="preserve">19.1.b Institutional Accommodation: </w:t>
      </w:r>
      <w:r>
        <w:rPr>
          <w:rFonts w:ascii="Times New Roman" w:cs="Times New Roman" w:eastAsia="Times New Roman" w:hAnsi="Times New Roman"/>
          <w:color w:val="000000"/>
          <w:sz w:val="22"/>
          <w:szCs w:val="22"/>
        </w:rPr>
        <w:t xml:space="preserve">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w:t>
      </w:r>
    </w:p>
    <w:p>
      <w:pPr>
        <w:spacing w:after="60" w:before="60" w:line="280" w:lineRule="auto"/>
        <w:jc w:val="both"/>
      </w:pPr>
      <w:r>
        <w:rPr>
          <w:rFonts w:ascii="Times New Roman" w:cs="Times New Roman" w:eastAsia="Times New Roman" w:hAnsi="Times New Roman"/>
          <w:b/>
          <w:bCs/>
          <w:color w:val="1B2A4A"/>
          <w:sz w:val="22"/>
          <w:szCs w:val="22"/>
        </w:rPr>
        <w:t xml:space="preserve">19.1.c Multi-Founder Formation: </w:t>
      </w:r>
      <w:r>
        <w:rPr>
          <w:rFonts w:ascii="Times New Roman" w:cs="Times New Roman" w:eastAsia="Times New Roman" w:hAnsi="Times New Roman"/>
          <w:color w:val="000000"/>
          <w:sz w:val="22"/>
          <w:szCs w:val="22"/>
        </w:rPr>
        <w:t xml:space="preserve">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2026-05-11T22:28:07.918Z</dcterms:created>
  <dcterms:modified xsi:type="dcterms:W3CDTF">2026-05-11T22:28:07.918Z</dcterms:modified>
</cp:coreProperties>
</file>

<file path=docProps/custom.xml><?xml version="1.0" encoding="utf-8"?>
<Properties xmlns="http://schemas.openxmlformats.org/officeDocument/2006/custom-properties" xmlns:vt="http://schemas.openxmlformats.org/officeDocument/2006/docPropsVTypes"/>
</file>