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 Any IG may be removed without cause by 3/4 of both chambers simultaneously, except the JI IG — whose lottery-based selection makes no-cause removal equivalent to a political veto over the draw result — who may be removed for cause only under §8.15.</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The subject officer may petition the SC within 14 days; the Court reviews only whether constitutional categories were correctly applied and must rule within 21 days;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Two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A substantiated finding from a State Designee Panel under §8.9 constitutes for-cause grounds; duty suspension is automatic on publication of the finding; removal requires a 2/3 vote of both chambers simultaneously; no removal vote may be held within 180 days of a major national election without prior SC review within 48 hours; either finding is a constitutional record.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