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JM’s ongoing audit of the Elections Panel encompasses the administration of each agency director pool; audit findings confirming pool status are published to the NRS. The Civic Consul nominates the agency director from the pool only; a nomination outside the pool is constitutionally void. The Senate confirms by 2/3 supermajority within 90 days of nomination;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outside the four certified categories;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is reportable by the other two Monitors.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the period defined by statute.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the Monetary Authority under §12.1, within 180 days; the Endowment Administrator under §12.5, within 12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