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concurrent vote of both chambers;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campaign financing system established under §8.3 is a constitutional mandate.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