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 without a specific judicial warrant meeting the standards of §1.11.a — identifying the particular key sought and the purpose for which it is sought, issued by a judicial officer on an individualized finding of necessity.</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Government's legitimate role is professional licensing, scope of practice, and safety standards — not directing the content of medical decisions or penalizing their exercise. No government may impose civil or criminal liability on any person solely for receiving medical care that was lawful where it was received, or for assisting another in accessing such care, or for providing accurate information about it.</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that require new domestic legislation to implement; and provisions creating direct obligations on domestic persons or entities. Tariff schedules, market access terms in foreign markets, and international negotiating positions are within the President's sole authority. Where PM concurrence is withheld on a specific provision, that provision may be transmitted to the House Speaker as ordinary legislation and the remaining agreement terms proceed to Senate ratification independently.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§2.1.k  </w:t>
      </w:r>
      <w:r>
        <w:rPr>
          <w:rFonts w:ascii="Garamond" w:cs="Garamond" w:eastAsia="Garamond" w:hAnsi="Garamond"/>
          <w:b/>
          <w:bCs/>
          <w:i w:val="false"/>
          <w:iCs w:val="false"/>
          <w:color w:val="1B2A4A"/>
          <w:sz w:val="22"/>
          <w:szCs w:val="22"/>
        </w:rPr>
        <w:t xml:space="preserve">General Domain Default and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domain of a proposed executive action is disputed outside the context of active military operations, the PM's residual authority under §2.2 is presumptive pending resolution — the President's authority is enumerated, so a Presidential domain claim must identify the enumerated power engaged. The JEC under §2.11 is the first forum for resolution. Where resolution is not achieved through the JEC, either executive may petition the SC for a domain determination; the SC must rule within 30 days of petition. Pending the SC ruling, the PM's residual authority governs except for matters expressly listed in §2.1. This provision does not apply to disputes arising during active military operations, which are governed exclusively by §2.1.h.</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them to violate a constitutional provision or any statute. Refusal of such an order creates no civil or criminal liability and constitutes no basis for dismissal, demotion, or any other penalty. The refusing person may report the order to the EI, who may investigate and publish findings to the NRS. The affected civil servant or military member may seek legal redress before any court of competent jurisdiction for any penalty imposed in connection with a refusal.</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their Senate seat is immediately vacated and the Deputy Speaker assumes the Speaker role. The successor serves the remainder of the current presidential term under §2.6.c.</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President is incapacitated and unable to exercise presidential authority, the EI and LI jointly assess capacity within 6 hours. If both Inspectorates certify incapacity, they publish a joint assessment to the NRS and Acting Presidential Authority transfers immediately to the Senate Speaker. The Speaker holds all presidential powers during the acting period; the Speaker's Senate seat is not vacated; no special presidential election is triggered; and the acting period does not constitute a succession event under §2.6.a or expend any presidential term. Acting Presidential Authority ends when the President publishes a restoration declaration to the NRS, or when the EI and LI jointly certify recovery and publish it to the NRS — in either case the President immediately resumes full authority. Where the EI and LI reach different conclusions, the President remains in office; either Inspectorate may petition the SC for a capacity determination, which must rule within 24 hours; the President remains in office pending that ruling. Where Acting Presidential Authority extends beyond 90 days without restoration, the Inspectorates must within 7 days reassess and publish findings; on joint certification of permanent incapacity, §2.6.a succession activates immediately — Acting Presidential Authority converts to full succession, the Speaker's Senate seat is vacated, and the Deputy Speaker assumes the Speaker role.</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serves the remainder of the current presidential term. No election is required to complete the term — succession is a constitutional appointment, and the successor is the President from the moment of succession. Service by succession does not constitute or consume the successor's single non-renewable presidential term; succession is a constitutional duty, not an electoral mandate. The successor is eligible to stand as a presidential candidate at the next regular presidential election under §7.2.</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social state funding continuity under §10.1,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transparency review. Within 7 days of any grant, the granting executive files a written explanatory report with the EI stating: the identity of the recipient, the nature of the offense pardoned, the grounds for the grant, and any circumstances considered. The EI reviews the report for factual accuracy and completeness within 14 days and publishes its findings to the NRS. The reviewing chamber (Senate for PM clemency; House for Presidential clemency) receives the EI report and may, within 45 days, hold a public hearing on the grant and publish formal observations to the NRS. The reviewing chamber may not void or reverse a clemency grant — clemency is the exclusive act of the granting executive, accountable through transparency and permanent NRS record rather than legislative veto. Neither executive may grant clemency for offenses committed within the other executive's domain; any such grant is void.</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under §2.1.j and the PM's Cabinet ministers under §2.2.b meeting jointly as a standing cross-executive coordination body. The Council serves as the primary forum for matters that cross executive domains. Where a proposed executive action materially affects the domain of the other executive, the proposing executive notifies the Council before acting and presents the matter for coordinated discussion at the next session — absent a declared emergency under §2.8 or an immediate operational requirement under §2.1.a. The Council makes recommendations and coordinates positions; it does not exercise executive authority, and nothing in this section limits either executive's constitutional authority within their own domain. Both the President and PM must each attend at least one Council session per calendar quarter; for sessions an executive does not attend, their officers must provide a written brief to that executive within 48 hours of the session closing. Meeting frequency, agenda procedures, chairing arrangements, and all other operational parameters are defined by statute. A summary record of each session — covering agenda items and agreed positions — is published to the NRS within 14 days. The existence and general subject of each session may not be classified.</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every ten years and whenever the Legislature requires reapportionment. The census is administered by a statutory independent agency established by the Legislature under §3.7. The Legislature defines census methodology by statute; methods may include mathematical models, statistical sampling, or administrative data integration where the Legislature determines these are more accurate or efficient than direct enumeration. The LI audits the census process and results for constitutional compliance and publishes its findings to the NRS within 30 days of census completion. Census results are published to the NRS within 90 days of completion and used as the basis for House seat allocation under §3.1.a.</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inferior court judicial appointments by a supermajority defined by statute (not less than 55%, not more than 67% of full Senate membership). Failure to vote within the confirmation period triggers Deemed Confirmation at 180 days. Supreme Court justice confirmation is governed exclusively by §4.2.d, which sets an independent 2/3 threshold, no deemed confirmation, and its own time ceilings.</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Elections Panel of the Digital Infrastructure Commission — as certified by the JI following a finding that the Elections Panel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Elections Panel of the Digital Infrastructure Commission draws an interim compliant map under §3.4.b pending State compliance. A State may request drawing consulting from the Elections Panel at any point in the redistricting process; such consulting is advisory and does not transfer the State's map-drawing responsibility to the Elections Panel. Territorial district maps are drawn by the Elections Panel of the Digital Infrastructure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Elections Panel of the Digital Infrastructure Commission draws an interim compliant map using the §3.4.a criteria, which takes effect at the next election. The Elections Panel-drawn interim map is not permanent — it is retired automatically when the State submits and the LI certifies a compliant State-drawn map. Until then, elections proceed on the Elections Panel-drawn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Elections Panel administers the election directly through the NVS. For Territories holding two or more House seats, the Elections Panel of the Digital Infrastructure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Elections Panel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Elections Panel of the Digital Infrastructure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Speaker is elected by the House from among its members by absolute majority. The Speaker presides over House proceedings, manages the legislative calendar, and maintains the impartiality of the chair on all House business. The Speaker does not hold a position in the presidential succession line, which runs through the Senate under §2.6.a.</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compliance analysis of any enacted law during the legislative review period under §2.4 and §2.5, enabling citizens and legislators to assess constitutional implications before the law takes full effect. The LI may also publish a compliance analysis of any bill at any stage of the legislative process on written request from any member of either chamber; such analysis is advisory and creates no obligation on any member to act upon it. The LI does not initiate constitutional review of pending legislation on its own motion — pre-enactment review is triggered by member request only. All compliance analyses are published to the NRS.</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JI must publish a factual finding before any removal vote. The EI may certify the breach that triggers the proceeding, but the JI — which has no oversight relationship with the officer being removed — makes the independent factual finding for the removal proceeding itself.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§4.1.e  </w:t>
      </w:r>
      <w:r>
        <w:rPr>
          <w:rFonts w:ascii="Garamond" w:cs="Garamond" w:eastAsia="Garamond" w:hAnsi="Garamond"/>
          <w:b/>
          <w:bCs/>
          <w:i w:val="false"/>
          <w:iCs w:val="false"/>
          <w:color w:val="1B2A4A"/>
          <w:sz w:val="22"/>
          <w:szCs w:val="22"/>
        </w:rPr>
        <w:t xml:space="preserve">Supreme Court Composition and Size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initially consists of nine justices. The Legislature may increase the number of justices by ordinary statute; any seat added is assigned to the class with the fewest current members — ties broken by public lot drawn by the JI — and must be filled through §4.2.d within 18 months of enactment or the seat expires by operation of law. The Legislature may decrease the number of justices only by statute passed by 2/3 of both chambers; a reduction takes effect through natural attrition only — by leaving the next scheduled vacancy in the designated class unfilled — and never by removing a sitting justice. The number of justices may not fall below three. Where the Court is equally divided on any question — whether by reason of court size, recusal, or vacancy — the challenged ruling of the lower court or government body stands without further order.</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nominated by the PM from the SC Candidate Registry and confirmed by the Senate by 2/3 supermajority of full seated membership. The Court is composed of the number of justices established under §4.1.e, organised into three staggered classes; each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registered candidates. The Board may publish an advisory assessment of any registered candidate's judicial record, legal reasoning, and professional independence — on request from the PM or any Senator, or on the Board's own motion. All assessments are published to the NRS and transmitted to the Senate before any confirmation vote. Advisory only — the Board holds no nomination authority and no ability to restrict any PM nomination.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PM Nomination and Senate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a JI-certified candidate from the SC Candidate Registry. For scheduled vacancies, the PM must nominate within 60 days of the outgoing justice's term ending. For mid-term vacancies, the PM must nominate within 45 days of the vacancy arising. Within 30 days of nomination, the JI confirms the candidate's registry status and publishes its assessment to the NRS — covering the nominee's judicial record, legal career, and any relevant conflicts of interest. Any Judicial Selection Board assessment of the nominee is transmitted to the Senate simultaneously. The Senate must vote within 90 days of the JI assessment being published. Failure to vote within 90 days is a constitutional compliance breach certified by the LI. No deemed confirmation applies — the Senate must hold an affirmative vote. If the Senate declines to confirm, the PM submits a new nomination within 30 days and the full process restarts from that nomination. The confirmed justice takes the Official Oath; the confirmation and JI assessment are published to the NRS as permanent records.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mid-term vacancy triggers immediate nomination under §4.2.d using the 45-day nomination window. The full process — PM nomination, JI assessment, and Senate confirmation — must be completed within 180 days of the vacancy.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the initial nine seats are filled simultaneously by PM nomination and Senate confirmation under §4.2.d, then assigned to three classes by public lot drawn by the JI. Class A: 4-year initial term. Class B: 8-year initial term. Class C: 12-year initial term. All subsequent terms: 12 years. The lot assignment is published to the NRS before any justice takes the oath. Three seats confirmed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and Director of the Digital Infrastructure Commission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exceeds 60% of active ballots, the State plurality requirement is waived — a margin of that scale constitutes its own geographic legitimacy. Where no candidate wins outright, a runoff is conducted under §7.2.f.</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The Elections Panel of the Digital Infrastructure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Where the national RCV majority exceeds 60% of active ballots, this requirement is waived under §7.2. Territory votes count toward the national first-preference and RCV totals but not the State plurality calculation — Territories are not States for this purpose. The Elections Panel certifies State-by-State first-preference results as part of the overall election certification under §7.2.e.</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and RCV calculation. Territories are not included in the State plurality calculation under §7.2.b — their citizens are not residents of a State for this purpose. This preserves the integrity of the geographic breadth requirement while ensuring Territory citizens exercise full national voting rights.</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wins outright — either because no candidate achieved a national RCV majority, or because the national majority winner's margin did not exceed 60% of active ballots and the candidate failed the State plurality requirement — a runoff is conducted between the two candidates with the highest national first-preference vote totals. The runoff is determined by national RCV only. No State plurality requirement applies in the runoff. The Elections Panel administers the runoff on the same terms as the primary election under §7.2.a and §7.2.e.</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Digital Infrastructure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and the Digital Infrastructure Advisory Council.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 The Inspector General has a 14-day SC appeal window from publication of the Panel finding before the legislative vote proceeds.</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function is to determine, before any qualifying For-Cause removal vote, whether the stated grounds are substantiated within the enumerated constitutional categories for that office. The Panel publishes a binary finding — grounds substantiated or grounds unsubstantiated — and has no investigative authority and no institutional presence outside active proceedings.</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Eligibility requires: at least five continuous years of Republic citizenship; no current federal elected or appointed office; no such office held within the three years prior to pool entry; no pending federal criminal proceedings; and no current service in any active Panel. Pool membership is a public NRS record maintained by the LI. The Legislature defines pool administration, annual addition processes, minimum pool thresholds, and compensation by statute.</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the JI constitutes the Panel by public lottery within five days, drawing five members from the combined national pool plus two alternates, in a single session certified jointly by all three Inspectorates and published to the NRS in real time. Members must accept or decline within 48 hours; alternates fill declined seats in draw order. If both alternates are exhausted before five members have accepted, the JI conducts a supplemental draw. The Legislature defines draw challenge procedures, ongoing eligibility conditions during service, and session parameters by statute.</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when the Panel is fully constituted — five members having accepted service. The Legislature defines meeting parameters, document submission procedures, and any other operational requirements by statute. The Panel may request additional documentary submissions from the initiating body within the first seven days of the review period.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 determines only whether the stated grounds, as documented in the submitted record, constitute at least one of the enumerated constitutional categories for For-Cause removal applicable to the subject office. The Panel does not independently investigate, assess credibility, weigh competing factual accounts, or issue any order beyond the binary finding.</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authorizes the Legislature to proceed to a For-Cause removal vote at the applicable threshold; triggers applicable duty suspension under §8.5.a, §10.4.g, or §16.2.a; and is published permanently to the NRS. A finding of unsubstantiated: does not bar a removal vote; and is published permanently to the NRS.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Findings are published jointly by all three Inspectorates to the NRS and transmitted to the Commission Director and both panel chairs simultaneously.</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Advisory Council — Mandate and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Advisory Pool — State Nominations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nominate any number of qualified persons to the Digital Infrastructure Advisory Pool at any time. Nominations are submitted to the JI, which reviews each nominee and publishes a qualification report to the NRS within 30 days — assessing whether the nominee holds relevant expertise in cryptography, distributed systems, information security, election administration, or public records management, as appropriate to the scope of the decennial review. Pool membership is established by JI qualification certification; no Senate confirmation is required for pool entry. Pool nominations remain valid for ten years or until withdrawn by the nominating State. The pool is a public NRS record, enabling citizens to review the qualifications of potential Advisory Council members and hold their State governments accountable for their nominations. No more than three certified pool members may be nominees of the same State at the time of any given decennial draw.</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Pool resets after each decennial review cycle. States may re-nominate the same persons with fresh JI qualification certification, or submit new nominees. Members who served on the Advisory Council are eligible for re-nomination by their State after one full cycle has elapsed since their service.</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Advisory Council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Council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Council's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Advisory Council Member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an Advisory Council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 of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Council's working sessions to verify that the Council has the access to records, systems, and personnel required by its statutory mandate, and review the Council's findings before publication to confirm the findings reflect the Council's genuine conclusions and have not been suppressed or modified. All three Inspectorate seals appear on findings published to the NRS. The Commission Director and both panel chairs receive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Advisory Council Findings and Commission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Senate public session under §9.3.h must be scheduled within 30 days of publication and occur within 90 days. The Commission must publish its response within 90 days of findings publication — accepting, modifying, or declining each recommendation with published reasons. The Commission's response should ordinarily follow the Senate public session under §9.3.h so that Senate scrutiny may inform the Commission's reasoning; however the 90-day response window runs from findings publication regardless of when the session occurs. The Advisory Council's mandate ends upon publication; the Council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Senate Public Session on Advisory Council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Advisory Council's findings being published to the NRS under §9.3.g, the Senate must schedule a mandatory public session. The session must occur within 90 days of publication. Advisory Council members appear before the Senate, present their findings, and respond to questions from Senators. The session is published in full to the NRS. Failure to schedule the session within 30 days is a constitutional compliance breach certified by the LI. The Commission's 90-day response period under §9.3.g runs from the date of findings publication and is not affected by the Senate session timing.</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certified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 Where the MA certifies healthcare insurance insolvency under §10.1.a and the Legislature fails to publish a remediation plan within 90 days, the National Endowment board may also authorize emergency disbursement to cover the insolvency gap for up to 6 months regardless of whether a Severe Revenue Contraction has been certified.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certified by the LI,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 No deemed confirmation applies to MA board member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EI; if the EI advises a potential mandate hierarchy violation exists, the Director may petition the SC for a mandate determination. Statutory timeframes for each step are defined by the Legislature and may not be set so short as to prevent effective deliberation.</w:t>
      </w:r>
    </w:p>
    <w:p>
      <w:pPr>
        <w:spacing w:after="60" w:before="200"/>
        <w:ind w:left="431"/>
        <w:jc w:val="left"/>
      </w:pPr>
      <w:r>
        <w:rPr>
          <w:rFonts w:ascii="Courier New" w:cs="Courier New" w:eastAsia="Courier New" w:hAnsi="Courier New"/>
          <w:b/>
          <w:bCs/>
          <w:color w:val="1B2A4A"/>
          <w:sz w:val="18"/>
          <w:szCs w:val="18"/>
        </w:rPr>
        <w:t xml:space="preserve">§10.4.g  </w:t>
      </w:r>
      <w:r>
        <w:rPr>
          <w:rFonts w:ascii="Garamond" w:cs="Garamond" w:eastAsia="Garamond" w:hAnsi="Garamond"/>
          <w:b/>
          <w:bCs/>
          <w:i w:val="false"/>
          <w:iCs w:val="false"/>
          <w:color w:val="1B2A4A"/>
          <w:sz w:val="22"/>
          <w:szCs w:val="22"/>
        </w:rPr>
        <w:t xml:space="preserve">MA Director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The Director is suspended from duties upon publication of a substantiated Panel finding, pending the legislative vote and any SC review. Any removal vote scheduled within 180 days of a major national election is automatically suspended pending SC review within 48 hours. Neither executive may remove the MA Director unilaterally.</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social state backstop purposes under §10.1.e.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is required once the audit is passed — statehood is a constitutional entitlement for any Territory that meets the criteria, not a political grant. The audit has two components: the LI audits fiscal integrity — basic sustainability and absence of structural insolvency that would require federal bailout; and the JI audits legal compliance with every Article I right. Both must pass. A Territory that fails either component receives specific published findings and may resubmit after addressing the identified failures. The Legislature defines detailed audit methodology and resubmission timelines by statute.</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one and three years, as the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 — it enters a remediation process, not automatic devolution.</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of a State's territory, the LI may — upon joint certification by all three Inspectorates — grant provisional audit status for that cycle, preserving the State's constitutional standing and social state protections under §10.1. Provisional status is unavailable where the Inspectorates jointly find that the State government materially contributed to the conditions producing conflict. The Legislature defines maximum provisional periods (not exceeding five years without fresh Inspectorate reassessment), monitoring requirements, and renewal conditions by statute.</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in a State referendum on whether to proceed to devolution or accept a two-year federal remediation commission; either path is published to the NRS. A devolved State returns to Territory status under §13.1. The following consequences apply immediately: Senate seats are vacated; existing House members complete their current terms; Article I rights and social state protections under §10.1 continue without interruption; and a federal tax exemption applies throughout the Territory period. State government elected officials continue their terms and govern under State law — the Domestic Affairs Council exercises oversight without replacing State government. Restoration to Statehood is automatic upon passing the Statehood Audit and completing the Provisional Membership Period — no additional vote required. The Legislature defines further conditions of the Territory period by statute; no consequences beyond those stated here may be imposed.</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SC on the sole ground that the LI's published audit findings are factually insufficient to establish three consecutive failures under §13.3. The Court reviews only the factual basis of the audit findings — not the Senate's judgment, the policy merits of devolution, or the State's economic circumstances. The Court must rule within 14 days. Devolution is not stayed unless the Court orders it pending ruling.</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(subdivision, merger, Territory status, or independence path); and Senate approval of a negotiated restructuring agreement by 2/3 majority of full seated membership. The restructuring agreement specifies asset and liability allocation, transition timeline, constitutional status of successor jurisdictions, continuing federal obligations, and the Republic's obligations to the departing territory during the transition period. The agreement is published to the NRS and is legally binding on both parties. Social state protections under §10.1 and Article I rights continue without interruption through the transition. A successor subdivision that becomes a Territory enters the Statehood pathway immediately. The Legislature defines transition planning requirements by statute.</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or assembly by 2/3 majority, confirmed by a citizen referendum achieving simple majority on at least 50% participation; the JI's published assessment within 90 days of whether the entity systematically violates any unamendable Article I provision; and acceptance by the Legislature by 2/3 of both chambers. An accepted petition produces an incorporation agreement specifying a transition period not exceeding 48 months and the institutional adjustments required to meet §13.2.f. The incorporated entity immediately holds all Territory protections under §13.1. The Republic may not pressure any entity to initiate this process. An indigenous nation recognised under Article XIV must make a status election under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 geographically contiguous existing State. Merger requires: a referendum of the merging Territory's eligible voters achieving 60% affirmative with at least 50% participation; approval by the existing State through its own constitutional process; a joint Statehood Audit of the combined entity by the LI and JI confirming the existing State's integrity is maintained; and Senate ratification by simple majority of full seated membership. On ratification, the Territory is incorporated into the State by operation of law; the State's existing Senate seats are unchanged; House seat allocation is recalculated at the next census; and residents of the merging territory become full State citizens. Where a partial Territory merges, the remaining Territory continues under §13.1. The Legislature defines petition procedures, viability assessments for remaining Territory portions, and merger timelines by statute.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"Electoral Commission" and to "the EC" refer to the Elections Panel of the Digital Infrastructure Commission .</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Director — Election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Panel Composition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Digital Infrastructure Pool and 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maintains their own pool of nominees for panel appointments. Either executive may nominate any number of qualified persons to their pool at any time. The JI reviews each nominee and publishes a qualification report to the NRS within 30 days of nomination, assessing whether the nominee meets the qualification requirements established by statute for the relevant panel track — NRS track or Elections track. Pool membership is established by JI qualification certification; no Senate confirmation is required for pool entry.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the Director's selection within 60 days; failure to vote within 60 days is a constitutional compliance breach certified by the LI. If the Director finds neither nominee acceptable, the Director publishes the reasons to the NRS and requests new nominations from both executives; each executive must respond with a new nominee within 30 days. If the Director finds one nominee acceptable but has published reasons to the NRS that the other nominee raises an independence or qualification concern, the Director may request a replacement from that specific executive only; that executive must respond with a new nominee within 30 days. The Director may not request replacements indefinitely — after two replacement requests from the same executive for the same vacancy, the Director must select from the nominees then available. DIC panel vacancies must be filled within 90 days of opening; if either executive fails to transmit a nominee within 60 days of the vacancy, the LI publishes a notice of constitutional non-compliance to the NRS. No deemed confirmation applies to DIC panel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§16.1.d  </w:t>
      </w:r>
      <w:r>
        <w:rPr>
          <w:rFonts w:ascii="Garamond" w:cs="Garamond" w:eastAsia="Garamond" w:hAnsi="Garamond"/>
          <w:b/>
          <w:bCs/>
          <w:i w:val="false"/>
          <w:iCs w:val="false"/>
          <w:color w:val="1B2A4A"/>
          <w:sz w:val="22"/>
          <w:szCs w:val="22"/>
        </w:rPr>
        <w:t xml:space="preserve">Commission Decision-Making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w:t>
      </w:r>
    </w:p>
    <w:p>
      <w:pPr>
        <w:spacing w:after="60" w:before="200"/>
        <w:ind w:left="431"/>
        <w:jc w:val="left"/>
      </w:pPr>
      <w:r>
        <w:rPr>
          <w:rFonts w:ascii="Courier New" w:cs="Courier New" w:eastAsia="Courier New" w:hAnsi="Courier New"/>
          <w:b/>
          <w:bCs/>
          <w:color w:val="1B2A4A"/>
          <w:sz w:val="18"/>
          <w:szCs w:val="18"/>
        </w:rPr>
        <w:t xml:space="preserve">§16.1.e  </w:t>
      </w:r>
      <w:r>
        <w:rPr>
          <w:rFonts w:ascii="Garamond" w:cs="Garamond" w:eastAsia="Garamond" w:hAnsi="Garamond"/>
          <w:b/>
          <w:bCs/>
          <w:i w:val="false"/>
          <w:iCs w:val="false"/>
          <w:color w:val="1B2A4A"/>
          <w:sz w:val="22"/>
          <w:szCs w:val="22"/>
        </w:rPr>
        <w:t xml:space="preserve">Operational Independence of Panels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has sole operational authority over the technical infrastructure, security, cryptographic standards, and system availability of the National Record System. What is published to the NRS is constitutionally determined — the NRS Panel may not withhold, delay, or restrict any record that is constitutionally required to be published. The Director and Elections Panel may not issue instructions to the NRS Panel regarding the technical operation of the system.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Administrator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Removal of Director and Administrators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is suspended from duties upon publication of a substantiated Panel finding, pending the legislative vote and any SC review. Any removal vote scheduled within 180 days of a major national election is automatically suspended pending SC review within 48 hours.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Digital Infrastructure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on full Commission decisions — they may not cast the deciding vote under §16.1.d on Commission-wide matters during the special election campaign period. Panel operational deadlocks may still be resolved by the Acting Director's deciding vote regardless of the election period, as panel decisions are operational rather than institutional in nature.</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Emergency Technical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nominated by the PM and confirmed by the Senate under §4.2.d and §4.2.h.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2026-05-22T12:37:01.501Z</dcterms:created>
  <dcterms:modified xsi:type="dcterms:W3CDTF">2026-05-22T12:37:01.515Z</dcterms:modified>
</cp:coreProperties>
</file>

<file path=docProps/custom.xml><?xml version="1.0" encoding="utf-8"?>
<Properties xmlns="http://schemas.openxmlformats.org/officeDocument/2006/custom-properties" xmlns:vt="http://schemas.openxmlformats.org/officeDocument/2006/docPropsVTypes"/>
</file>