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A Speaker petitioning may request a published EM assessment of the domain question; the EM publishes any such assessment to the NRS and the SC may consider it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JM’s ongoing audit of the Elections Panel encompasses the administration of each agency director pool; audit findings confirming pool status are published to the NRS. The Civic Consul nominates the agency director from the pool only; a nomination outside the pool is constitutionally void. The Senate confirms by 2/3 supermajority within 90 days of nomination;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outside the four certified categories;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the period defined by statute.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