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 Where the EM publishes a finding that the veto falls outside the Legat Consul's defined domain, either Speaker may petition the SC for an expedited domain determination; the SC must rule within 48 hours of such petition.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within 90 days of the JM publishing the nominee’s pool certification to the NRS; failure to act within that period is a constitutional compliance breach reported by the LM.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simultaneously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simultaneously.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60 days.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