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THE CONSTITUTION OF THE FEDERATED REPUBLIC</w:t>
      </w:r>
    </w:p>
    <w:p>
      <w:pPr>
        <w:spacing w:after="480" w:before="120"/>
        <w:jc w:val="center"/>
      </w:pPr>
      <w:r>
        <w:rPr>
          <w:rFonts w:ascii="Times New Roman" w:cs="Times New Roman" w:eastAsia="Times New Roman" w:hAnsi="Times New Roman"/>
          <w:i/>
          <w:iCs/>
          <w:color w:val="7A7060"/>
          <w:sz w:val="22"/>
          <w:szCs w:val="22"/>
        </w:rPr>
        <w:t>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PREAMBLE</w:t>
      </w:r>
    </w:p>
    <w:p>
      <w:pPr>
        <w:spacing w:after="80" w:before="80" w:line="280" w:lineRule="auto"/>
        <w:jc w:val="both"/>
      </w:pPr>
      <w:r>
        <w:rPr>
          <w:rFonts w:ascii="Times New Roman" w:cs="Times New Roman" w:eastAsia="Times New Roman" w:hAnsi="Times New Roman"/>
          <w:i/>
          <w:iCs/>
          <w:color w:val="000000"/>
          <w:sz w:val="22"/>
          <w:szCs w:val="22"/>
        </w:rPr>
        <w:t>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Section 1.0 — Right of Access to Courts</w:t>
      </w:r>
    </w:p>
    <w:p>
      <w:pPr>
        <w:spacing w:after="60" w:before="60" w:line="280" w:lineRule="auto"/>
        <w:jc w:val="both"/>
      </w:pPr>
      <w:r>
        <w:rPr>
          <w:rFonts w:ascii="Times New Roman" w:cs="Times New Roman" w:eastAsia="Times New Roman" w:hAnsi="Times New Roman"/>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Section 1.1 — Right to Life</w:t>
      </w:r>
    </w:p>
    <w:p>
      <w:pPr>
        <w:spacing w:after="60" w:before="60" w:line="280" w:lineRule="auto"/>
        <w:jc w:val="both"/>
      </w:pPr>
      <w:r>
        <w:rPr>
          <w:rFonts w:ascii="Times New Roman" w:cs="Times New Roman" w:eastAsia="Times New Roman" w:hAnsi="Times New Roman"/>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Section 1.2 — Prohibition of Torture and Cruel Treatment</w:t>
      </w:r>
    </w:p>
    <w:p>
      <w:pPr>
        <w:pBdr>
          <w:bottom w:val="single" w:color="7A7060" w:sz="2" w:space="4"/>
        </w:pBdr>
        <w:spacing w:after="60" w:before="280"/>
      </w:pPr>
      <w:r>
        <w:rPr>
          <w:rFonts w:ascii="Times New Roman" w:cs="Times New Roman" w:eastAsia="Times New Roman" w:hAnsi="Times New Roman"/>
          <w:b/>
          <w:bCs/>
          <w:color w:val="1B2A4A"/>
          <w:sz w:val="23"/>
          <w:szCs w:val="23"/>
        </w:rPr>
        <w:t>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Section 1.4 — Freedom of Expression</w:t>
      </w:r>
    </w:p>
    <w:p>
      <w:pPr>
        <w:spacing w:after="60" w:before="60" w:line="280" w:lineRule="auto"/>
        <w:jc w:val="both"/>
      </w:pPr>
      <w:r>
        <w:rPr>
          <w:rFonts w:ascii="Times New Roman" w:cs="Times New Roman" w:eastAsia="Times New Roman" w:hAnsi="Times New Roman"/>
          <w:color w:val="000000"/>
          <w:sz w:val="22"/>
          <w:szCs w:val="22"/>
        </w:rPr>
        <w:t>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Section 1.6 — Freedom of Association</w:t>
      </w:r>
    </w:p>
    <w:p>
      <w:pPr>
        <w:spacing w:after="60" w:before="60" w:line="280" w:lineRule="auto"/>
        <w:jc w:val="both"/>
      </w:pPr>
      <w:r>
        <w:rPr>
          <w:rFonts w:ascii="Times New Roman" w:cs="Times New Roman" w:eastAsia="Times New Roman" w:hAnsi="Times New Roman"/>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Section 1.7 — Right to Petition</w:t>
      </w:r>
    </w:p>
    <w:p>
      <w:pPr>
        <w:spacing w:after="60" w:before="60" w:line="280" w:lineRule="auto"/>
        <w:jc w:val="both"/>
      </w:pPr>
      <w:r>
        <w:rPr>
          <w:rFonts w:ascii="Times New Roman" w:cs="Times New Roman" w:eastAsia="Times New Roman" w:hAnsi="Times New Roman"/>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Section 1.8 — Equality Before the Law</w:t>
      </w:r>
    </w:p>
    <w:p>
      <w:pPr>
        <w:spacing w:after="60" w:before="60" w:line="280" w:lineRule="auto"/>
        <w:jc w:val="both"/>
      </w:pPr>
      <w:r>
        <w:rPr>
          <w:rFonts w:ascii="Times New Roman" w:cs="Times New Roman" w:eastAsia="Times New Roman" w:hAnsi="Times New Roman"/>
          <w:color w:val="000000"/>
          <w:sz w:val="22"/>
          <w:szCs w:val="22"/>
        </w:rP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Inspectorate.7.</w:t>
      </w:r>
    </w:p>
    <w:p>
      <w:pPr>
        <w:pBdr>
          <w:bottom w:val="single" w:color="7A7060" w:sz="2" w:space="4"/>
        </w:pBdr>
        <w:spacing w:after="60" w:before="280"/>
      </w:pPr>
      <w:r>
        <w:rPr>
          <w:rFonts w:ascii="Times New Roman" w:cs="Times New Roman" w:eastAsia="Times New Roman" w:hAnsi="Times New Roman"/>
          <w:b/>
          <w:bCs/>
          <w:color w:val="1B2A4A"/>
          <w:sz w:val="23"/>
          <w:szCs w:val="23"/>
        </w:rPr>
        <w:t>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Section 1.17 — Right to a Public Trial</w:t>
      </w:r>
    </w:p>
    <w:p>
      <w:pPr>
        <w:spacing w:after="60" w:before="60" w:line="280" w:lineRule="auto"/>
        <w:jc w:val="both"/>
      </w:pPr>
      <w:r>
        <w:rPr>
          <w:rFonts w:ascii="Times New Roman" w:cs="Times New Roman" w:eastAsia="Times New Roman" w:hAnsi="Times New Roman"/>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Section 1.21 — Rights of Children</w:t>
      </w:r>
    </w:p>
    <w:p>
      <w:pPr>
        <w:spacing w:after="60" w:before="60" w:line="280" w:lineRule="auto"/>
        <w:jc w:val="both"/>
      </w:pPr>
      <w:r>
        <w:rPr>
          <w:rFonts w:ascii="Times New Roman" w:cs="Times New Roman" w:eastAsia="Times New Roman" w:hAnsi="Times New Roman"/>
          <w:color w:val="000000"/>
          <w:sz w:val="22"/>
          <w:szCs w:val="22"/>
        </w:rP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II — THE DUAL EXECUTIVE</w:t>
      </w:r>
    </w:p>
    <w:p>
      <w:pPr>
        <w:spacing w:after="60" w:before="60" w:line="280" w:lineRule="auto"/>
        <w:jc w:val="both"/>
      </w:pPr>
      <w:r>
        <w:rPr>
          <w:rFonts w:ascii="Times New Roman" w:cs="Times New Roman" w:eastAsia="Times New Roman" w:hAnsi="Times New Roman"/>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 xml:space="preserve">2.1.i Presidential Officer Appointments and Removal: </w:t>
      </w:r>
      <w:r>
        <w:rPr>
          <w:rFonts w:ascii="Times New Roman" w:cs="Times New Roman" w:eastAsia="Times New Roman" w:hAnsi="Times New Roman"/>
          <w:color w:val="000000"/>
          <w:sz w:val="22"/>
          <w:szCs w:val="22"/>
        </w:rPr>
        <w:t>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submitting a written Notice of Intended Removal to the Senate, published simultaneously to the National Record System. The Senate has 30 days from the date of publication to approve the removal by simple majority of its full seated membership. If the Senate approves within 30 days, the removal takes effect immediately upon the Senate vote. If the Senate does not vote within 30 days, the removal is deemed approved and takes effect on day 31. If the Senate votes to deny the removal within 30 days by simple majority, the officer remains in post and the President may not resubmit a removal notice for the same officer for one year from the date of the Senate's denial. The Senate denial does not prevent the Legislature from initiating removal under §3.5, which operates independently. An officer subject to an active §3.5 proceeding may not be removed by the President under this provision until those proceedings conclude — this prevents the President from using the removal power to obstruct a legislative accountability process.</w:t>
      </w:r>
    </w:p>
    <w:p>
      <w:pPr>
        <w:pBdr>
          <w:bottom w:val="single" w:color="7A7060" w:sz="2" w:space="4"/>
        </w:pBdr>
        <w:spacing w:after="60" w:before="280"/>
      </w:pPr>
      <w:r>
        <w:rPr>
          <w:rFonts w:ascii="Times New Roman" w:cs="Times New Roman" w:eastAsia="Times New Roman" w:hAnsi="Times New Roman"/>
          <w:b/>
          <w:bCs/>
          <w:color w:val="1B2A4A"/>
          <w:sz w:val="23"/>
          <w:szCs w:val="23"/>
        </w:rPr>
        <w:t>Section 2.2 — The Prime Minister</w:t>
      </w:r>
    </w:p>
    <w:p>
      <w:pPr>
        <w:spacing w:after="60" w:before="60" w:line="280" w:lineRule="auto"/>
        <w:jc w:val="both"/>
      </w:pPr>
      <w:r>
        <w:rPr>
          <w:rFonts w:ascii="Times New Roman" w:cs="Times New Roman" w:eastAsia="Times New Roman" w:hAnsi="Times New Roman"/>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Section 2.4 — PM Legislative Objection</w:t>
      </w:r>
    </w:p>
    <w:p>
      <w:pPr>
        <w:spacing w:after="60" w:before="60" w:line="280" w:lineRule="auto"/>
        <w:jc w:val="both"/>
      </w:pPr>
      <w:r>
        <w:rPr>
          <w:rFonts w:ascii="Times New Roman" w:cs="Times New Roman" w:eastAsia="Times New Roman" w:hAnsi="Times New Roman"/>
          <w:color w:val="000000"/>
          <w:sz w:val="22"/>
          <w:szCs w:val="22"/>
        </w:rPr>
        <w:t>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Dissolution and Emergency Elections: </w:t>
      </w:r>
      <w:r>
        <w:rPr>
          <w:rFonts w:ascii="Times New Roman" w:cs="Times New Roman" w:eastAsia="Times New Roman" w:hAnsi="Times New Roman"/>
          <w:color w:val="000000"/>
          <w:sz w:val="22"/>
          <w:szCs w:val="22"/>
        </w:rPr>
        <w:t>Failure to seat a PM within the statutory period defined under §2.3.a activates the Caretaker Protocol under §2.3.c. Members who were present and voting during the statutory selection period are subject to the election bar described in §2.3.a, subject to the good-faith participation exemption of that section. The Senate Speaker cremain in office and continue trying to seat a PM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Section 3.2 — The Senate</w:t>
      </w:r>
    </w:p>
    <w:p>
      <w:pPr>
        <w:spacing w:after="60" w:before="60" w:line="280" w:lineRule="auto"/>
        <w:jc w:val="both"/>
      </w:pPr>
      <w:r>
        <w:rPr>
          <w:rFonts w:ascii="Times New Roman" w:cs="Times New Roman" w:eastAsia="Times New Roman" w:hAnsi="Times New Roman"/>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Section 3.4 — Electoral Districts</w:t>
      </w:r>
    </w:p>
    <w:p>
      <w:pPr>
        <w:spacing w:after="60" w:before="60" w:line="280" w:lineRule="auto"/>
        <w:jc w:val="both"/>
      </w:pPr>
      <w:r>
        <w:rPr>
          <w:rFonts w:ascii="Times New Roman" w:cs="Times New Roman" w:eastAsia="Times New Roman" w:hAnsi="Times New Roman"/>
          <w:color w:val="000000"/>
          <w:sz w:val="22"/>
          <w:szCs w:val="22"/>
        </w:rPr>
        <w:t>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Section 4.1 — Court Structure</w:t>
      </w:r>
    </w:p>
    <w:p>
      <w:pPr>
        <w:spacing w:after="60" w:before="60" w:line="280" w:lineRule="auto"/>
        <w:jc w:val="both"/>
      </w:pPr>
      <w:r>
        <w:rPr>
          <w:rFonts w:ascii="Times New Roman" w:cs="Times New Roman" w:eastAsia="Times New Roman" w:hAnsi="Times New Roman"/>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Mid-Term Vacancies: </w:t>
      </w:r>
      <w:r>
        <w:rPr>
          <w:rFonts w:ascii="Times New Roman" w:cs="Times New Roman" w:eastAsia="Times New Roman" w:hAnsi="Times New Roman"/>
          <w:color w:val="000000"/>
          <w:sz w:val="22"/>
          <w:szCs w:val="22"/>
        </w:rPr>
        <w:t>Where a Supreme Court seat becomes vacant mid-term through death, resignation, removal, or expulsion, a special election is held within 90 days. The full open-candidacy process of §4.2.a through §4.2.d applies, with timelines compressed to fit the 90-day window: candidate registration closes at day 14; EI review completes by day 28; Judicial Selection Board assessment is published by day 45; JI certification completes by day 55; election is held no later than day 90. The replacement justice serves only the remainder of the original 12-year term, not a new term. Where the compressed timeline cannot be met due to extraordinary circumstances, the Judicial Inspectorate may extend the window by no more than 30 days and publishes the extension and grounds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4.2.g Vacancy Operating Rules: </w:t>
      </w:r>
      <w:r>
        <w:rPr>
          <w:rFonts w:ascii="Times New Roman" w:cs="Times New Roman" w:eastAsia="Times New Roman" w:hAnsi="Times New Roman"/>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5.1 — Citizens</w:t>
      </w:r>
    </w:p>
    <w:p>
      <w:pPr>
        <w:spacing w:after="60" w:before="60" w:line="280" w:lineRule="auto"/>
        <w:jc w:val="both"/>
      </w:pPr>
      <w:r>
        <w:rPr>
          <w:rFonts w:ascii="Times New Roman" w:cs="Times New Roman" w:eastAsia="Times New Roman" w:hAnsi="Times New Roman"/>
          <w:color w:val="000000"/>
          <w:sz w:val="22"/>
          <w:szCs w:val="22"/>
        </w:rPr>
        <w:t>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VI — IMMIGRATION AND RESIDENCY</w:t>
      </w:r>
    </w:p>
    <w:p>
      <w:pPr>
        <w:spacing w:after="60" w:before="60" w:line="280" w:lineRule="auto"/>
        <w:jc w:val="both"/>
      </w:pPr>
      <w:r>
        <w:rPr>
          <w:rFonts w:ascii="Times New Roman" w:cs="Times New Roman" w:eastAsia="Times New Roman" w:hAnsi="Times New Roman"/>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Section 6.1 — The Dual-Gate System</w:t>
      </w:r>
    </w:p>
    <w:p>
      <w:pPr>
        <w:spacing w:after="60" w:before="60" w:line="280" w:lineRule="auto"/>
        <w:jc w:val="both"/>
      </w:pPr>
      <w:r>
        <w:rPr>
          <w:rFonts w:ascii="Times New Roman" w:cs="Times New Roman" w:eastAsia="Times New Roman" w:hAnsi="Times New Roman"/>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Section 6.3 — Application Appeals</w:t>
      </w:r>
    </w:p>
    <w:p>
      <w:pPr>
        <w:spacing w:after="60" w:before="60" w:line="280" w:lineRule="auto"/>
        <w:jc w:val="both"/>
      </w:pPr>
      <w:r>
        <w:rPr>
          <w:rFonts w:ascii="Times New Roman" w:cs="Times New Roman" w:eastAsia="Times New Roman" w:hAnsi="Times New Roman"/>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Inspectorate.7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VIII — THE INSPECTORATES</w:t>
      </w:r>
    </w:p>
    <w:p>
      <w:pPr>
        <w:spacing w:after="60" w:before="60" w:line="280" w:lineRule="auto"/>
        <w:jc w:val="both"/>
      </w:pPr>
      <w:r>
        <w:rPr>
          <w:rFonts w:ascii="Times New Roman" w:cs="Times New Roman" w:eastAsia="Times New Roman" w:hAnsi="Times New Roman"/>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Section 8.2 — Selection and Independence</w:t>
      </w:r>
    </w:p>
    <w:p>
      <w:pPr>
        <w:spacing w:after="60" w:before="60" w:line="280" w:lineRule="auto"/>
        <w:jc w:val="both"/>
      </w:pPr>
      <w:r>
        <w:rPr>
          <w:rFonts w:ascii="Times New Roman" w:cs="Times New Roman" w:eastAsia="Times New Roman" w:hAnsi="Times New Roman"/>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Section 8.5 — IG Removal: Two-Track System</w:t>
      </w:r>
    </w:p>
    <w:p>
      <w:pPr>
        <w:spacing w:after="60" w:before="60" w:line="280" w:lineRule="auto"/>
        <w:jc w:val="both"/>
      </w:pPr>
      <w:r>
        <w:rPr>
          <w:rFonts w:ascii="Times New Roman" w:cs="Times New Roman" w:eastAsia="Times New Roman" w:hAnsi="Times New Roman"/>
          <w:color w:val="000000"/>
          <w:sz w:val="22"/>
          <w:szCs w:val="22"/>
        </w:rPr>
        <w:t>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Section 8.6 — The Information-Only Mandate</w:t>
      </w:r>
    </w:p>
    <w:p>
      <w:pPr>
        <w:spacing w:after="60" w:before="60" w:line="280" w:lineRule="auto"/>
        <w:jc w:val="both"/>
      </w:pPr>
      <w:r>
        <w:rPr>
          <w:rFonts w:ascii="Times New Roman" w:cs="Times New Roman" w:eastAsia="Times New Roman" w:hAnsi="Times New Roman"/>
          <w:color w:val="000000"/>
          <w:sz w:val="22"/>
          <w:szCs w:val="22"/>
        </w:rPr>
        <w:t>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Section 8.9 — The State Designee Panel</w:t>
      </w:r>
    </w:p>
    <w:p>
      <w:pPr>
        <w:spacing w:after="60" w:before="60" w:line="280" w:lineRule="auto"/>
        <w:jc w:val="both"/>
      </w:pPr>
      <w:r>
        <w:rPr>
          <w:rFonts w:ascii="Times New Roman" w:cs="Times New Roman" w:eastAsia="Times New Roman" w:hAnsi="Times New Roman"/>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IX — THE NATIONAL RECORD SYSTEM</w:t>
      </w:r>
    </w:p>
    <w:p>
      <w:pPr>
        <w:spacing w:after="60" w:before="60" w:line="280" w:lineRule="auto"/>
        <w:jc w:val="both"/>
      </w:pPr>
      <w:r>
        <w:rPr>
          <w:rFonts w:ascii="Times New Roman" w:cs="Times New Roman" w:eastAsia="Times New Roman" w:hAnsi="Times New Roman"/>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9.4 — Emergency Mode</w:t>
      </w:r>
    </w:p>
    <w:p>
      <w:pPr>
        <w:spacing w:after="60" w:before="60" w:line="280" w:lineRule="auto"/>
        <w:jc w:val="both"/>
      </w:pPr>
      <w:r>
        <w:rPr>
          <w:rFonts w:ascii="Times New Roman" w:cs="Times New Roman" w:eastAsia="Times New Roman" w:hAnsi="Times New Roman"/>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Section 9.5 — Classification Framework</w:t>
      </w:r>
    </w:p>
    <w:p>
      <w:pPr>
        <w:spacing w:after="60" w:before="60" w:line="280" w:lineRule="auto"/>
        <w:jc w:val="both"/>
      </w:pPr>
      <w:r>
        <w:rPr>
          <w:rFonts w:ascii="Times New Roman" w:cs="Times New Roman" w:eastAsia="Times New Roman" w:hAnsi="Times New Roman"/>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Section 10.2 — Taxation Authority</w:t>
      </w:r>
    </w:p>
    <w:p>
      <w:pPr>
        <w:spacing w:after="60" w:before="60" w:line="280" w:lineRule="auto"/>
        <w:jc w:val="both"/>
      </w:pPr>
      <w:r>
        <w:rPr>
          <w:rFonts w:ascii="Times New Roman" w:cs="Times New Roman" w:eastAsia="Times New Roman" w:hAnsi="Times New Roman"/>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 under §10.6.</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before="200" w:after="80"/>
      </w:pPr>
      <w:r>
        <w:rPr>
          <w:b/>
          <w:sz w:val="24"/>
          <w:color w:val="1B2A4A"/>
        </w:rPr>
        <w:t>Section 12.2 — Military Operations Framework</w:t>
      </w:r>
    </w:p>
    <w:p>
      <w:pPr>
        <w:spacing w:before="60" w:after="60" w:line="280" w:lineRule="auto"/>
        <w:jc w:val="both"/>
      </w:pPr>
      <w:r>
        <w:rPr>
          <w:b/>
          <w:sz w:val="22"/>
          <w:color w:val="1B2A4A"/>
        </w:rPr>
        <w:t xml:space="preserve">12.2.a Legislative Declaration of Defense: </w:t>
      </w:r>
      <w:r>
        <w:rPr>
          <w:sz w:val="22"/>
        </w:rPr>
        <w:t>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before="60" w:after="60" w:line="280" w:lineRule="auto"/>
        <w:jc w:val="both"/>
      </w:pPr>
      <w:r>
        <w:rPr>
          <w:b/>
          <w:sz w:val="22"/>
          <w:color w:val="1B2A4A"/>
        </w:rPr>
        <w:t xml:space="preserve">12.2.b Prohibition on Wars of Aggression: </w:t>
      </w:r>
      <w:r>
        <w:rPr>
          <w:sz w:val="22"/>
        </w:rPr>
        <w:t>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before="60" w:after="60" w:line="280" w:lineRule="auto"/>
        <w:jc w:val="both"/>
      </w:pPr>
      <w:r>
        <w:rPr>
          <w:b/>
          <w:sz w:val="22"/>
          <w:color w:val="1B2A4A"/>
        </w:rPr>
        <w:t xml:space="preserve">12.2.c Offensive Operations: </w:t>
      </w:r>
      <w:r>
        <w:rPr>
          <w:sz w:val="22"/>
        </w:rPr>
        <w:t>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spacing w:before="200" w:after="80"/>
      </w:pPr>
      <w:r>
        <w:rPr>
          <w:b/>
          <w:sz w:val="24"/>
          <w:color w:val="1B2A4A"/>
        </w:rPr>
        <w:t>Section 12.3 — Intelligence Firewall</w:t>
      </w:r>
    </w:p>
    <w:p>
      <w:pPr>
        <w:spacing w:before="60" w:after="60" w:line="280" w:lineRule="auto"/>
        <w:jc w:val="both"/>
      </w:pPr>
      <w:r>
        <w:rPr>
          <w:b/>
          <w:sz w:val="22"/>
          <w:color w:val="1B2A4A"/>
        </w:rPr>
        <w:t xml:space="preserve">12.3 Intelligence Firewall: </w:t>
      </w:r>
      <w:r>
        <w:rPr>
          <w:sz w:val="22"/>
        </w:rPr>
        <w:t>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12.4 — Post-Conflict Obligations</w:t>
      </w:r>
    </w:p>
    <w:p>
      <w:pPr>
        <w:spacing w:before="60" w:after="60" w:line="280" w:lineRule="auto"/>
        <w:jc w:val="both"/>
      </w:pPr>
      <w:r>
        <w:rPr>
          <w:b/>
          <w:sz w:val="22"/>
          <w:color w:val="1B2A4A"/>
        </w:rPr>
        <w:t xml:space="preserve">12.4 Post-Conflict Obligations: </w:t>
      </w:r>
      <w:r>
        <w:rPr>
          <w:sz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before="200" w:after="80"/>
      </w:pPr>
      <w:r>
        <w:rPr>
          <w:b/>
          <w:sz w:val="24"/>
          <w:color w:val="1B2A4A"/>
        </w:rPr>
        <w:t>Section 12.5 — Treaty-Triggered Military Obligations</w:t>
      </w:r>
    </w:p>
    <w:p>
      <w:pPr>
        <w:spacing w:before="60" w:after="60" w:line="280" w:lineRule="auto"/>
        <w:jc w:val="both"/>
      </w:pPr>
      <w:r>
        <w:rPr>
          <w:b/>
          <w:sz w:val="22"/>
          <w:color w:val="1B2A4A"/>
        </w:rPr>
        <w:t xml:space="preserve">12.5 Treaty Obligations: </w:t>
      </w:r>
      <w:r>
        <w:rPr>
          <w:sz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13.1 — Territorial Compact</w:t>
      </w:r>
    </w:p>
    <w:p>
      <w:pPr>
        <w:spacing w:after="60" w:before="60" w:line="280" w:lineRule="auto"/>
        <w:jc w:val="both"/>
      </w:pPr>
      <w:r>
        <w:rPr>
          <w:rFonts w:ascii="Times New Roman" w:cs="Times New Roman" w:eastAsia="Times New Roman" w:hAnsi="Times New Roman"/>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Section 13.2 — Requirements for Statehood</w:t>
      </w:r>
    </w:p>
    <w:p>
      <w:pPr>
        <w:spacing w:after="60" w:before="60" w:line="280" w:lineRule="auto"/>
        <w:jc w:val="both"/>
      </w:pPr>
      <w:r>
        <w:rPr>
          <w:rFonts w:ascii="Times New Roman" w:cs="Times New Roman" w:eastAsia="Times New Roman" w:hAnsi="Times New Roman"/>
          <w:color w:val="000000"/>
          <w:sz w:val="22"/>
          <w:szCs w:val="22"/>
        </w:rPr>
        <w:t>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Section 13.3 — Mandatory State Devolution</w:t>
      </w:r>
    </w:p>
    <w:p>
      <w:pPr>
        <w:spacing w:after="60" w:before="60" w:line="280" w:lineRule="auto"/>
        <w:jc w:val="both"/>
      </w:pPr>
      <w:r>
        <w:rPr>
          <w:rFonts w:ascii="Times New Roman" w:cs="Times New Roman" w:eastAsia="Times New Roman" w:hAnsi="Times New Roman"/>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Section 13.4 — Voluntary Devolution</w:t>
      </w:r>
    </w:p>
    <w:p>
      <w:pPr>
        <w:spacing w:after="60" w:before="60" w:line="280" w:lineRule="auto"/>
        <w:jc w:val="both"/>
      </w:pPr>
      <w:r>
        <w:rPr>
          <w:rFonts w:ascii="Times New Roman" w:cs="Times New Roman" w:eastAsia="Times New Roman" w:hAnsi="Times New Roman"/>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Section 13.5 — Associated Community Cross-Reference</w:t>
      </w:r>
    </w:p>
    <w:p>
      <w:pPr>
        <w:spacing w:after="60" w:before="60" w:line="280" w:lineRule="auto"/>
        <w:jc w:val="both"/>
      </w:pPr>
      <w:r>
        <w:rPr>
          <w:rFonts w:ascii="Times New Roman" w:cs="Times New Roman" w:eastAsia="Times New Roman" w:hAnsi="Times New Roman"/>
          <w:b/>
          <w:bCs/>
          <w:color w:val="1B2A4A"/>
          <w:sz w:val="22"/>
          <w:szCs w:val="22"/>
        </w:rPr>
        <w:t xml:space="preserve">13.5 Associated Community Relationships: </w:t>
      </w:r>
      <w:r>
        <w:rPr>
          <w:rFonts w:ascii="Times New Roman" w:cs="Times New Roman" w:eastAsia="Times New Roman" w:hAnsi="Times New Roman"/>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Bdr>
          <w:bottom w:val="single" w:color="7A7060" w:sz="2" w:space="4"/>
        </w:pBdr>
        <w:spacing w:after="60" w:before="280"/>
      </w:pPr>
      <w:r>
        <w:rPr>
          <w:rFonts w:ascii="Times New Roman" w:cs="Times New Roman" w:eastAsia="Times New Roman" w:hAnsi="Times New Roman"/>
          <w:b/>
          <w:bCs/>
          <w:color w:val="1B2A4A"/>
          <w:sz w:val="23"/>
          <w:szCs w:val="23"/>
        </w:rPr>
        <w:t>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Section 14.4 — Indigenous Lands</w:t>
      </w:r>
    </w:p>
    <w:p>
      <w:pPr>
        <w:spacing w:after="60" w:before="60" w:line="280" w:lineRule="auto"/>
        <w:jc w:val="both"/>
      </w:pPr>
      <w:r>
        <w:rPr>
          <w:rFonts w:ascii="Times New Roman" w:cs="Times New Roman" w:eastAsia="Times New Roman" w:hAnsi="Times New Roman"/>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Four status options are available:</w:t>
      </w:r>
    </w:p>
    <w:p>
      <w:pPr>
        <w:spacing w:after="60" w:before="60" w:line="280" w:lineRule="auto"/>
        <w:jc w:val="both"/>
      </w:pPr>
      <w:r>
        <w:rPr>
          <w:rFonts w:ascii="Times New Roman" w:cs="Times New Roman" w:eastAsia="Times New Roman" w:hAnsi="Times New Roman"/>
          <w:color w:val="000000"/>
          <w:sz w:val="22"/>
          <w:szCs w:val="22"/>
        </w:rPr>
        <w:t>(a)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16.1 — The Electoral Commission</w:t>
      </w:r>
    </w:p>
    <w:p>
      <w:pPr>
        <w:spacing w:after="60" w:before="60" w:line="280" w:lineRule="auto"/>
        <w:jc w:val="both"/>
      </w:pPr>
      <w:r>
        <w:rPr>
          <w:rFonts w:ascii="Times New Roman" w:cs="Times New Roman" w:eastAsia="Times New Roman" w:hAnsi="Times New Roman"/>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Section 16.2 — Member Qualifications</w:t>
      </w:r>
    </w:p>
    <w:p>
      <w:pPr>
        <w:spacing w:after="60" w:before="60" w:line="280" w:lineRule="auto"/>
        <w:jc w:val="both"/>
      </w:pPr>
      <w:r>
        <w:rPr>
          <w:rFonts w:ascii="Times New Roman" w:cs="Times New Roman" w:eastAsia="Times New Roman" w:hAnsi="Times New Roman"/>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Bdr>
          <w:bottom w:val="single" w:color="7A7060" w:sz="2" w:space="4"/>
        </w:pBdr>
        <w:spacing w:after="60" w:before="280"/>
      </w:pPr>
      <w:r>
        <w:rPr>
          <w:rFonts w:ascii="Times New Roman" w:cs="Times New Roman" w:eastAsia="Times New Roman" w:hAnsi="Times New Roman"/>
          <w:b/>
          <w:bCs/>
          <w:color w:val="1B2A4A"/>
          <w:sz w:val="23"/>
          <w:szCs w:val="23"/>
        </w:rPr>
        <w:t>Section 16.3 — Constitutional Properties of the National Voting System</w:t>
      </w:r>
    </w:p>
    <w:p>
      <w:pPr>
        <w:spacing w:after="60" w:before="60" w:line="280" w:lineRule="auto"/>
        <w:jc w:val="both"/>
      </w:pPr>
      <w:r>
        <w:rPr>
          <w:rFonts w:ascii="Times New Roman" w:cs="Times New Roman" w:eastAsia="Times New Roman" w:hAnsi="Times New Roman"/>
          <w:b/>
          <w:bCs/>
          <w:color w:val="1B2A4A"/>
          <w:sz w:val="22"/>
          <w:szCs w:val="22"/>
        </w:rPr>
        <w:t xml:space="preserve">16.2.a Electoral Commission Removal: </w:t>
      </w:r>
      <w:r>
        <w:rPr>
          <w:rFonts w:ascii="Times New Roman" w:cs="Times New Roman" w:eastAsia="Times New Roman" w:hAnsi="Times New Roman"/>
          <w:color w:val="000000"/>
          <w:sz w:val="22"/>
          <w:szCs w:val="22"/>
        </w:rPr>
        <w:t>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until the removal vote concludes; they may not be suspended from duties pending the JI finding or the legislative vote.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spacing w:after="60" w:before="60" w:line="280" w:lineRule="auto"/>
        <w:jc w:val="both"/>
      </w:pPr>
      <w:r>
        <w:rPr>
          <w:rFonts w:ascii="Times New Roman" w:cs="Times New Roman" w:eastAsia="Times New Roman" w:hAnsi="Times New Roman"/>
          <w:color w:val="000000"/>
          <w:sz w:val="22"/>
          <w:szCs w:val="22"/>
        </w:rPr>
        <w:t>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the Legislature may by statute authorize authenticated remote voting through the National Voting System. No statute may permanently prohibit remote voting as a method of participation.</w:t>
      </w:r>
    </w:p>
    <w:p>
      <w:pPr>
        <w:spacing w:before="60" w:after="60" w:line="280" w:lineRule="auto"/>
        <w:jc w:val="both"/>
      </w:pPr>
      <w:r>
        <w:rPr>
          <w:b/>
          <w:sz w:val="22"/>
          <w:color w:val="1B2A4A"/>
        </w:rPr>
        <w:t xml:space="preserve">16.4.c State Voting Method Flexibility: </w:t>
      </w:r>
      <w:r>
        <w:rPr>
          <w:sz w:val="22"/>
        </w:rPr>
        <w:t>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before="60" w:after="60" w:line="280" w:lineRule="auto"/>
        <w:jc w:val="both"/>
      </w:pPr>
      <w:r>
        <w:rPr>
          <w:b/>
          <w:sz w:val="22"/>
          <w:color w:val="1B2A4A"/>
        </w:rPr>
        <w:t xml:space="preserve">16.4.d Federal Ballot Information: </w:t>
      </w:r>
      <w:r>
        <w:rPr>
          <w:sz w:val="22"/>
        </w:rPr>
        <w:t>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before="60" w:after="60" w:line="280" w:lineRule="auto"/>
        <w:jc w:val="both"/>
      </w:pPr>
      <w:r>
        <w:rPr>
          <w:b/>
          <w:sz w:val="22"/>
          <w:color w:val="1B2A4A"/>
        </w:rPr>
        <w:t xml:space="preserve">16.4.e State Ballot Information on Request: </w:t>
      </w:r>
      <w:r>
        <w:rPr>
          <w:sz w:val="22"/>
        </w:rPr>
        <w:t>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Section 17.1 — The Use Doctrine</w:t>
      </w:r>
    </w:p>
    <w:p>
      <w:pPr>
        <w:spacing w:after="60" w:before="60" w:line="280" w:lineRule="auto"/>
        <w:jc w:val="both"/>
      </w:pPr>
      <w:r>
        <w:rPr>
          <w:rFonts w:ascii="Times New Roman" w:cs="Times New Roman" w:eastAsia="Times New Roman" w:hAnsi="Times New Roman"/>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Section 17.3 — Operational Use Rights</w:t>
      </w:r>
    </w:p>
    <w:p>
      <w:pPr>
        <w:spacing w:after="60" w:before="60" w:line="280" w:lineRule="auto"/>
        <w:jc w:val="both"/>
      </w:pPr>
      <w:r>
        <w:rPr>
          <w:rFonts w:ascii="Times New Roman" w:cs="Times New Roman" w:eastAsia="Times New Roman" w:hAnsi="Times New Roman"/>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17.4 — The National Trust</w:t>
      </w:r>
    </w:p>
    <w:p>
      <w:pPr>
        <w:spacing w:after="60" w:before="60" w:line="280" w:lineRule="auto"/>
        <w:jc w:val="both"/>
      </w:pPr>
      <w:r>
        <w:rPr>
          <w:rFonts w:ascii="Times New Roman" w:cs="Times New Roman" w:eastAsia="Times New Roman" w:hAnsi="Times New Roman"/>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18.2 — Public Campaign Funding</w:t>
      </w:r>
    </w:p>
    <w:p>
      <w:pPr>
        <w:spacing w:after="60" w:before="60" w:line="280" w:lineRule="auto"/>
        <w:jc w:val="both"/>
      </w:pPr>
      <w:r>
        <w:rPr>
          <w:rFonts w:ascii="Times New Roman" w:cs="Times New Roman" w:eastAsia="Times New Roman" w:hAnsi="Times New Roman"/>
          <w:color w:val="000000"/>
          <w:sz w:val="22"/>
          <w:szCs w:val="22"/>
        </w:rPr>
        <w:t>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This Constitution is activated upon: </w:t>
      </w:r>
      <w:r>
        <w:rPr>
          <w:rFonts w:ascii="Times New Roman" w:cs="Times New Roman" w:eastAsia="Times New Roman" w:hAnsi="Times New Roman"/>
          <w:color w:val="000000"/>
          <w:sz w:val="22"/>
          <w:szCs w:val="22"/>
        </w:rPr>
        <w:t>(1)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Section 19.2 — Day Zero</w:t>
      </w:r>
    </w:p>
    <w:p>
      <w:pPr>
        <w:spacing w:after="60" w:before="60" w:line="280" w:lineRule="auto"/>
        <w:jc w:val="both"/>
      </w:pPr>
      <w:r>
        <w:rPr>
          <w:rFonts w:ascii="Times New Roman" w:cs="Times New Roman" w:eastAsia="Times New Roman" w:hAnsi="Times New Roman"/>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Section 19.3 — The Four-Phase Transition</w:t>
      </w:r>
    </w:p>
    <w:p>
      <w:pPr>
        <w:spacing w:after="60" w:before="60" w:line="280" w:lineRule="auto"/>
        <w:jc w:val="both"/>
      </w:pPr>
      <w:r>
        <w:rPr>
          <w:rFonts w:ascii="Times New Roman" w:cs="Times New Roman" w:eastAsia="Times New Roman" w:hAnsi="Times New Roman"/>
          <w:color w:val="000000"/>
          <w:sz w:val="22"/>
          <w:szCs w:val="22"/>
        </w:rPr>
        <w:t>The transition is structured as an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before="60" w:after="60" w:line="280" w:lineRule="auto"/>
        <w:jc w:val="both"/>
      </w:pPr>
      <w:r>
        <w:rPr>
          <w:b/>
          <w:sz w:val="22"/>
          <w:color w:val="1B2A4A"/>
        </w:rPr>
        <w:t xml:space="preserve">19.3.g Phase Extension Mechanism: </w:t>
      </w:r>
      <w:r>
        <w:rPr>
          <w:sz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Section 19.4 — Caretaker Status</w:t>
      </w:r>
    </w:p>
    <w:p>
      <w:pPr>
        <w:spacing w:after="60" w:before="60" w:line="280" w:lineRule="auto"/>
        <w:jc w:val="both"/>
      </w:pPr>
      <w:r>
        <w:rPr>
          <w:rFonts w:ascii="Times New Roman" w:cs="Times New Roman" w:eastAsia="Times New Roman" w:hAnsi="Times New Roman"/>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line="280" w:lineRule="auto"/>
        <w:jc w:val="both"/>
      </w:pPr>
      <w:r>
        <w:rPr>
          <w:rFonts w:ascii="Times New Roman" w:cs="Times New Roman" w:eastAsia="Times New Roman" w:hAnsi="Times New Roman"/>
          <w:b/>
          <w:bCs/>
          <w:color w:val="1B2A4A"/>
          <w:sz w:val="22"/>
          <w:szCs w:val="22"/>
        </w:rPr>
        <w:t xml:space="preserve">19.7.e Joint Inspectorate Panel Role: </w:t>
      </w:r>
      <w:r>
        <w:rPr>
          <w:rFonts w:ascii="Times New Roman" w:cs="Times New Roman" w:eastAsia="Times New Roman" w:hAnsi="Times New Roman"/>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pBdr>
          <w:bottom w:val="single" w:color="7A7060" w:sz="2" w:space="4"/>
        </w:pBdr>
        <w:spacing w:after="60" w:before="280"/>
      </w:pPr>
      <w:r>
        <w:rPr>
          <w:rFonts w:ascii="Times New Roman" w:cs="Times New Roman" w:eastAsia="Times New Roman" w:hAnsi="Times New Roman"/>
          <w:b/>
          <w:bCs/>
          <w:color w:val="1B2A4A"/>
          <w:sz w:val="23"/>
          <w:szCs w:val="23"/>
        </w:rPr>
        <w:t>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SCHEDULE A — AUTHORITY REFERENCE MATRIX</w:t>
      </w:r>
    </w:p>
    <w:p>
      <w:pPr>
        <w:spacing w:after="60" w:before="60" w:line="280" w:lineRule="auto"/>
        <w:jc w:val="both"/>
      </w:pPr>
      <w:r>
        <w:rPr>
          <w:rFonts w:ascii="Times New Roman" w:cs="Times New Roman" w:eastAsia="Times New Roman" w:hAnsi="Times New Roman"/>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2026-05-11T15:22:37.157Z</dcterms:created>
  <dcterms:modified xsi:type="dcterms:W3CDTF">2026-05-11T15:22:37.173Z</dcterms:modified>
</cp:coreProperties>
</file>

<file path=docProps/custom.xml><?xml version="1.0" encoding="utf-8"?>
<Properties xmlns="http://schemas.openxmlformats.org/officeDocument/2006/custom-properties" xmlns:vt="http://schemas.openxmlformats.org/officeDocument/2006/docPropsVTypes"/>
</file>