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Inspectorate.7.</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Inspectorate.7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spacing w:after="60" w:before="60" w:line="280" w:lineRule="auto"/>
        <w:jc w:val="both"/>
      </w:pPr>
      <w:r>
        <w:rPr>
          <w:rFonts w:ascii="Times New Roman" w:cs="Times New Roman" w:eastAsia="Times New Roman" w:hAnsi="Times New Roman"/>
          <w:b/>
          <w:bCs/>
          <w:color w:val="1B2A4A"/>
          <w:sz w:val="22"/>
          <w:szCs w:val="22"/>
        </w:rPr>
        <w:t xml:space="preserve">2.1.i Presidential Officer Appointments and Removal: </w:t>
      </w:r>
      <w:r>
        <w:rPr>
          <w:rFonts w:ascii="Times New Roman" w:cs="Times New Roman" w:eastAsia="Times New Roman" w:hAnsi="Times New Roman"/>
          <w:color w:val="000000"/>
          <w:sz w:val="22"/>
          <w:szCs w:val="22"/>
        </w:rPr>
        <w:t xml:space="preserve">The President nominates persons to lead the executive functions within the President's domain — including the Director of Intelligence, the Secretary for Foreign Affairs, the Secretary for Defense, and equivalent senior positions established by statute within the defense and foreign affairs domain. The Senate confirms each nomination by simple majority of its full seated membership within a period the Legislature defines by statute; failure to vote within that period results in Deemed Confirmation. All nominations, confirmations, and Deemed Confirmations are published to the National Record System within 24 hours. Presidential Officer Removal: The President may remove any officer confirmed under this provision by submitting a written Notice of Intended Removal to the Senate, published simultaneously to the National Record System. The Senate has 30 days from the date of publication to approve the removal by simple majority of its full seated membership. If the Senate approves within 30 days, the removal takes effect immediately upon the Senate vote. If the Senate does not vote within 30 days, the removal is deemed approved and takes effect on day 31. If the Senate votes to deny the removal within 30 days by simple majority, the officer remains in post and the President may not resubmit a removal notice for the same officer for one year from the date of the Senate's denial. The Senate denial does not prevent the Legislature from initiating removal under §3.5, which operates independently. An officer subject to an active §3.5 proceeding may not be removed by the President under this provision until those proceedings conclude — this prevents the President from using the removal power to obstruct a legislative accountability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is removed exclusively through the two tracks of this section. §3.5 impeachment does not apply to the President.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Dissolution and Emergency Elections: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Members who were present and voting during the statutory selection period are subject to the election bar described in §2.3.a, subject to the good-faith participation exemption of that section. The Senate Speaker cremain in office and continue trying to seat a PM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000000"/>
          <w:sz w:val="22"/>
          <w:szCs w:val="22"/>
        </w:rPr>
        <w:t xml:space="preserve">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dissolution, and post-dissolution election bar provisions of §2.3 operate independently of this term limit. A member who reaches the 6-term limit and whose cooling-off period coincides with a caretaker period serves the term-limit cooling-off from the later start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to: officers appointed by and serving in the President's executive domain — including intelligence directors, senior diplomatic officers, and military commanders serving in civilian advisory capacities — and to inferior court judges. The President is not subject to this section — presidential removal is governed exclusively by §2.10. The Prime Minister is not subject to this section — PM removal is governed exclusively by the constructive no-confidence mechanism of §2.3.b. Supreme Court justices are not subject to this section — SC removal is governed exclusively by §4.1.c. Legislative members of the House and Senate are not subject to this section — their removal is governed exclusively by §3.6.</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Senate Nomination: </w:t>
      </w:r>
      <w:r>
        <w:rPr>
          <w:rFonts w:ascii="Times New Roman" w:cs="Times New Roman" w:eastAsia="Times New Roman" w:hAnsi="Times New Roman"/>
          <w:color w:val="000000"/>
          <w:sz w:val="22"/>
          <w:szCs w:val="22"/>
        </w:rPr>
        <w:t xml:space="preserve">Where the PM fails to nominate within 90 days of a vacancy, the Senate may nominate a candidate. The Senate's nominee must meet the same professional qualifications the PM would be expected to apply and is subject to the same EI disclosure review as a PM-nominated candidate under §4.1.b before the House confirmation vote.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removal mechanism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spacing w:after="60" w:before="60" w:line="280" w:lineRule="auto"/>
        <w:jc w:val="both"/>
      </w:pPr>
      <w:r>
        <w:rPr>
          <w:rFonts w:ascii="Times New Roman" w:cs="Times New Roman" w:eastAsia="Times New Roman" w:hAnsi="Times New Roman"/>
          <w:b/>
          <w:bCs/>
          <w:color w:val="1B2A4A"/>
          <w:sz w:val="22"/>
          <w:szCs w:val="22"/>
        </w:rPr>
        <w:t xml:space="preserve">4.1.c Judicial Removal: </w:t>
      </w:r>
      <w:r>
        <w:rPr>
          <w:rFonts w:ascii="Times New Roman" w:cs="Times New Roman" w:eastAsia="Times New Roman" w:hAnsi="Times New Roman"/>
          <w:color w:val="000000"/>
          <w:sz w:val="22"/>
          <w:szCs w:val="22"/>
        </w:rPr>
        <w:t xml:space="preserve">Supreme Court Justice Removal: A Supreme Court justice may be removed by a concurrent vote of 2/3 of the full seated membership of both chambers. The House must first pass a Statement of Grounds — a written document specifying the specific conduct, decisions, or failures constituting the basis for removal, published to the National Record System simultaneously with the House vote — by a 2/3 majority of its full seated membership. The Senate then conducts a trial under §3.5.c mechanics, limited to the grounds stated. The Senate may not convict on grounds not included in the Statement. Removal requires a 2/3 majority of the full seated Senate membership. Both thresholds are of full seated membership, not merely those present on the day of the vote. No popular recall mechanism applies to Supreme Court justices — judicial independence requires insulation from democratic pressure on specific rulings. Inferior court judges are removed through the §3.5 impeachment process, which applies to all inferior court judges in full.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Open-Candidacy Judicial Selection: </w:t>
      </w:r>
      <w:r>
        <w:rPr>
          <w:rFonts w:ascii="Times New Roman" w:cs="Times New Roman" w:eastAsia="Times New Roman" w:hAnsi="Times New Roman"/>
          <w:color w:val="000000"/>
          <w:sz w:val="22"/>
          <w:szCs w:val="22"/>
        </w:rPr>
        <w:t xml:space="preserve">Each open Supreme Court seat is filled through an open-candidacy election process. Any citizen on the Supreme Court Candidate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Candidate Registration: </w:t>
      </w:r>
      <w:r>
        <w:rPr>
          <w:rFonts w:ascii="Times New Roman" w:cs="Times New Roman" w:eastAsia="Times New Roman" w:hAnsi="Times New Roman"/>
          <w:color w:val="000000"/>
          <w:sz w:val="22"/>
          <w:szCs w:val="22"/>
        </w:rPr>
        <w:t xml:space="preserve">Any citizen whose name appears on the Judicial Inspectorate's Supreme Court Candidate Registry maintained under §8.4.e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Judicial Selection Board: </w:t>
      </w:r>
      <w:r>
        <w:rPr>
          <w:rFonts w:ascii="Times New Roman" w:cs="Times New Roman" w:eastAsia="Times New Roman" w:hAnsi="Times New Roman"/>
          <w:color w:val="000000"/>
          <w:sz w:val="22"/>
          <w:szCs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Certification: </w:t>
      </w:r>
      <w:r>
        <w:rPr>
          <w:rFonts w:ascii="Times New Roman" w:cs="Times New Roman" w:eastAsia="Times New Roman" w:hAnsi="Times New Roman"/>
          <w:color w:val="000000"/>
          <w:sz w:val="22"/>
          <w:szCs w:val="22"/>
        </w:rPr>
        <w:t xml:space="preserve">Before any candidate may appear on the ballot, the Judicial Inspectorate confirms that the candidate remains on the Supreme Court Candidate Registry, that no disqualifying change in circumstances has occurred since Registry admission, and that the specific eligibility criteria of §8.4.e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 xml:space="preserve">4.2.e Mid-Term Vacancies: </w:t>
      </w:r>
      <w:r>
        <w:rPr>
          <w:rFonts w:ascii="Times New Roman" w:cs="Times New Roman" w:eastAsia="Times New Roman" w:hAnsi="Times New Roman"/>
          <w:color w:val="000000"/>
          <w:sz w:val="22"/>
          <w:szCs w:val="22"/>
        </w:rPr>
        <w:t xml:space="preserve">Where a Supreme Court seat becomes vacant mid-term through death, resignation, removal, or expulsion, a special election is held within 90 days. The full open-candidacy process of §4.2.a through §4.2.d applies, with timelines compressed to fit the 90-day window: candidate registration closes at day 14; EI review completes by day 28; Judicial Selection Board assessment is published by day 45; JI certification completes by day 55; election is held no later than day 90. The replacement justice serves only the remainder of the original 12-year term, not a new term. Where the compressed timeline cannot be met due to extraordinary circumstances, the Judicial Inspectorate may extend the window by no more than 30 days and publishes the extension and grounds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 xml:space="preserve">4.2.g Vacancy Operating Rules: </w:t>
      </w:r>
      <w:r>
        <w:rPr>
          <w:rFonts w:ascii="Times New Roman" w:cs="Times New Roman" w:eastAsia="Times New Roman" w:hAnsi="Times New Roman"/>
          <w:color w:val="000000"/>
          <w:sz w:val="22"/>
          <w:szCs w:val="22"/>
        </w:rPr>
        <w:t xml:space="preserve">During any period when a Supreme Court seat is vacant, the Court continues to function with its remaining seated justices. Where a case produces an equal division among seated justices with no majority position, the lower court's ruling is affirmed without creating binding precedent for any court of the Republic. This affirmance-without-precedent rule applies only during vacancy periods and expires when the vacant seat is filled. the Legislature may not alter this rule in any way that restricts the Court's ability to issue binding rulings on constitutional questions during extended vacancies.</w:t>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 As an example using five regions: a candidate who receives 60% of national first-preference votes and wins 3 of 5 regions would score (0.65 × 0.60) + (0.35 × 3/5) = 0.39 + 0.21 = 0.60, comfortably winning.</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Inspectorate.7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(§12.5.c),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Supreme Court Candidate Registry (§8.4.e);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Judicial IG Candidate Pool: </w:t>
      </w:r>
      <w:r>
        <w:rPr>
          <w:rFonts w:ascii="Times New Roman" w:cs="Times New Roman" w:eastAsia="Times New Roman" w:hAnsi="Times New Roman"/>
          <w:color w:val="000000"/>
          <w:sz w:val="22"/>
          <w:szCs w:val="22"/>
        </w:rPr>
        <w:t xml:space="preserve">Maintained by the Judicial Inspectorate. The Pool consists of persons with the analytical, research, and writing competence to perform systematic fact-finding and clear reporting within the judicial domain. The Judicial IG's function is information-gathering and factual reporting — not legal determination. Accordingly, specific professional qualifications for Pool membership are defined by the Legislature by statute, and must reflect the research and reporting nature of the role rather than judicial or legal credentials as such. The constitutional minimum requirements for Pool membership are: no elected or appointed government position within the prior 10 years; no financial interest in any entity regulated by the Republic; and no criminal conviction for conduct committed while holding any government position. These minimums may not be reduced by statute — the Legislature may only add to them. The existing appeals process under §8.9.d applies to any Pool exclusion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000000"/>
          <w:sz w:val="22"/>
          <w:szCs w:val="22"/>
        </w:rPr>
        <w:t xml:space="preserve">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p>
    <w:p>
      <w:pPr>
        <w:spacing w:after="60" w:before="60" w:line="280" w:lineRule="auto"/>
        <w:jc w:val="both"/>
      </w:pPr>
      <w:r>
        <w:rPr>
          <w:rFonts w:ascii="Times New Roman" w:cs="Times New Roman" w:eastAsia="Times New Roman" w:hAnsi="Times New Roman"/>
          <w:b/>
          <w:bCs/>
          <w:color w:val="1B2A4A"/>
          <w:sz w:val="22"/>
          <w:szCs w:val="22"/>
        </w:rPr>
        <w:t xml:space="preserve">8.4.e Supreme Court Candidate Registry: </w:t>
      </w:r>
      <w:r>
        <w:rPr>
          <w:rFonts w:ascii="Times New Roman" w:cs="Times New Roman" w:eastAsia="Times New Roman" w:hAnsi="Times New Roman"/>
          <w:color w:val="000000"/>
          <w:sz w:val="22"/>
          <w:szCs w:val="22"/>
        </w:rPr>
        <w:t xml:space="preserve">Maintained by the Judicial Inspectorate separately from the Judicial IG Candidate Pool of §8.4.a. The SC Registry serves exclusively as the eligibility register for Supreme Court candidacy under §4.2. Any citizen meeting the following criteria may apply for inclusion: (1) a minimum of 15 years of legal practice, or a minimum of 10 years of service as a judge on any court within the Republic's jurisdiction, or both — prior or current judicial service does not disqualify; (2) active Republic citizenship at time of application; (3) no current position in the executive or legislative branches of the federal government; (4) no financial interest that would systematically affect impartiality on the Supreme Court; and (5) no criminal conviction for conduct committed while holding federal office. The Judicial Inspectorate reviews submitted registration records for factual accuracy against these criteria and publishes findings to the National Record System within 21 days of submission. Registry inclusion does not expire — a member remains on the Registry unless they no longer meet the criteria or voluntarily withdraw. The Inspectorate publishes an updated Registry annually to the NRS. Appeals of exclusion determinations proceed under §8.9.d.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 This standard covers: housing in session — standardized, no luxury stipends; healthcare and retirement — the same systems as the citizens officials serve; and compensation, defined by House statute under §10.6.</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Operations Framework</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Military operations authorized under Tier 3 (§2.1.c) require a Legislative Declaration of Defense passed by a 2/3 concurrent majority of both chambers. The Declaration must state the §12.1 purpose being served — purposes not enumerated in §12.1 do not qualify under any tier of authorization. The Declaration must be renewed by a 2/3 majority of both chambers every 180 days; failure to renew automatically terminates the authorization and all associated expenditure. A Declaration may be renewed for a maximum of ten consecutive 180-day periods — five years total — before a mandatory 90-day full cessation. After the cessation period, a new Declaration may be issued if the §12.1 grounds continue to apply.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Prohibition on Wars of Aggression: </w:t>
      </w:r>
      <w:r>
        <w:rPr>
          <w:rFonts w:ascii="Times New Roman" w:cs="Times New Roman" w:eastAsia="Times New Roman" w:hAnsi="Times New Roman"/>
          <w:color w:val="000000"/>
          <w:sz w:val="22"/>
          <w:szCs w:val="22"/>
        </w:rPr>
        <w:t xml:space="preserve">The Republic may not initiate or sustain military operations for the purpose of territorial acquisition, resource extraction, political control over a foreign population, or ideological imposition. Any Legislative Declaration or executive order purporting to authorize operations for a prohibited purpose is void. The three authorized purposes of §12.1 are exhaustive — purposes not enumerated there do not qualify under any tier of authorization.</w:t>
      </w:r>
    </w:p>
    <w:p>
      <w:pPr>
        <w:spacing w:after="60" w:before="60" w:line="280" w:lineRule="auto"/>
        <w:jc w:val="both"/>
      </w:pPr>
      <w:r>
        <w:rPr>
          <w:rFonts w:ascii="Times New Roman" w:cs="Times New Roman" w:eastAsia="Times New Roman" w:hAnsi="Times New Roman"/>
          <w:b/>
          <w:bCs/>
          <w:color w:val="1B2A4A"/>
          <w:sz w:val="22"/>
          <w:szCs w:val="22"/>
        </w:rPr>
        <w:t xml:space="preserve">12.2.c Offensive Operations: </w:t>
      </w:r>
      <w:r>
        <w:rPr>
          <w:rFonts w:ascii="Times New Roman" w:cs="Times New Roman" w:eastAsia="Times New Roman" w:hAnsi="Times New Roman"/>
          <w:color w:val="000000"/>
          <w:sz w:val="22"/>
          <w:szCs w:val="22"/>
        </w:rPr>
        <w:t xml:space="preserve">An offensive military operation is any sustained operation in which Republic armed forces cross into foreign sovereign territory beyond the immediate repulsion of an active attack on Republic territory, Republic forces, or the territory of a treaty ally. Hot-pursuit operations lasting less than 72 hours in response to an attack originating from foreign territory are not offensive operations for purposes of this provision. Offensive operations require Tier 2 or Tier 3 authorization and must identify the §12.1 purpose being served. The President may not initiate offensive operations under Tier 1 authority alone.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b/>
          <w:bCs/>
          <w:color w:val="1B2A4A"/>
          <w:sz w:val="22"/>
          <w:szCs w:val="22"/>
        </w:rPr>
        <w:t xml:space="preserve">12.3 Intelligence Firewall: </w:t>
      </w:r>
      <w:r>
        <w:rPr>
          <w:rFonts w:ascii="Times New Roman" w:cs="Times New Roman" w:eastAsia="Times New Roman" w:hAnsi="Times New Roman"/>
          <w:color w:val="000000"/>
          <w:sz w:val="22"/>
          <w:szCs w:val="22"/>
        </w:rPr>
        <w:t xml:space="preserve">All domestic intelligence operations against Republic citizens are permanently prohibited and constitutionally void. Any such order is reported to the National Record System by the Executive Inspectorate. This prohibition is non-derogable — it may not be suspended under any emergency declaration, treaty obligation, or legislative authorization.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b/>
          <w:bCs/>
          <w:color w:val="1B2A4A"/>
          <w:sz w:val="22"/>
          <w:szCs w:val="22"/>
        </w:rPr>
        <w:t xml:space="preserve">12.4 Post-Conflict Obligations: </w:t>
      </w: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b/>
          <w:bCs/>
          <w:color w:val="1B2A4A"/>
          <w:sz w:val="22"/>
          <w:szCs w:val="22"/>
        </w:rPr>
        <w:t xml:space="preserve">12.5 Treaty Obligations: </w:t>
      </w: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through constitutional means. Where the Legislature cannot convene in time to authorize a treaty-obligated response, the Prime Minister may issue a Treaty Emergency Certification authorizing emergency defense expenditure for up to 30 days, with written notification to both chambers within 12 hours of issuance. The Legislature must convene within 14 days to authorize or terminate the operation; failure to vote within 14 days is deemed termination of the certification and the associated expenditure authority.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13.5 — Associated Community Cross-Reference</w:t>
      </w:r>
    </w:p>
    <w:p>
      <w:pPr>
        <w:spacing w:after="60" w:before="60" w:line="280" w:lineRule="auto"/>
        <w:jc w:val="both"/>
      </w:pPr>
      <w:r>
        <w:rPr>
          <w:rFonts w:ascii="Times New Roman" w:cs="Times New Roman" w:eastAsia="Times New Roman" w:hAnsi="Times New Roman"/>
          <w:b/>
          <w:bCs/>
          <w:color w:val="1B2A4A"/>
          <w:sz w:val="22"/>
          <w:szCs w:val="22"/>
        </w:rPr>
        <w:t xml:space="preserve">13.5 Associated Community Relationships: </w:t>
      </w:r>
      <w:r>
        <w:rPr>
          <w:rFonts w:ascii="Times New Roman" w:cs="Times New Roman" w:eastAsia="Times New Roman" w:hAnsi="Times New Roman"/>
          <w:color w:val="000000"/>
          <w:sz w:val="22"/>
          <w:szCs w:val="22"/>
        </w:rPr>
        <w:t xml:space="preserve">Associated Community status — the constitutional framework governing compact relationships between the Republic and sovereign entities — is established in Article XX of this Constitution. §13.5 is reserved for the Article XX cross-reference. See Article XX for all provisions governing the establishment, terms, conditions, and termination of Associated Community compacts.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15.1.c Citizen-Led Path: </w:t>
      </w:r>
      <w:r>
        <w:rPr>
          <w:rFonts w:ascii="Times New Roman" w:cs="Times New Roman" w:eastAsia="Times New Roman" w:hAnsi="Times New Roman"/>
          <w:color w:val="000000"/>
          <w:sz w:val="22"/>
          <w:szCs w:val="22"/>
        </w:rPr>
        <w:t xml:space="preserve">A national vote conducted through the National Voting System achieving 70% affirmative support with at least 65% citizen participation. If participation exceeds 60% but falls short of 65% and the affirmative vote exceeds 75%, the Judicial Inspectorate may certify the amendment as presumptively valid subject to Supreme Court review within 30 days. The Electoral Commission certifies the result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b/>
          <w:bCs/>
          <w:color w:val="1B2A4A"/>
          <w:sz w:val="22"/>
          <w:szCs w:val="22"/>
        </w:rPr>
        <w:t xml:space="preserve">16.2.a Electoral Commission Removal: </w:t>
      </w:r>
      <w:r>
        <w:rPr>
          <w:rFonts w:ascii="Times New Roman" w:cs="Times New Roman" w:eastAsia="Times New Roman" w:hAnsi="Times New Roman"/>
          <w:color w:val="000000"/>
          <w:sz w:val="22"/>
          <w:szCs w:val="22"/>
        </w:rPr>
        <w:t xml:space="preserve">Electoral Commission members may be removed only through For-Cause proceedings. No-Cause removal is not available — the Electoral Commission administers all national elections and referenda; a no-cause removal mechanism would create an unacceptable vector for electoral manipulation by any temporary legislative majority. For-Cause Removal Grounds: documented dereliction of duty, incapacity to perform the functions of the office, undisclosed conflict of interest, criminal conviction, or conduct that materially compromises the integrity of any election or referendum. Process: The Judicial Inspectorate — which audits the Electoral Commission annually under §8.1.c — must publish a documented finding of specific misconduct to the National Record System before any removal vote may proceed. The finding is published no later than 30 days after a removal motion is filed. The finding is advisory — it does not compel removal — but no removal vote may be held without it. Following publication of the JI finding, removal requires a 2/3 vote of both chambers simultaneously, calculated against full seated membership of each chamber. A member subject to For-Cause proceedings continues all duties until the removal vote concludes; they may not be suspended from duties pending the JI finding or the legislative vote. Upon removal, the seat is filled through a special election held within 90 days under the same process as a regular Electoral Commission election. The replacement serves a full new non-renewable 6-year term from the date of certification, not the remainder of the removed member's term.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spacing w:after="60" w:before="60" w:line="280" w:lineRule="auto"/>
        <w:jc w:val="both"/>
      </w:pPr>
      <w:r>
        <w:rPr>
          <w:rFonts w:ascii="Times New Roman" w:cs="Times New Roman" w:eastAsia="Times New Roman" w:hAnsi="Times New Roman"/>
          <w:b/>
          <w:bCs/>
          <w:color w:val="1B2A4A"/>
          <w:sz w:val="22"/>
          <w:szCs w:val="22"/>
        </w:rPr>
        <w:t xml:space="preserve">16.4.c State Voting Method Flexibility: </w:t>
      </w:r>
      <w:r>
        <w:rPr>
          <w:rFonts w:ascii="Times New Roman" w:cs="Times New Roman" w:eastAsia="Times New Roman" w:hAnsi="Times New Roman"/>
          <w:color w:val="000000"/>
          <w:sz w:val="22"/>
          <w:szCs w:val="22"/>
        </w:rPr>
        <w:t xml:space="preserve">States may implement early voting periods, mail-in ballot options, and alternative secure voting methods — including electronic methods — for any election held within their jurisdiction, whether federal or state. No state may permanently prohibit any of these methods as a form of participation. The Electoral Commission sets minimum integrity standards applicable to any method a state chooses to offer: cryptographic verification or equivalent authentication, documented chain of custody, full audit trail, and counting deadlines consistent with national certification timelines. The Electoral Commission may not set standards so restrictive as to render a method effectively unavailable — any standard that has the practical effect of prohibiting a method a state has chosen to offer is void. States that adopt alternative methods publish their implementation standards to the National Record System before each election cycle in which those methods are available.</w:t>
      </w:r>
    </w:p>
    <w:p>
      <w:pPr>
        <w:spacing w:after="60" w:before="60" w:line="280" w:lineRule="auto"/>
        <w:jc w:val="both"/>
      </w:pPr>
      <w:r>
        <w:rPr>
          <w:rFonts w:ascii="Times New Roman" w:cs="Times New Roman" w:eastAsia="Times New Roman" w:hAnsi="Times New Roman"/>
          <w:b/>
          <w:bCs/>
          <w:color w:val="1B2A4A"/>
          <w:sz w:val="22"/>
          <w:szCs w:val="22"/>
        </w:rPr>
        <w:t xml:space="preserve">16.4.d Federal Ballot Information: </w:t>
      </w:r>
      <w:r>
        <w:rPr>
          <w:rFonts w:ascii="Times New Roman" w:cs="Times New Roman" w:eastAsia="Times New Roman" w:hAnsi="Times New Roman"/>
          <w:color w:val="000000"/>
          <w:sz w:val="22"/>
          <w:szCs w:val="22"/>
        </w:rPr>
        <w:t xml:space="preserve">Before each federal election window opens, the Electoral Commission provides every eligible citizen with complete ballot information for all federal offices and referenda on their ballot. Delivery is by electronic means through the National Voting System and, upon request, by physical mail — at no cost to the citizen. The ballot information package includes: every federal office the citizen is eligible to vote on; every certified candidate for those offices with their disclosure record and any advisory assessment published under the relevant selection process; and the full text of any federal referendum question. This provision applies exclusively to federal offices and federal referenda. State and local races are the responsibility of the relevant state — this Constitution does not mandate how states allocate their own resources for voter information.</w:t>
      </w:r>
    </w:p>
    <w:p>
      <w:pPr>
        <w:spacing w:after="60" w:before="60" w:line="280" w:lineRule="auto"/>
        <w:jc w:val="both"/>
      </w:pPr>
      <w:r>
        <w:rPr>
          <w:rFonts w:ascii="Times New Roman" w:cs="Times New Roman" w:eastAsia="Times New Roman" w:hAnsi="Times New Roman"/>
          <w:b/>
          <w:bCs/>
          <w:color w:val="1B2A4A"/>
          <w:sz w:val="22"/>
          <w:szCs w:val="22"/>
        </w:rPr>
        <w:t xml:space="preserve">16.4.e State Ballot Information on Request: </w:t>
      </w:r>
      <w:r>
        <w:rPr>
          <w:rFonts w:ascii="Times New Roman" w:cs="Times New Roman" w:eastAsia="Times New Roman" w:hAnsi="Times New Roman"/>
          <w:color w:val="000000"/>
          <w:sz w:val="22"/>
          <w:szCs w:val="22"/>
        </w:rPr>
        <w:t xml:space="preserve">At a state's request, the Electoral Commission may extend its ballot information delivery services to cover state and local races on the same ballot. The state bears the cost of this service under terms the Legislature defines by statute. The Electoral Commission may not refuse a state's request on grounds other than operational capacity. Participation is entirely voluntary — no state is required to use this service.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 xml:space="preserve">16.5.c Removal: </w:t>
      </w:r>
      <w:r>
        <w:rPr>
          <w:rFonts w:ascii="Times New Roman" w:cs="Times New Roman" w:eastAsia="Times New Roman" w:hAnsi="Times New Roman"/>
          <w:color w:val="000000"/>
          <w:sz w:val="22"/>
          <w:szCs w:val="22"/>
        </w:rPr>
        <w:t xml:space="preserve">Electoral Commission members may only be removed by Track 1 For-Cause removal (§8.5), requiring a 2/3 vote of both chambers simultaneously, preceded by State Designee Panel verification under §8.9. No-Cause removal is not available for Electoral Commission members. Any removal attempt within 180 days of a national election at which more than 20% of seated national offices are on the ballot is automatically suspended pending Supreme Court review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 xml:space="preserve">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National Trust Administrator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holds, develops, or seeks to develop National Trust lands, or that derives commercial benefit from activities within National Trust lands; demonstrated expertise in at least one of — ecological stewardship and conservation management, public land management and administration, environmental law, or natural resource governance;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The Administrator is confirmed by the Senate and serves a single non-renewable 5-year term. The Legislative Inspectorate audits National Trust management annually against the stewardship obligation of §17.4.b and publishes its findings to the NRS.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Removal of a permanently confirmed National Trust Administrator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National Trust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This Constitution is activated upon: </w:t>
      </w:r>
      <w:r>
        <w:rPr>
          <w:rFonts w:ascii="Times New Roman" w:cs="Times New Roman" w:eastAsia="Times New Roman" w:hAnsi="Times New Roman"/>
          <w:color w:val="000000"/>
          <w:sz w:val="22"/>
          <w:szCs w:val="22"/>
        </w:rPr>
        <w:t xml:space="preserve">(1) certification by the interim Electoral Commission that the National Voting System is operational and meets the properties of §16.3; and (2) a national ratification vote conducted through the National Voting System achieving 60% affirmative support with at least 50% participation. 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 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24-month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an 24-month,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24-month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spacing w:after="60" w:before="60" w:line="280" w:lineRule="auto"/>
        <w:jc w:val="both"/>
      </w:pPr>
      <w:r>
        <w:rPr>
          <w:rFonts w:ascii="Times New Roman" w:cs="Times New Roman" w:eastAsia="Times New Roman" w:hAnsi="Times New Roman"/>
          <w:b/>
          <w:bCs/>
          <w:color w:val="1B2A4A"/>
          <w:sz w:val="22"/>
          <w:szCs w:val="22"/>
        </w:rPr>
        <w:t xml:space="preserve">19.3.g Phase Extension Mechanism: </w:t>
      </w:r>
      <w:r>
        <w:rPr>
          <w:rFonts w:ascii="Times New Roman" w:cs="Times New Roman" w:eastAsia="Times New Roman" w:hAnsi="Times New Roman"/>
          <w:color w:val="000000"/>
          <w:sz w:val="22"/>
          <w:szCs w:val="22"/>
        </w:rPr>
        <w:t xml:space="preserve">Where circumstances prevent a phase from completing within its scheduled window — including security situations, infrastructure failures, natural disasters, or institutional resistance that cannot be resolved within the standard timeline — the joint Inspectorate panel may certify a phase extension of up to 90 days. The certification requires: unanimous agreement of the full joint panel; a published statement of the specific circumstances requiring extension and the measures being taken to resolve them; and publication to the National Record System within 24 hours of the certification decision. A single 90-day extension may be certified by the panel without further approval. A second extension — beyond the first 90 days — requires approval by a 2/3 majority of the caretaker legislature convened in joint session. The caretaker legislature must convene within 14 days of the panel requesting a second extension; failure to convene within 14 days is deemed approval of the extension. Total extensions across all phases combined may not exceed 180 days. During any extension period, all existing caretaker provisions remain fully operative — no constitutional authority lapses because a phase has exceeded its scheduled window. The extension mechanism is not a pathway to indefinite caretaker government; it is a bridge over specific obstacles toward Phase 4 activation. The joint Inspectorate panel publishes a monthly progress report to the National Record System during any extension period documenting the obstacle, the resolution efforts, and the revised expected completion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24-month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spacing w:after="60" w:before="60" w:line="280" w:lineRule="auto"/>
        <w:jc w:val="both"/>
      </w:pPr>
      <w:r>
        <w:rPr>
          <w:rFonts w:ascii="Times New Roman" w:cs="Times New Roman" w:eastAsia="Times New Roman" w:hAnsi="Times New Roman"/>
          <w:b/>
          <w:bCs/>
          <w:color w:val="1B2A4A"/>
          <w:sz w:val="22"/>
          <w:szCs w:val="22"/>
        </w:rPr>
        <w:t xml:space="preserve">19.7.e Joint Inspectorate Panel Role: </w:t>
      </w:r>
      <w:r>
        <w:rPr>
          <w:rFonts w:ascii="Times New Roman" w:cs="Times New Roman" w:eastAsia="Times New Roman" w:hAnsi="Times New Roman"/>
          <w:color w:val="000000"/>
          <w:sz w:val="22"/>
          <w:szCs w:val="22"/>
        </w:rPr>
        <w:t xml:space="preserve">The joint Inspectorate panel is the receiving body for all Transition-Period territorial elections and subdivision elections under this section. It verifies that submitted resolutions meet the constitutional requirements, coordinates Statehood Audit scheduling with the Legislative Inspectorate, and maintains the official registry of each state's transition status — State, Territory-by-election, Territory-by-audit, or Subdivision-in-progress — on the National Record System throughout the Transition Window. The panel publishes a complete transition status map updated monthly during Phase 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 The panel may draw on candidates with experience in prior government fiscal or technical institutions where those institutions were not assessed as having participated in the conduct requiring reform; on international expertise from recognized fiscal, monetary, or technical bodies where domestic expertise is unavailable or compromised; and on citizens residing abroad whose expertise is domestic expertise for this purpose. The panel must publish its assessment of available expertise sources to the National Record System before constituting any Register.</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SCHEDULE A — AUTHORITY REFERENCE MATRIX</w:t>
      </w:r>
    </w:p>
    <w:p>
      <w:pPr>
        <w:spacing w:after="60" w:before="60" w:line="280" w:lineRule="auto"/>
        <w:jc w:val="both"/>
      </w:pPr>
      <w:r>
        <w:rPr>
          <w:rFonts w:ascii="Times New Roman" w:cs="Times New Roman" w:eastAsia="Times New Roman" w:hAnsi="Times New Roman"/>
          <w:color w:val="000000"/>
          <w:sz w:val="22"/>
          <w:szCs w:val="22"/>
        </w:rPr>
        <w:t xml:space="preserve">This Schedule is a non-operative reference guide summarizing key constitutional provisions, authority allocations, and procedural rules. It is provided for navigational clarity and citizen accessibility. In the event of any inconsistency between this Schedule and the operative text of Articles I through XIX, the operative text prevails. This Schedule has no independent legal effect and may be revised by the Legislative Inspectorate to reflect constitutional amendments without the amendment process applying to the Schedule itself.</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2026-05-11T21:25:12.307Z</dcterms:created>
  <dcterms:modified xsi:type="dcterms:W3CDTF">2026-05-11T21:25:12.323Z</dcterms:modified>
</cp:coreProperties>
</file>

<file path=docProps/custom.xml><?xml version="1.0" encoding="utf-8"?>
<Properties xmlns="http://schemas.openxmlformats.org/officeDocument/2006/custom-properties" xmlns:vt="http://schemas.openxmlformats.org/officeDocument/2006/docPropsVTypes"/>
</file>