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 This provision is distinct from §1.29's privacy framework — it protects the right to refuse procedures; the privacy of medical information is governed by §1.29.b.</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 This provision supplements §1.29.c — the more specific protection governs in any case of overlap.</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 This provision supplements §1.29.a, which treats digital spaces secured by private cryptographic keys as equivalent to a physical home.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7A7060" w:sz="2" w:space="4"/>
        </w:pBdr>
        <w:spacing w:after="60" w:before="280"/>
      </w:pPr>
      <w:r>
        <w:rPr>
          <w:rFonts w:ascii="Times New Roman" w:cs="Times New Roman" w:eastAsia="Times New Roman" w:hAnsi="Times New Roman"/>
          <w:b/>
          <w:color w:val="1B2A4A"/>
          <w:sz w:val="23"/>
          <w:szCs w:val="23"/>
        </w:rPr>
        <w:t>Section 1.29 — Right to Privacy</w:t>
      </w:r>
    </w:p>
    <w:p>
      <w:pPr>
        <w:spacing w:after="60" w:before="60" w:line="280" w:lineRule="auto"/>
        <w:jc w:val="both"/>
      </w:pPr>
      <w:r>
        <w:rPr>
          <w:rFonts w:ascii="Times New Roman" w:cs="Times New Roman" w:eastAsia="Times New Roman" w:hAnsi="Times New Roman"/>
          <w:b/>
          <w:bCs/>
          <w:color w:val="1B2A4A"/>
          <w:sz w:val="22"/>
          <w:szCs w:val="22"/>
        </w:rPr>
        <w:t xml:space="preserve">1.29 Right to Privacy: </w:t>
      </w:r>
      <w:r>
        <w:rPr>
          <w:rFonts w:ascii="Times New Roman" w:cs="Times New Roman" w:eastAsia="Times New Roman" w:hAnsi="Times New Roman"/>
          <w:color w:val="000000"/>
          <w:sz w:val="22"/>
          <w:szCs w:val="22"/>
        </w:rPr>
        <w:t xml:space="preserve">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spacing w:after="60" w:before="60" w:line="280" w:lineRule="auto"/>
        <w:jc w:val="both"/>
      </w:pPr>
      <w:r>
        <w:rPr>
          <w:rFonts w:ascii="Times New Roman" w:cs="Times New Roman" w:eastAsia="Times New Roman" w:hAnsi="Times New Roman"/>
          <w:b/>
          <w:bCs/>
          <w:color w:val="1B2A4A"/>
          <w:sz w:val="22"/>
          <w:szCs w:val="22"/>
        </w:rPr>
        <w:t xml:space="preserve">1.29.a Searches and Seizures: </w:t>
      </w:r>
      <w:r>
        <w:rPr>
          <w:rFonts w:ascii="Times New Roman" w:cs="Times New Roman" w:eastAsia="Times New Roman" w:hAnsi="Times New Roman"/>
          <w:color w:val="000000"/>
          <w:sz w:val="22"/>
          <w:szCs w:val="22"/>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 broad or unspecified authorizations covering multiple persons, locations, or data sets without particular identification — are absolutely prohibited. Digital spaces secured by private cryptographic keys are treated as equivalent to a physical home for the purposes of this provision. This provision supplements §1.10.a; the more protective standard applies in any case of conflict.</w:t>
      </w:r>
    </w:p>
    <w:p>
      <w:pPr>
        <w:spacing w:after="60" w:before="60" w:line="280" w:lineRule="auto"/>
        <w:jc w:val="both"/>
      </w:pPr>
      <w:r>
        <w:rPr>
          <w:rFonts w:ascii="Times New Roman" w:cs="Times New Roman" w:eastAsia="Times New Roman" w:hAnsi="Times New Roman"/>
          <w:b/>
          <w:bCs/>
          <w:color w:val="1B2A4A"/>
          <w:sz w:val="22"/>
          <w:szCs w:val="22"/>
        </w:rPr>
        <w:t xml:space="preserve">1.29.b Medical Privacy: </w:t>
      </w:r>
      <w:r>
        <w:rPr>
          <w:rFonts w:ascii="Times New Roman" w:cs="Times New Roman" w:eastAsia="Times New Roman" w:hAnsi="Times New Roman"/>
          <w:color w:val="000000"/>
          <w:sz w:val="22"/>
          <w:szCs w:val="22"/>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§1.28's protection of medical decision-making autonomy; both apply independently.</w:t>
      </w:r>
    </w:p>
    <w:p>
      <w:pPr>
        <w:spacing w:after="60" w:before="60" w:line="280" w:lineRule="auto"/>
        <w:jc w:val="both"/>
      </w:pPr>
      <w:r>
        <w:rPr>
          <w:rFonts w:ascii="Times New Roman" w:cs="Times New Roman" w:eastAsia="Times New Roman" w:hAnsi="Times New Roman"/>
          <w:b/>
          <w:bCs/>
          <w:color w:val="1B2A4A"/>
          <w:sz w:val="22"/>
          <w:szCs w:val="22"/>
        </w:rPr>
        <w:t xml:space="preserve">1.29.c Communications and Data: </w:t>
      </w:r>
      <w:r>
        <w:rPr>
          <w:rFonts w:ascii="Times New Roman" w:cs="Times New Roman" w:eastAsia="Times New Roman" w:hAnsi="Times New Roman"/>
          <w:color w:val="000000"/>
          <w:sz w:val="22"/>
          <w:szCs w:val="22"/>
        </w:rPr>
        <w:t xml:space="preserve">No person’s private communications or personal data may be collected, retained, or used by any government body without specific judicial authorization identifying the person, the data sought, and the period of collection. Bulk collection — the collection of communications or data without individual identification — 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spacing w:after="60" w:before="60" w:line="280" w:lineRule="auto"/>
        <w:jc w:val="both"/>
      </w:pPr>
      <w:r>
        <w:rPr>
          <w:rFonts w:ascii="Times New Roman" w:cs="Times New Roman" w:eastAsia="Times New Roman" w:hAnsi="Times New Roman"/>
          <w:b/>
          <w:bCs/>
          <w:color w:val="1B2A4A"/>
          <w:sz w:val="22"/>
          <w:szCs w:val="22"/>
        </w:rPr>
        <w:t xml:space="preserve">1.29.d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 This provision is migrated from §12.3 with language unchanged. The non-derogable character is preserved and this provision cannot be balanced against the general privacy right’s necessity standard — no necessity, however compelling, justifies domestic intelligence operations.</w:t>
      </w:r>
    </w:p>
    <w:p>
      <w:pPr>
        <w:spacing w:after="60" w:before="60" w:line="280" w:lineRule="auto"/>
        <w:jc w:val="both"/>
      </w:pPr>
      <w:r>
        <w:rPr>
          <w:rFonts w:ascii="Times New Roman" w:cs="Times New Roman" w:eastAsia="Times New Roman" w:hAnsi="Times New Roman"/>
          <w:b/>
          <w:bCs/>
          <w:color w:val="1B2A4A"/>
          <w:sz w:val="22"/>
          <w:szCs w:val="22"/>
        </w:rPr>
        <w:t xml:space="preserve">1.29.e Associational Privacy: </w:t>
      </w:r>
      <w:r>
        <w:rPr>
          <w:rFonts w:ascii="Times New Roman" w:cs="Times New Roman" w:eastAsia="Times New Roman" w:hAnsi="Times New Roman"/>
          <w:color w:val="000000"/>
          <w:sz w:val="22"/>
          <w:szCs w:val="22"/>
        </w:rPr>
        <w:t xml:space="preserve">The right to privacy in associations includes the right to keep private the identity of persons with whom one associates and the fact of association itself. Government mapping of associations — the collection, retention, or analysis of information about who a person knows, meets, communicates with, or joins — requires the same specific judicial authorization as communications collection under §1.29.c. The freedom to associate under §1.6 is not adequately protected if association itself can be systematically observed and recorded without judicial authorization; this provision closes that gap. Bulk mapping of associations is prohibited on the same terms as bulk collection of communications under §1.29.c.</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 on all military personnel and federal civilian employees directly supporting military operations until the PM certifies or a Fiscal Objection is formally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The prohibition on domestic intelligence operations against Republic citizens is absolute and non-derogable. This prohibition is established in §1.29.d of Article I, to which all references under this provision are directed. Any order in violation of §1.29.d is constitutionally void; the Executive Inspectorate reports any such order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2.1.j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spacing w:after="60" w:before="60" w:line="280" w:lineRule="auto"/>
        <w:jc w:val="both"/>
      </w:pPr>
      <w:r>
        <w:rPr>
          <w:rFonts w:ascii="Times New Roman" w:cs="Times New Roman" w:eastAsia="Times New Roman" w:hAnsi="Times New Roman"/>
          <w:b/>
          <w:bCs/>
          <w:color w:val="1B2A4A"/>
          <w:sz w:val="22"/>
          <w:szCs w:val="22"/>
        </w:rPr>
        <w:t xml:space="preserve">2.1.i International Trade Authority: </w:t>
      </w:r>
      <w:r>
        <w:rPr>
          <w:rFonts w:ascii="Times New Roman" w:cs="Times New Roman" w:eastAsia="Times New Roman" w:hAnsi="Times New Roman"/>
          <w:color w:val="000000"/>
          <w:sz w:val="22"/>
          <w:szCs w:val="22"/>
        </w:rPr>
        <w:t xml:space="preserve">The President holds authority to negotiate and conclude international trade agreements on behalf of the Republic. Trade agreements are subject to the same ratification process as treaties under §3.2.e, including the 2/3 Senate vote requirement. Where a proposed trade agreement materially affects the domestic economic sphere — including domestic industry, labour conditions, or public services — 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§3.3 if the House takes them up.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(§9.3) and Monetary Authority board members (§10.4.a). The CLT Administrator and National Trust Administrator are statutory independent officers under §3.7; their acting officer arrangements are governed by their enabling statutes.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Republic’s legislature is bicameral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population census is conducted by the Legislative Inspectorate.</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spacing w:after="60" w:before="60" w:line="280" w:lineRule="auto"/>
        <w:jc w:val="both"/>
      </w:pPr>
      <w:r>
        <w:rPr>
          <w:rFonts w:ascii="Times New Roman" w:cs="Times New Roman" w:eastAsia="Times New Roman" w:hAnsi="Times New Roman"/>
          <w:b/>
          <w:bCs/>
          <w:color w:val="1B2A4A"/>
          <w:sz w:val="22"/>
          <w:szCs w:val="22"/>
        </w:rPr>
        <w:t xml:space="preserve">3.2.i Senate Amendment Authority: </w:t>
      </w:r>
      <w:r>
        <w:rPr>
          <w:rFonts w:ascii="Times New Roman" w:cs="Times New Roman" w:eastAsia="Times New Roman" w:hAnsi="Times New Roman"/>
          <w:color w:val="000000"/>
          <w:sz w:val="22"/>
          <w:szCs w:val="22"/>
        </w:rPr>
        <w:t xml:space="preserve">The Senate's review of a House-passed bill extends to proposing amendments. Senate amendments must be germane — 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§2.5. All versions of a bill — as passed by the House, as amended by the Senate, and as finally agreed — are recorded on the National Record System with the signature of the presiding officer of the relevant chamber.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President presides over all Senate removal and impeachment trials. The presiding officer does not vote on the final removal question. Where the President is the subject of the proceedings, the most senior available Supreme Court justice — defined as the justice who has served longest on the current Court, with the eldest by age as the tiebreaker, and who is not themselves the subject of any concurrent proceedings — presides under the same conditions.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Senate confirms by a supermajority of not less than 55% and not more than 67% of the full seated membership of the Senate — the Legislature may by statute define the specific threshold within this constitutional range within a Legislature-defined period; the Supreme Court administers the Official Oath to all confirmed judges. If the Senate fails to vote on any nomination within the Legislature-defined confirmation period, the nominee is Deemed Confirmed and the Supreme Court administers the Official Oath to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Senate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Senate confirmation vote. That nomination proceeds to Senate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Senate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4.1.d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spacing w:after="60" w:before="60" w:line="280" w:lineRule="auto"/>
        <w:jc w:val="both"/>
      </w:pPr>
      <w:r>
        <w:rPr>
          <w:rFonts w:ascii="Times New Roman" w:cs="Times New Roman" w:eastAsia="Times New Roman" w:hAnsi="Times New Roman"/>
          <w:b/>
          <w:bCs/>
          <w:color w:val="1B2A4A"/>
          <w:sz w:val="22"/>
          <w:szCs w:val="22"/>
        </w:rPr>
        <w:t xml:space="preserve">4.3.d Original Jurisdiction: </w:t>
      </w:r>
      <w:r>
        <w:rPr>
          <w:rFonts w:ascii="Times New Roman" w:cs="Times New Roman" w:eastAsia="Times New Roman" w:hAnsi="Times New Roman"/>
          <w:color w:val="000000"/>
          <w:sz w:val="22"/>
          <w:szCs w:val="22"/>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 the standing, ripeness, and mootness requirements of §4.3 apply equally in original jurisdiction cases.</w:t>
      </w:r>
    </w:p>
    <w:p>
      <w:pPr>
        <w:spacing w:after="60" w:before="60" w:line="280" w:lineRule="auto"/>
        <w:jc w:val="both"/>
      </w:pPr>
      <w:r>
        <w:rPr>
          <w:rFonts w:ascii="Times New Roman" w:cs="Times New Roman" w:eastAsia="Times New Roman" w:hAnsi="Times New Roman"/>
          <w:b/>
          <w:bCs/>
          <w:color w:val="1B2A4A"/>
          <w:sz w:val="22"/>
          <w:szCs w:val="22"/>
        </w:rPr>
        <w:t xml:space="preserve">4.3.e Inspectorate Findings in Constitutional Proceedings: </w:t>
      </w:r>
      <w:r>
        <w:rPr>
          <w:rFonts w:ascii="Times New Roman" w:cs="Times New Roman" w:eastAsia="Times New Roman" w:hAnsi="Times New Roman"/>
          <w:color w:val="000000"/>
          <w:sz w:val="22"/>
          <w:szCs w:val="22"/>
        </w:rPr>
        <w:t xml:space="preserve">A finding published to the National Record System by the Executive Inspectorate, Legislative Inspectorate, or Judicial Inspectorate is admissible in any constitutional proceeding as authoritative evidence of the factual matters within the publishing Inspectorate’s constitutional mandate. An Inspectorate finding does not bind a court’s legal conclusions — courts independently determine questions of constitutional law — but a court that reaches a legal conclusion inconsistent with an Inspectorate’s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 a State or Territory court may not create additional bases for non-recognition. A judgment contrary to a right guaranteed by Article I is void by operation of §15.6 and may not be enforced regardless of these grounds.</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§1.12 governs any supplementary requirements a State or Territory would impose on recognition of professional licenses issued by another State or Territory — recognition is the constitutional default and §1.12 is the constraint on any departure from it.</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A judgment is final for purposes of §4.4.a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§4.4.c is governed by §1.12;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 reducing the knowledge required or the passing threshold — requires a 2/3 supermajority of the Senate. If the Senate deadlocks on any proposed change, the existing version of the test and passing threshold remains in force. The Legislature may by statute establish an independent administrator for the CLT and provide for that administrator’s independence, term, and removal consistent with §3.7 of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5.4.b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 The Legislature may by statute set aggregate limits on the total number of immigration applications processed in any period, provided those limits are applied without discrimination under §1.8. Asylum proceedings under §6.4 are not subject to the Gate 1 state sponsorship requirement of §6.1.a; the right to claim and have determined a §1.27 asylum claim exists independently of the dual-gate system and no state's refusal to sponsor may extinguish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State’s notification obligations attach to the connection, not merely to the State’s borders. Residency credentials issued once both gates are cleared are federal credentials valid throughout the Republic; the sponsoring State’s role and responsibilities end upon their issuance and the credentials are not tied to any State.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Executive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spacing w:after="60" w:before="60" w:line="280" w:lineRule="auto"/>
        <w:jc w:val="both"/>
      </w:pPr>
      <w:r>
        <w:rPr>
          <w:rFonts w:ascii="Times New Roman" w:cs="Times New Roman" w:eastAsia="Times New Roman" w:hAnsi="Times New Roman"/>
          <w:b/>
          <w:bCs/>
          <w:color w:val="1B2A4A"/>
          <w:sz w:val="22"/>
          <w:szCs w:val="22"/>
        </w:rPr>
        <w:t xml:space="preserve">6.1.d Legislative Immigration Categories: </w:t>
      </w:r>
      <w:r>
        <w:rPr>
          <w:rFonts w:ascii="Times New Roman" w:cs="Times New Roman" w:eastAsia="Times New Roman" w:hAnsi="Times New Roman"/>
          <w:color w:val="000000"/>
          <w:sz w:val="22"/>
          <w:szCs w:val="22"/>
        </w:rPr>
        <w:t xml:space="preserve">The Legislature may by statute create additional immigration categories, pathways, or authorisation types beyond those established in this Article, including categories based on skills, labour market needs, family connection, or temporal limitations on authorised stay. Any such category must be consistent with all other provisions of this Constitution. No statutory immigration category may conflict with the non-discrimination requirements of §1.8, the asylum and non-refoulement protections of §1.27 and §6.4, or the enforcement limits of §6.2.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on the merits of the sponsorship decision; however, where an applicant believes a Gate 1 denial was made on grounds that discriminate contrary to §1.8, the applicant may bring a direct constitutional claim in any federal court of competent jurisdiction. Such a claim is treated as a §6.3.a judicial challenge for procedural purposes. The federal court may order the State to reconsider the sponsorship application free of discriminatory criteria; it may not compel the State to grant sponsorship.</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6.4.c.i Residency Upon Grant: </w:t>
      </w:r>
      <w:r>
        <w:rPr>
          <w:rFonts w:ascii="Times New Roman" w:cs="Times New Roman" w:eastAsia="Times New Roman" w:hAnsi="Times New Roman"/>
          <w:color w:val="000000"/>
          <w:sz w:val="22"/>
          <w:szCs w:val="22"/>
        </w:rPr>
        <w:t xml:space="preserve">A person granted protection under §1.27 by the Asylum Court receives residency credentials by operation of the Asylum Court’s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Electoral Commission using the same criteria hierarchy and prohibited inputs that govern House redistricting under §3.4.a and §3.4.b,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and reviews State-drawn federal House district maps for compliance (§3.4).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§1.29.d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This provision has been migrated to §1.29.d of Article I with language unchanged as part of the consolidated Right to Privacy. The non-derogable prohibition on domestic intelligence operations against Republic citizens remains in full force. All references to §12.3 are to be read as references to §1.29.d.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The National Trust is administered by a statutory independent officer established by the Legislature under §3.7. The enabling statute shall define the Administrator’s mandate, term of service, qualifications, and removal grounds consistent with the stewardship obligations of §17.4.b and the independence framework of §3.7. The enabling statute may not reduce or qualify the Trust’s stewardship obligations or the Executive Inspectorate’s annual compliance monitoring under §17.4.b.</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