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Both executives must attend at least one session per quarter.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Both executives must approve the designation within 5 days of the vacancy arising; the designation is published to the NRS immediately.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no later than 24 months before the incumbent’s term expires, to ensure confirmation is complete before the transition;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no later than 24 months before the incumbent’s term expires;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no later than 24 months before the incumbent’s term expires;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 Any IG may be removed without cause by 3/4 of both chambers simultaneously, except the JI IG — whose lottery-based selection makes no-cause removal equivalent to a political veto over the draw result — who may be removed for cause only under §8.15.</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constituted per proceeding to determine, before any qualifying for-cause removal vote, whether the stated grounds are substantiated within the enumerated constitutional categories for the relevant office. The Panel publishes a binary finding only — grounds substantiated or unsubstantiated. Each State maintains a standing State Designee Pool; eligibility requires at least five years of citizenship, no current or recent federal office, and no pending federal criminal proceedings. Pool membership is a public NRS record maintained by the LI. Upon activation, the JIC constitutes a Panel of five members by lottery within five days from the combined national pool. The Panel has 21 days from full constitution to review. The Panel determines only whether the stated grounds, as documented in the submitted record, constitute at least one enumerated constitutional category for the subject office — it does not independently investigate or assess credibility. A substantiated finding authorises the Legislature to proceed to a removal vote and triggers applicable duty suspension. The subject officer may petition the SC within 14 days; the Court reviews only whether constitutional categories were correctly applied and must rule within 21 days; a petition does not automatically stay duty suspension.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constitutional framework performance across: Article I rights enforcement across all jurisdictions; Inspectorate functioning and mandate adequacy; social state obligation compliance including healthcare solvency and universal access; military subordination to constitutional authority; NRS coverage and integrity; and constitutional pool and lottery mechanism health. The assessment is published to the NRS and transmitted to both chambers. Findings are classified by severity: No Finding, Deficiency, or Critical Failure. For No Finding: acknowledgment is sufficient. For Deficiency: the Legislature must publish a remediation plan with actions and timelines; acknowledgment without a plan is a constitutional compliance breach certified by the LI. For Critical Failure: the Legislature must publish a remediation plan and any member may petition the SC to determine whether judicial remedy is required.</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the Eight-Year Assessment,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and is approved by both executives.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§8.11 eight-year assessment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and NVS are reviewed decennially by the Digital Infrastructure Advisory Council — an independent expert body that publishes advisory findings and recommendations to the Digital Infrastructure Commission. The Council convenes every ten years from the date of the first Legislature convening; the Legislature may not adjust the decennial trigger by statute. Each State may nominate qualified persons to the Advisory Pool at any time; pool entry and certification follow §8.13. The JIC constitutes the Council by public lottery drawing five members from the eligible pool when a decennial review is triggered. Advisory Council findings are published jointly by all three Inspectorates to the NRS and transmitted to the Commission Director and both panel chairs simultaneously. The Commission must publish its response — accepting, modifying, or declining each recommendation with published reasons — within 90 days of findings publication. The Senate must hold a mandatory public session at which Advisory Council members present their findings and respond to questions within 90 days of publication; failure to schedule within 30 days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Two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two paths, both requiring a 2/3 supermajority of the full seated membership of both chambers as the legislative threshold. No executive signature is required; no executive veto applies. Every member's vote on any amendment is published to the NRS. 
Path A — Legislative and State Ratification: A 2/3 supermajority of both chambers, followed by ratification by 2/3 of States. The Legislature defines the ratification period by statute. 
Path B — Legislative and Popular Ratification: A 2/3 supermajority of both chambers, followed by a national popular referendum achieving 2/3 affirmative support with at least 55% citizen participation. The Legislature defines the referendum window by statute. 
Both paths are available for any amendment. The proposing body specifies which path applies at the time of proposal.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 and must pass the CLT.</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passed by 2/3 of both chambers. The TAM is time-limited, non-criminal (it cannot impose criminal sentences or orders equivalent to criminal punishment), and subject to NRS publication. The TAM investigates, documents, and recommends remedies for serious violations committed by predecessor government entities; its jurisdiction is bounded to predecessor-era conduct. Findings may recommend criminal referrals, institutional restructuring, or reparative measures, but carry no binding force. The TAM may not publish preliminary or draft determinations — only finalized findings that have completed the evidentiary process. The establishing statute and any amendments require the same 2/3 majority; no amendment may expand the TAM's subject matter scope beyond the establishing statute. The TAM dissolves at its statutory sunset; its NRS record is permanent. Extension beyond the statutory sunset requires a fresh 2/3 supermajority in both chambers. No new Transitional Accountability Mechanism may be established within ten years of the sunset of a prior Mechanism.</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Standard Track: A substantiated finding from a State Designee Panel under §8.9 constitutes for-cause grounds; duty suspension is automatic on publication of the finding; removal requires a 2/3 vote of both chambers simultaneously; no removal vote may be held within 180 days of a major national election without prior SC review within 48 hours; either finding is a constitutional record.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