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sentence imposed by a court of competent jurisdiction following conviction. No executive may order the deliberate killing of any Inhabitant outside of active armed conflict governed by Article XII. This right admits no emergency derogation. For purposes of this provision, the State’s obligations attach from the moment of live birth.</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spacing w:after="60" w:before="60" w:line="280" w:lineRule="auto"/>
        <w:jc w:val="both"/>
      </w:pPr>
      <w:r>
        <w:rPr>
          <w:rFonts w:ascii="Times New Roman" w:cs="Times New Roman" w:eastAsia="Times New Roman" w:hAnsi="Times New Roman"/>
          <w:b/>
          <w:bCs/>
          <w:color w:val="1B2A4A"/>
          <w:sz w:val="22"/>
          <w:szCs w:val="22"/>
        </w:rPr>
        <w:t xml:space="preserve">1.2 Prohibition of Torture and Cruel Treatment: </w:t>
      </w:r>
      <w:r>
        <w:rPr>
          <w:rFonts w:ascii="Times New Roman" w:cs="Times New Roman" w:eastAsia="Times New Roman" w:hAnsi="Times New Roman"/>
          <w:color w:val="000000"/>
          <w:sz w:val="22"/>
          <w:szCs w:val="22"/>
        </w:rPr>
        <w:t xml:space="preserve">No person in the custody or control of the Republic, its agents, or any entity acting on its behalf may be subjected to torture, cruel, degrading, or inhumane treatment or punishment under any circumstances. No declared emergency, legislative act, executive order, or military necessity may authorize or excuse a violation. Any official who orders, authorizes, or knowingly permits such treatment commits a criminal offense under federal statute; the Executive Inspectorate reports any such violation to the National Record System. This prohibition is permanently unamendable under §15.3.</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spacing w:after="60" w:before="60" w:line="280" w:lineRule="auto"/>
        <w:jc w:val="both"/>
      </w:pPr>
      <w:r>
        <w:rPr>
          <w:rFonts w:ascii="Times New Roman" w:cs="Times New Roman" w:eastAsia="Times New Roman" w:hAnsi="Times New Roman"/>
          <w:b/>
          <w:bCs/>
          <w:color w:val="1B2A4A"/>
          <w:sz w:val="22"/>
          <w:szCs w:val="22"/>
        </w:rPr>
        <w:t xml:space="preserve">1.28 Medical Autonomy: </w:t>
      </w:r>
      <w:r>
        <w:rPr>
          <w:rFonts w:ascii="Times New Roman" w:cs="Times New Roman" w:eastAsia="Times New Roman" w:hAnsi="Times New Roman"/>
          <w:color w:val="000000"/>
          <w:sz w:val="22"/>
          <w:szCs w:val="22"/>
        </w:rPr>
        <w:t xml:space="preserve">Every person has the right to make medical decisions in consultation with a licensed medical professional free from State compulsion or prohibition of specific treatments, diagnoses, or courses of care. No government authority may require or forbid a particular medical procedure or course of treatment as between a willing patient and a licensed professional. The State may establish professional licensing standards, safety requirements, and scope of practice regulations. State governments may, pursuant to their domestic authority, regulate which medical services licensed professionals may offer within their jurisdiction. No State may impose criminal liability, civil liability, or any other adverse legal consequence on a citizen for receiving medical care in another State or Territory in which that care was lawfully provided; on any person who assists a citizen in obtaining or traveling to receive such care; on any medical professional who refers or provides information to a patient regarding care lawfully available elsewhere in the Republic; or on any medical professional licensed in another State or Territory for providing care that was lawful in the jurisdiction in which it was provided.</w:t>
      </w:r>
    </w:p>
    <w:p>
      <w:pPr>
        <w:pBdr>
          <w:bottom w:val="single" w:color="7A7060" w:sz="2" w:space="4"/>
        </w:pBdr>
        <w:spacing w:after="60" w:before="280"/>
      </w:pPr>
      <w:r>
        <w:rPr>
          <w:rFonts w:ascii="Times New Roman" w:cs="Times New Roman" w:eastAsia="Times New Roman" w:hAnsi="Times New Roman"/>
          <w:b/>
          <w:color w:val="1B2A4A"/>
          <w:sz w:val="23"/>
          <w:szCs w:val="23"/>
        </w:rPr>
        <w:t>Section 1.29 — Right to Privacy</w:t>
      </w:r>
    </w:p>
    <w:p>
      <w:pPr>
        <w:spacing w:after="60" w:before="60" w:line="280" w:lineRule="auto"/>
        <w:jc w:val="both"/>
      </w:pPr>
      <w:r>
        <w:rPr>
          <w:rFonts w:ascii="Times New Roman" w:cs="Times New Roman" w:eastAsia="Times New Roman" w:hAnsi="Times New Roman"/>
          <w:b/>
          <w:bCs/>
          <w:color w:val="1B2A4A"/>
          <w:sz w:val="22"/>
          <w:szCs w:val="22"/>
        </w:rPr>
        <w:t xml:space="preserve">1.29 Right to Privacy: </w:t>
      </w:r>
      <w:r>
        <w:rPr>
          <w:rFonts w:ascii="Times New Roman" w:cs="Times New Roman" w:eastAsia="Times New Roman" w:hAnsi="Times New Roman"/>
          <w:color w:val="000000"/>
          <w:sz w:val="22"/>
          <w:szCs w:val="22"/>
        </w:rPr>
        <w:t xml:space="preserve">Every person within the Republic has the right to privacy in their person, home, communications, associations, health, and personal data. This right is inherent and may not be abridged except where the government demonstrates a specific, articulable necessity and acts only to the minimum extent that necessity requires. The enumeration of specific privacy protections in this Constitution does not limit the general right established here. Where no specific provision addresses a privacy question, this right governs.</w:t>
      </w:r>
    </w:p>
    <w:p>
      <w:pPr>
        <w:spacing w:after="60" w:before="60" w:line="280" w:lineRule="auto"/>
        <w:jc w:val="both"/>
      </w:pPr>
      <w:r>
        <w:rPr>
          <w:rFonts w:ascii="Times New Roman" w:cs="Times New Roman" w:eastAsia="Times New Roman" w:hAnsi="Times New Roman"/>
          <w:b/>
          <w:bCs/>
          <w:color w:val="1B2A4A"/>
          <w:sz w:val="22"/>
          <w:szCs w:val="22"/>
        </w:rPr>
        <w:t xml:space="preserve">1.29.a Searches and Seizures: </w:t>
      </w:r>
      <w:r>
        <w:rPr>
          <w:rFonts w:ascii="Times New Roman" w:cs="Times New Roman" w:eastAsia="Times New Roman" w:hAnsi="Times New Roman"/>
          <w:color w:val="000000"/>
          <w:sz w:val="22"/>
          <w:szCs w:val="22"/>
        </w:rPr>
        <w:t xml:space="preserve">No person shall be subject to unreasonable search or seizure of their person, home, property, communications, or data. Any authorized search or seizure must be narrowly scoped, judicially approved before execution, and recorded on the National Record System. General warrants — broad or unspecified authorizations covering multiple persons, locations, or data sets without particular identification — are absolutely prohibited. Digital spaces secured by private cryptographic keys are treated as equivalent to a physical home for the purposes of this provision. This provision supplements §1.10.a; the more protective standard applies in any case of conflict.</w:t>
      </w:r>
    </w:p>
    <w:p>
      <w:pPr>
        <w:spacing w:after="60" w:before="60" w:line="280" w:lineRule="auto"/>
        <w:jc w:val="both"/>
      </w:pPr>
      <w:r>
        <w:rPr>
          <w:rFonts w:ascii="Times New Roman" w:cs="Times New Roman" w:eastAsia="Times New Roman" w:hAnsi="Times New Roman"/>
          <w:b/>
          <w:bCs/>
          <w:color w:val="1B2A4A"/>
          <w:sz w:val="22"/>
          <w:szCs w:val="22"/>
        </w:rPr>
        <w:t xml:space="preserve">1.29.b Medical Privacy: </w:t>
      </w:r>
      <w:r>
        <w:rPr>
          <w:rFonts w:ascii="Times New Roman" w:cs="Times New Roman" w:eastAsia="Times New Roman" w:hAnsi="Times New Roman"/>
          <w:color w:val="000000"/>
          <w:sz w:val="22"/>
          <w:szCs w:val="22"/>
        </w:rPr>
        <w:t xml:space="preserve">A person's medical information, health records, genetic data, and bodily condition are private. No government body may compel disclosure of medical information except by specific judicial order in active legal proceedings, and only to the extent directly necessary to those proceedings. Disclosure required by public health law must be proportionate, time-limited, and recorded on the National Record System. This provision is distinct from §1.28's protection of medical decision-making autonomy; both apply independently.</w:t>
      </w:r>
    </w:p>
    <w:p>
      <w:pPr>
        <w:spacing w:after="60" w:before="60" w:line="280" w:lineRule="auto"/>
        <w:jc w:val="both"/>
      </w:pPr>
      <w:r>
        <w:rPr>
          <w:rFonts w:ascii="Times New Roman" w:cs="Times New Roman" w:eastAsia="Times New Roman" w:hAnsi="Times New Roman"/>
          <w:b/>
          <w:bCs/>
          <w:color w:val="1B2A4A"/>
          <w:sz w:val="22"/>
          <w:szCs w:val="22"/>
        </w:rPr>
        <w:t xml:space="preserve">1.29.c Communications and Data: </w:t>
      </w:r>
      <w:r>
        <w:rPr>
          <w:rFonts w:ascii="Times New Roman" w:cs="Times New Roman" w:eastAsia="Times New Roman" w:hAnsi="Times New Roman"/>
          <w:color w:val="000000"/>
          <w:sz w:val="22"/>
          <w:szCs w:val="22"/>
        </w:rPr>
        <w:t xml:space="preserve">No person’s private communications or personal data may be collected, retained, or used by any government body without specific judicial authorization identifying the person, the data sought, and the period of collection. Bulk collection — the collection of communications or data without individual identification — is prohibited. Private-sector entities may not be compelled to collect, retain, or disclose personal data on behalf of government beyond what judicial authorization would independently permit. The Legislature may establish data minimization and retention limits for government-held personal data consistent with this provision.</w:t>
      </w:r>
    </w:p>
    <w:p>
      <w:pPr>
        <w:spacing w:after="60" w:before="60" w:line="280" w:lineRule="auto"/>
        <w:jc w:val="both"/>
      </w:pPr>
      <w:r>
        <w:rPr>
          <w:rFonts w:ascii="Times New Roman" w:cs="Times New Roman" w:eastAsia="Times New Roman" w:hAnsi="Times New Roman"/>
          <w:b/>
          <w:bCs/>
          <w:color w:val="1B2A4A"/>
          <w:sz w:val="22"/>
          <w:szCs w:val="22"/>
        </w:rPr>
        <w:t xml:space="preserve">1.29.d Intelligence Firewall: </w:t>
      </w:r>
      <w:r>
        <w:rPr>
          <w:rFonts w:ascii="Times New Roman" w:cs="Times New Roman" w:eastAsia="Times New Roman" w:hAnsi="Times New Roman"/>
          <w:color w:val="000000"/>
          <w:sz w:val="22"/>
          <w:szCs w:val="22"/>
        </w:rPr>
        <w:t xml:space="preserve">All domestic intelligence operations against Republic citizens are permanently prohibited and constitutionally void. Any such order is reported to the National Record System by the Executive Inspectorate. This prohibition is non-derogable — it may not be suspended under any emergency declaration, treaty obligation, or legislative authorization. This provision is migrated from §12.3 with language unchanged. The non-derogable character is preserved and this provision cannot be balanced against the general privacy right’s necessity standard — no necessity, however compelling, justifies domestic intelligence operations.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this allocation is constitutionally self-executing and is not subject to PM Fiscal Objection or certification requirement for its duration.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2.1.i Presidential Officer Appointments and Removal:</w:t>
      </w:r>
      <w:r>
        <w:rPr>
          <w:rFonts w:ascii="Times New Roman" w:cs="Times New Roman" w:eastAsia="Times New Roman" w:hAnsi="Times New Roman"/>
          <w:b w:val="0"/>
          <w:color w:val="000000"/>
          <w:sz w:val="22"/>
          <w:szCs w:val="22"/>
        </w:rPr>
        <w:t xml:space="preserve"> 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publishing a written Notice of Removal to the National Record System. Removal takes effect upon publication. The President's removal authority within this domain is unilateral — the Senate's role in appointments does not extend to tenure protection. An officer subject to an active §3.5 proceeding may not be removed by the President under this provision until those proceedings conclude, preventing the removal power from being used to obstruct a legislative accountability process.</w:t>
      </w:r>
    </w:p>
    <w:p>
      <w:pPr>
        <w:spacing w:after="60" w:before="60" w:line="280" w:lineRule="auto"/>
        <w:jc w:val="both"/>
      </w:pPr>
      <w:r>
        <w:rPr>
          <w:rFonts w:ascii="Times New Roman" w:cs="Times New Roman" w:eastAsia="Times New Roman" w:hAnsi="Times New Roman"/>
          <w:b/>
          <w:bCs/>
          <w:color w:val="1B2A4A"/>
          <w:sz w:val="22"/>
          <w:szCs w:val="22"/>
        </w:rPr>
        <w:t xml:space="preserve">2.1.i International Trade Authority: </w:t>
      </w:r>
      <w:r>
        <w:rPr>
          <w:rFonts w:ascii="Times New Roman" w:cs="Times New Roman" w:eastAsia="Times New Roman" w:hAnsi="Times New Roman"/>
          <w:color w:val="000000"/>
          <w:sz w:val="22"/>
          <w:szCs w:val="22"/>
        </w:rPr>
        <w:t xml:space="preserve">The President holds authority to negotiate and conclude international trade agreements on behalf of the Republic. Trade agreements are subject to the same ratification process as treaties under §3.2.e, including the 2/3 Senate vote requirement. Where a proposed trade agreement materially affects the domestic economic sphere — including domestic industry, labour conditions, or public services — the President must obtain the written concurrence of the Prime Minister before the agreement is concluded. A trade agreement concluded without required PM concurrence is void. Disputes about whether PM concurrence is required are resolved by the Supreme Court on expedited review. Where a trade agreement fails to receive Senate ratification or is void under this provision, the President may transmit the domestic provisions of the agreement to the Speaker of the House for consideration as legislation. The Speaker determines the appropriate referral. The provisions proceed through the ordinary legislative process under §3.3 if the House takes them up.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Caretaker Activation and PM Formation: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The House continues in session and retains the ability to seat a PM at any time. The LI publishes weekly accountability reports naming each member's participation record,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1B2A4A"/>
          <w:sz w:val="22"/>
          <w:szCs w:val="22"/>
        </w:rPr>
        <w:t>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provisions of §2.3 operate independently of this term limit. A member who reaches the 6-term limit and whose cooling-off period coincides with a caretaker period serves the term-limit cooling-off from the later start date.</w:t>
      </w:r>
      <w:r>
        <w:rPr>
          <w:rFonts w:ascii="Times New Roman" w:cs="Times New Roman" w:eastAsia="Times New Roman" w:hAnsi="Times New Roman"/>
          <w:color w:val="000000"/>
          <w:sz w:val="22"/>
          <w:szCs w:val="22"/>
        </w:rPr>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spacing w:after="60" w:before="60" w:line="280" w:lineRule="auto"/>
        <w:jc w:val="both"/>
      </w:pPr>
      <w:r>
        <w:rPr>
          <w:rFonts w:ascii="Times New Roman" w:cs="Times New Roman" w:eastAsia="Times New Roman" w:hAnsi="Times New Roman"/>
          <w:b/>
          <w:bCs/>
          <w:color w:val="1B2A4A"/>
          <w:sz w:val="22"/>
          <w:szCs w:val="22"/>
        </w:rPr>
        <w:t xml:space="preserve">3.2.i Senate Amendment Authority: </w:t>
      </w:r>
      <w:r>
        <w:rPr>
          <w:rFonts w:ascii="Times New Roman" w:cs="Times New Roman" w:eastAsia="Times New Roman" w:hAnsi="Times New Roman"/>
          <w:color w:val="000000"/>
          <w:sz w:val="22"/>
          <w:szCs w:val="22"/>
        </w:rPr>
        <w:t xml:space="preserve">The Senate's review of a House-passed bill extends to proposing amendments. Senate amendments must be germane — limited to the subject matter, purposes, and appropriations present in the bill as passed by the House. The Senate may not introduce new subject matter, new appropriations, or purposes not present in the original bill. Where the Senate approves a bill with amendments, the amended bill is returned to the House. The House must act within a period the Legislature defines by statute: it may accept the Senate amendments by simple majority, whereupon the bill as amended proceeds to the Legislative Review Period under §2.5; or it may reject the Senate amendments, whereupon the Senate must within a further statutory period either approve the original bill or allow it to fail. No further rounds of amendment are permitted in that session once the House has rejected Senate amendments. The Deemed Approval period of §3.2.c is suspended from the date the Senate returns an amended bill to the House until the date the House acts. The Legislative Inspectorate shall publish a germaneness analysis to the National Record System for any bill returned to the House with Senate amendments, assessing whether those amendments conform to the subject matter of the original bill. The Prime Minister must give the Legislative Inspectorate's germaneness analysis due consideration before acting on the bill during the Legislative Review Period under §2.5. All versions of a bill — as passed by the House, as amended by the Senate, and as finally agreed — are recorded on the National Record System with the signature of the presiding officer of the relevant chamber.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President presides over all Senate removal and impeachment trials. The presiding officer does not vote on the final removal question. Where the President is the subject of the proceedings, the most senior available Supreme Court justice — defined as the justice who has served longest on the current Court, with the eldest by age as the tiebreaker, and who is not themselves the subject of any concurrent proceedings — presides under the same conditions.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vote on a bill or resolution that was published to the National Record System as calendared business at least five days before expulsion proceedings were initiated, and which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3.7 — Statutory Independent Agencies</w:t>
      </w:r>
    </w:p>
    <w:p>
      <w:pPr>
        <w:spacing w:after="60" w:before="60" w:line="280" w:lineRule="auto"/>
        <w:jc w:val="both"/>
      </w:pPr>
      <w:r>
        <w:rPr>
          <w:rFonts w:ascii="Times New Roman" w:cs="Times New Roman" w:eastAsia="Times New Roman" w:hAnsi="Times New Roman"/>
          <w:b/>
          <w:bCs/>
          <w:color w:val="1B2A4A"/>
          <w:sz w:val="22"/>
          <w:szCs w:val="22"/>
        </w:rPr>
        <w:t xml:space="preserve">3.7.a Authorization: </w:t>
      </w:r>
      <w:r>
        <w:rPr>
          <w:rFonts w:ascii="Times New Roman" w:cs="Times New Roman" w:eastAsia="Times New Roman" w:hAnsi="Times New Roman"/>
          <w:color w:val="000000"/>
          <w:sz w:val="22"/>
          <w:szCs w:val="22"/>
        </w:rPr>
        <w:t xml:space="preserve">The Legislature may by statute establish independent agencies exercising regulatory, prosecutorial, or other executive functions and designate their directors as statutory independent officers. A director’s term may not exceed eight years per appointment. The enabling statute governs all other terms of service.</w:t>
      </w:r>
    </w:p>
    <w:p>
      <w:pPr>
        <w:spacing w:after="60" w:before="60" w:line="280" w:lineRule="auto"/>
        <w:jc w:val="both"/>
      </w:pPr>
      <w:r>
        <w:rPr>
          <w:rFonts w:ascii="Times New Roman" w:cs="Times New Roman" w:eastAsia="Times New Roman" w:hAnsi="Times New Roman"/>
          <w:b/>
          <w:bCs/>
          <w:color w:val="1B2A4A"/>
          <w:sz w:val="22"/>
          <w:szCs w:val="22"/>
        </w:rPr>
        <w:t xml:space="preserve">3.7.b Appointment: </w:t>
      </w:r>
      <w:r>
        <w:rPr>
          <w:rFonts w:ascii="Times New Roman" w:cs="Times New Roman" w:eastAsia="Times New Roman" w:hAnsi="Times New Roman"/>
          <w:color w:val="000000"/>
          <w:sz w:val="22"/>
          <w:szCs w:val="22"/>
        </w:rPr>
        <w:t xml:space="preserve">The enabling statute must establish a candidate registry for the agency, maintained by the Judicial Inspectorate, defining the professional qualifications and eligibility criteria for the director role. The PM may only nominate a person whose name appears on the agency's candidate registry at the time of nomination. A nominee not on the registry at the time of nomination is constitutionally ineligible and the Senate may not confirm them. The Executive Inspectorate reviews the nominee's disclosure record for factual accuracy and publishes its findings to the National Record System before the Senate confirmation vote. A statutory independent officer is nominated by the PM and confirmed by the Senate by simple majority. A nominee not acted upon within 90 days is deemed confirmed. A director who has served more than 18 months without Senate confirmation reverts to standard ministerial appointment.</w:t>
      </w:r>
    </w:p>
    <w:p>
      <w:pPr>
        <w:spacing w:after="60" w:before="60" w:line="280" w:lineRule="auto"/>
        <w:jc w:val="both"/>
      </w:pPr>
      <w:r>
        <w:rPr>
          <w:rFonts w:ascii="Times New Roman" w:cs="Times New Roman" w:eastAsia="Times New Roman" w:hAnsi="Times New Roman"/>
          <w:b/>
          <w:bCs/>
          <w:color w:val="1B2A4A"/>
          <w:sz w:val="22"/>
          <w:szCs w:val="22"/>
        </w:rPr>
        <w:t xml:space="preserve">3.7.c Removal: </w:t>
      </w:r>
      <w:r>
        <w:rPr>
          <w:rFonts w:ascii="Times New Roman" w:cs="Times New Roman" w:eastAsia="Times New Roman" w:hAnsi="Times New Roman"/>
          <w:color w:val="000000"/>
          <w:sz w:val="22"/>
          <w:szCs w:val="22"/>
        </w:rPr>
        <w:t xml:space="preserve">The PM may remove a statutory independent officer only on grounds specified in the enabling statute. Removal is initiated by publishing a written notice to the NRS identifying the statutory ground relied upon. The director remains in office throughout the 21-day review period following publication. If within that period the Senate votes by simple majority to block the removal, the notice is void and the director continues in office for the full remainder of their term. If the Senate does not act within 21 days, the removal takes effect upon expiration of the period.</w:t>
      </w:r>
    </w:p>
    <w:p>
      <w:pPr>
        <w:spacing w:after="60" w:before="60" w:line="280" w:lineRule="auto"/>
        <w:jc w:val="both"/>
      </w:pPr>
      <w:r>
        <w:rPr>
          <w:rFonts w:ascii="Times New Roman" w:cs="Times New Roman" w:eastAsia="Times New Roman" w:hAnsi="Times New Roman"/>
          <w:b/>
          <w:bCs/>
          <w:color w:val="1B2A4A"/>
          <w:sz w:val="22"/>
          <w:szCs w:val="22"/>
        </w:rPr>
        <w:t xml:space="preserve">3.7.d Oversight: </w:t>
      </w:r>
      <w:r>
        <w:rPr>
          <w:rFonts w:ascii="Times New Roman" w:cs="Times New Roman" w:eastAsia="Times New Roman" w:hAnsi="Times New Roman"/>
          <w:color w:val="000000"/>
          <w:sz w:val="22"/>
          <w:szCs w:val="22"/>
        </w:rPr>
        <w:t xml:space="preserve">Each agency established under this section is subject to audit by the Executive Inspectorate with respect to the constitutional conduct of its officers, and by the Legislative Inspectorate with respect to compliance with its enabling statute. Both Inspectorates publish their findings to the NRS. The director shall submit an annual report to the Legislature.</w:t>
      </w:r>
    </w:p>
    <w:p>
      <w:pPr>
        <w:spacing w:after="60" w:before="60" w:line="280" w:lineRule="auto"/>
        <w:jc w:val="both"/>
      </w:pPr>
      <w:r>
        <w:rPr>
          <w:rFonts w:ascii="Times New Roman" w:cs="Times New Roman" w:eastAsia="Times New Roman" w:hAnsi="Times New Roman"/>
          <w:b/>
          <w:bCs/>
          <w:color w:val="1B2A4A"/>
          <w:sz w:val="22"/>
          <w:szCs w:val="22"/>
        </w:rPr>
        <w:t xml:space="preserve">3.7.e Limits: </w:t>
      </w:r>
      <w:r>
        <w:rPr>
          <w:rFonts w:ascii="Times New Roman" w:cs="Times New Roman" w:eastAsia="Times New Roman" w:hAnsi="Times New Roman"/>
          <w:color w:val="000000"/>
          <w:sz w:val="22"/>
          <w:szCs w:val="22"/>
        </w:rPr>
        <w:t xml:space="preserve">An agency’s operational independence does not preclude legislative appropriation control, impeachment under §3.5, or Inspectorate referral. No enabling statute may insulate an agency’s officers from criminal liability or constitutional accountability.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administers the Official Oath to all confirmed judges. If the House fails to vote on any nomination within the Legislature-defined confirmation period, the nominee is Deemed Confirmed and the Supreme Court administers the Official Oath to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4.1.c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§4.1.d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4.1.d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The nine seats are divided into three classes of three seats each. Three seats are elected on the same National Election Day every four years, with each class cycling on a staggered basis to ensure ongoing renewal. At Phase 3 of the transition under §19.3.d, all nine seats are filled simultaneously; immediately following that election, the nine seats are assigned to their three classes by lot drawn by the Judicial Inspectorate. Class A seats serve initial terms of four years before their first renewal election; Class B seats serve initial terms of eight years; Class C seats serve the full 12-year initial term. All subsequent terms for all classes are 12 years. The lot assignment and class designations are published to the National Record System before any justice takes the oath of office.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4.2.e Mid-Term Vacancies:</w:t>
      </w:r>
      <w:r>
        <w:rPr>
          <w:rFonts w:ascii="Times New Roman" w:cs="Times New Roman" w:eastAsia="Times New Roman" w:hAnsi="Times New Roman"/>
          <w:b w:val="0"/>
          <w:color w:val="000000"/>
          <w:sz w:val="22"/>
          <w:szCs w:val="22"/>
        </w:rPr>
        <w:t xml:space="preserve"> Where a Supreme Court seat becomes vacant mid-term through death, resignation, removal, or expulsion, a special election is held within 180 days. The full open-candidacy process of §4.2.a through §4.2.d applies, with timelines adjusted to fit the 180-day window: candidate registration closes at day 30; EI review completes by day 60; Judicial Selection Board assessment is published by day 90; JI certification completes by day 120; election is held no later than day 180. The replacement justice serves only the remainder of the original 12-year term, not a new term. Where the adjusted timeline cannot be met due to extraordinary circumstances, the Judicial Inspectorate may extend the window by no more than 30 days and publishes the extension and grounds to the National Record System. The Temporary Associate Justice designated under §4.2.g continues to serve throughout the election period and until the replacement justice is seated.</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4.2.g Vacancy Operating Rules:</w:t>
      </w:r>
      <w:r>
        <w:rPr>
          <w:rFonts w:ascii="Times New Roman" w:cs="Times New Roman" w:eastAsia="Times New Roman" w:hAnsi="Times New Roman"/>
          <w:b w:val="0"/>
          <w:color w:val="000000"/>
          <w:sz w:val="22"/>
          <w:szCs w:val="22"/>
        </w:rPr>
        <w:t xml:space="preserve"> Where a Supreme Court seat becomes vacant, the most senior Appellate Court judge by continuous time served on the Appellate bench — with the eldest by age as the tiebreaker — is automatically designated as Temporary Associate Justice within five days of the vacancy being published to the National Record System. No nomination, confirmation, or legislative action is required; the designation is automatic by operation of this provision. The Temporary Associate Justice: (a) holds a full vote in all cases heard by the Court during the vacancy period; (b) may not participate in any case arising from a ruling they authored or in which they joined on the Appellate Court — in such cases the remaining justices constitute the full panel; (c) may not stand as a candidate in any election to fill the permanent seat to which they are designated as Temporary Associate Justice; (d) returns to their Appellate Court position, without loss of seniority or tenure, upon the seating of the permanently elected replacement justice. Where the designated judge is unavailable, the next most senior Appellate Court judge by the same criteria is designated. Where a case triggers clause (b) recusal and the remaining justices produce an equal division, the lower court's ruling is affirmed without creating binding precedent. The Legislature may not reduce, eliminate, or delay the temporary designation by statute.</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spacing w:after="60" w:before="60" w:line="280" w:lineRule="auto"/>
        <w:jc w:val="both"/>
      </w:pPr>
      <w:r>
        <w:rPr>
          <w:rFonts w:ascii="Times New Roman" w:cs="Times New Roman" w:eastAsia="Times New Roman" w:hAnsi="Times New Roman"/>
          <w:b/>
          <w:bCs/>
          <w:color w:val="1B2A4A"/>
          <w:sz w:val="22"/>
          <w:szCs w:val="22"/>
        </w:rPr>
        <w:t xml:space="preserve">4.3.d Original Jurisdiction: </w:t>
      </w:r>
      <w:r>
        <w:rPr>
          <w:rFonts w:ascii="Times New Roman" w:cs="Times New Roman" w:eastAsia="Times New Roman" w:hAnsi="Times New Roman"/>
          <w:color w:val="000000"/>
          <w:sz w:val="22"/>
          <w:szCs w:val="22"/>
        </w:rPr>
        <w:t xml:space="preserve">The Supreme Court has original jurisdiction over disputes between States or between a State and the federal government where the dispute presents a constitutional question and no inferior court has jurisdiction adequate to resolve it. Original jurisdiction cases are heard without prior inferior court proceedings. The Supreme Court may establish by published rule the procedures governing original jurisdiction cases; the Legislature may not alter those procedures by statute. Original jurisdiction does not preclude the Court from declining to hear a case that does not present a genuine constitutional question — the standing, ripeness, and mootness requirements of §4.3 apply equally in original jurisdiction cases.</w:t>
      </w:r>
    </w:p>
    <w:p>
      <w:pPr>
        <w:spacing w:after="60" w:before="60" w:line="280" w:lineRule="auto"/>
        <w:jc w:val="both"/>
      </w:pPr>
      <w:r>
        <w:rPr>
          <w:rFonts w:ascii="Times New Roman" w:cs="Times New Roman" w:eastAsia="Times New Roman" w:hAnsi="Times New Roman"/>
          <w:b/>
          <w:bCs/>
          <w:color w:val="1B2A4A"/>
          <w:sz w:val="22"/>
          <w:szCs w:val="22"/>
        </w:rPr>
        <w:t xml:space="preserve">4.3.e Inspectorate Findings in Constitutional Proceedings: </w:t>
      </w:r>
      <w:r>
        <w:rPr>
          <w:rFonts w:ascii="Times New Roman" w:cs="Times New Roman" w:eastAsia="Times New Roman" w:hAnsi="Times New Roman"/>
          <w:color w:val="000000"/>
          <w:sz w:val="22"/>
          <w:szCs w:val="22"/>
        </w:rPr>
        <w:t xml:space="preserve">A finding published to the National Record System by the Executive Inspectorate, Legislative Inspectorate, or Judicial Inspectorate is admissible in any constitutional proceeding as authoritative evidence of the factual matters within the publishing Inspectorate’s constitutional mandate. An Inspectorate finding does not bind a court’s legal conclusions — courts independently determine questions of constitutional law — but a court that reaches a legal conclusion inconsistent with an Inspectorate’s published factual finding must address that inconsistency in its written decision. A party may not introduce evidence solely to contradict an Inspectorate finding without first demonstrating to the court a specific, articulable basis for the alleged factual inaccuracy.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 This constitutional floor is the minimum content: the test must assess knowledge sufficient to understand the structure, powers, limits, and rights established by this Constitution. Any statute that reduces the CLT below this floor is void; any citizen may challenge such a statute in any court of competent jurisdiction.</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subject to the constitutional floor of this section. Any change that raises the standard requires a simple majority of the Senate. Any change that lowers the standard — reducing the knowledge required or the passing threshold — requires a 2/3 supermajority of the Senate. If the Senate deadlocks on any proposed change, the existing version of the test and passing threshold remains in force. The Legislature may by statute establish an independent administrator for the CLT and provide for that administrator’s independence, term, and removal consistent with §3.7 of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 The Legislature may by statute set aggregate limits on the total number of immigration applications processed in any period, provided those limits are applied without discrimination under §1.8. Asylum proceedings under §6.4 are not subject to the Gate 1 state sponsorship requirement of §6.1.a; the right to claim and have determined a §1.27 asylum claim exists independently of the dual-gate system and no state's refusal to sponsor may extinguish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During the application period the applicant must maintain a genuine connection to the sponsoring State, as the Legislature defines by statute; the sponsoring State’s notification obligations attach to the connection, not merely to the State’s borders. Residency credentials issued once both gates are cleared are federal credentials valid throughout the Republic; the sponsoring State’s role and responsibilities end upon their issuance and the credentials are not tied to any State.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Executive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spacing w:after="60" w:before="60" w:line="280" w:lineRule="auto"/>
        <w:jc w:val="both"/>
      </w:pPr>
      <w:r>
        <w:rPr>
          <w:rFonts w:ascii="Times New Roman" w:cs="Times New Roman" w:eastAsia="Times New Roman" w:hAnsi="Times New Roman"/>
          <w:b/>
          <w:bCs/>
          <w:color w:val="1B2A4A"/>
          <w:sz w:val="22"/>
          <w:szCs w:val="22"/>
        </w:rPr>
        <w:t xml:space="preserve">6.1.d Legislative Immigration Categories: </w:t>
      </w:r>
      <w:r>
        <w:rPr>
          <w:rFonts w:ascii="Times New Roman" w:cs="Times New Roman" w:eastAsia="Times New Roman" w:hAnsi="Times New Roman"/>
          <w:color w:val="000000"/>
          <w:sz w:val="22"/>
          <w:szCs w:val="22"/>
        </w:rPr>
        <w:t xml:space="preserve">The Legislature may by statute create additional immigration categories, pathways, or authorisation types beyond those established in this Article, including categories based on skills, labour market needs, family connection, or temporal limitations on authorised stay. Any such category must be consistent with all other provisions of this Constitution. No statutory immigration category may conflict with the non-discrimination requirements of §1.8, the asylum and non-refoulement protections of §1.27 and §6.4, or the enforcement limits of §6.2.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on the merits of the sponsorship decision; however, where an applicant believes a Gate 1 denial was made on grounds that discriminate contrary to §1.8, the applicant may bring a direct constitutional claim in any federal court of competent jurisdiction. Such a claim is treated as a §6.3.a judicial challenge for procedural purposes. The federal court may order the State to reconsider the sponsorship application free of discriminatory criteria; it may not compel the State to grant sponsorship.</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6.4.c.i Residency Upon Grant: </w:t>
      </w:r>
      <w:r>
        <w:rPr>
          <w:rFonts w:ascii="Times New Roman" w:cs="Times New Roman" w:eastAsia="Times New Roman" w:hAnsi="Times New Roman"/>
          <w:color w:val="000000"/>
          <w:sz w:val="22"/>
          <w:szCs w:val="22"/>
        </w:rPr>
        <w:t xml:space="preserve">A person granted protection under §1.27 by the Asylum Court receives residency credentials by operation of the Asylum Court’s grant. Gate 1 state sponsorship and Gate 2 federal certification are not required as conditions of that grant. The President must issue residency credentials to a person granted asylum protection within the period the Legislature defines by statute, applying the same ministerial obligation and timeline as §6.1.c. The issued credentials are federal credentials valid throughout the Republic. The Legislature may by statute define a distinct residency category for persons granted asylum protection, with terms and pathways to citizenship the Legislature determines consistent with Article V.</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Electoral Commission using the same criteria hierarchy and prohibited inputs that govern House redistricting under §3.4.a and §3.4.b, applied at the regional scale. The Legislative Inspectorate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and reviews State-drawn federal House district maps for compliance (§3.4).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1B2A4A"/>
          <w:sz w:val="22"/>
          <w:szCs w:val="22"/>
        </w:rPr>
        <w:t>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§8.4.a Judicial IG Candidate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r>
        <w:rPr>
          <w:rFonts w:ascii="Times New Roman" w:cs="Times New Roman" w:eastAsia="Times New Roman" w:hAnsi="Times New Roman"/>
          <w:color w:val="000000"/>
          <w:sz w:val="22"/>
          <w:szCs w:val="22"/>
        </w:rPr>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primary mandate is price stability and fiscal solvency. Subject to the achievement of its primary mandate, the MA shall have regard to conditions of employment and the promotion of sustainable economic growth in forming its monetary policy determinations. The primary mandate takes precedence in all cases of conflict.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Operations Framework</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Military operations authorized under Tier 3 (§2.1.c) require a Legislative Declaration of Defense passed by a 2/3 concurrent majority of both chambers. The Declaration must state the §12.1 purpose being served — purposes not enumerated in §12.1 do not qualify under any tier of authorization. The Declaration must be renewed by a 2/3 majority of both chambers every 180 days; failure to renew automatically terminates the authorization and all associated expenditure. A Declaration may be renewed for a maximum of ten consecutive 180-day periods — five years total — before a mandatory 90-day full cessation. After the cessation period, a new Declaration may be issued if the §12.1 grounds continue to apply.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Prohibition on Wars of Aggression: </w:t>
      </w:r>
      <w:r>
        <w:rPr>
          <w:rFonts w:ascii="Times New Roman" w:cs="Times New Roman" w:eastAsia="Times New Roman" w:hAnsi="Times New Roman"/>
          <w:color w:val="000000"/>
          <w:sz w:val="22"/>
          <w:szCs w:val="22"/>
        </w:rPr>
        <w:t xml:space="preserve">The Republic may not initiate or sustain military operations for the purpose of territorial acquisition, resource extraction, political control over a foreign population, or ideological imposition. Any Legislative Declaration or executive order purporting to authorize operations for a prohibited purpose is void. The three authorized purposes of §12.1 are exhaustive — purposes not enumerated there do not qualify under any tier of authorization.</w:t>
      </w:r>
    </w:p>
    <w:p>
      <w:pPr>
        <w:spacing w:after="60" w:before="60" w:line="280" w:lineRule="auto"/>
        <w:jc w:val="both"/>
      </w:pPr>
      <w:r>
        <w:rPr>
          <w:rFonts w:ascii="Times New Roman" w:cs="Times New Roman" w:eastAsia="Times New Roman" w:hAnsi="Times New Roman"/>
          <w:b/>
          <w:bCs/>
          <w:color w:val="1B2A4A"/>
          <w:sz w:val="22"/>
          <w:szCs w:val="22"/>
        </w:rPr>
        <w:t xml:space="preserve">12.2.c Offensive Operations: </w:t>
      </w:r>
      <w:r>
        <w:rPr>
          <w:rFonts w:ascii="Times New Roman" w:cs="Times New Roman" w:eastAsia="Times New Roman" w:hAnsi="Times New Roman"/>
          <w:color w:val="000000"/>
          <w:sz w:val="22"/>
          <w:szCs w:val="22"/>
        </w:rPr>
        <w:t xml:space="preserve">An offensive military operation is any sustained operation in which Republic armed forces cross into foreign sovereign territory beyond the immediate repulsion of an active attack on Republic territory, Republic forces, or the territory of a treaty ally. Hot-pursuit operations lasting less than 72 hours in response to an attack originating from foreign territory are not offensive operations for purposes of this provision. Offensive operations require Tier 2 or Tier 3 authorization and must identify the §12.1 purpose being served. The President may not initiate offensive operations under Tier 1 authority alone.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b/>
          <w:bCs/>
          <w:color w:val="1B2A4A"/>
          <w:sz w:val="22"/>
          <w:szCs w:val="22"/>
        </w:rPr>
        <w:t xml:space="preserve">12.3 Intelligence Firewall: </w:t>
      </w:r>
      <w:r>
        <w:rPr>
          <w:rFonts w:ascii="Times New Roman" w:cs="Times New Roman" w:eastAsia="Times New Roman" w:hAnsi="Times New Roman"/>
          <w:color w:val="000000"/>
          <w:sz w:val="22"/>
          <w:szCs w:val="22"/>
        </w:rPr>
        <w:t xml:space="preserve">This provision has been migrated to §1.29.d of Article I with language unchanged as part of the consolidated Right to Privacy. The non-derogable prohibition on domestic intelligence operations against Republic citizens remains in full force. All references to §12.3 are to be read as references to §1.29.d.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b/>
          <w:bCs/>
          <w:color w:val="1B2A4A"/>
          <w:sz w:val="22"/>
          <w:szCs w:val="22"/>
        </w:rPr>
        <w:t xml:space="preserve">12.4 Post-Conflict Obligations: </w:t>
      </w: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b/>
          <w:bCs/>
          <w:color w:val="1B2A4A"/>
          <w:sz w:val="22"/>
          <w:szCs w:val="22"/>
        </w:rPr>
        <w:t xml:space="preserve">12.5 Treaty Obligations: </w:t>
      </w: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through constitutional means. Where the Legislature cannot convene in time to authorize a treaty-obligated response, the Prime Minister may issue a Treaty Emergency Certification authorizing emergency defense expenditure for up to 30 days, with written notification to both chambers within 12 hours of issuance. The Legislature must convene within 14 days to authorize or terminate the operation; failure to vote within 14 days is deemed termination of the certification and the associated expenditure authority.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15.1.c Citizen-Led Path:</w:t>
      </w:r>
      <w:r>
        <w:rPr>
          <w:rFonts w:ascii="Times New Roman" w:cs="Times New Roman" w:eastAsia="Times New Roman" w:hAnsi="Times New Roman"/>
          <w:b w:val="0"/>
          <w:color w:val="000000"/>
          <w:sz w:val="22"/>
          <w:szCs w:val="22"/>
        </w:rPr>
        <w:t xml:space="preserve"> A national vote conducted through the National Voting System achieving 70% affirmative support with at least 65% citizen participation. If participation exceeds 60% but falls short of 65% and the affirmative vote exceeds 75%, the Electoral Commission automatically schedules a second vote on the same amendment text, to be held no sooner than 90 days and no later than 12 months after the first result is certified. The second vote is conducted under the standard thresholds of this section — 70% affirmative support with at least 65% citizen participation. If the second vote meets the standard thresholds, the amendment takes effect. If the second vote fails to meet the standard thresholds, the amendment fails and the same amendment text may not trigger a further second vote under this provision. The Electoral Commission certifies all results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16.2.a Electoral Commission Removal:</w:t>
      </w:r>
      <w:r>
        <w:rPr>
          <w:rFonts w:ascii="Times New Roman" w:cs="Times New Roman" w:eastAsia="Times New Roman" w:hAnsi="Times New Roman"/>
          <w:b w:val="0"/>
          <w:color w:val="000000"/>
          <w:sz w:val="22"/>
          <w:szCs w:val="22"/>
        </w:rPr>
        <w:t xml:space="preserve"> 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through the JI finding and State Designee Panel process. Where the State Designee Panel substantiates grounds under §8.9.a, the member is suspended from all Electoral Commission duties: upon expiry of the 14-day Supreme Court appeal window under §8.9.b without a filed appeal, or immediately upon a Supreme Court ruling upholding the Panel's substantiation on appeal. If the Supreme Court reverses the Panel's substantiation, no suspension takes effect and the member continues all duties pending the legislative vote. A suspended member is excluded from the Commission's active seated membership for decision-threshold purposes during the suspension period. The 180-day election proximity restriction of §16.5.c applies to the removal vote, not to Panel-triggered suspension. On legislative acquittal, the suspended member returns immediately to full duties with no effect on their term or standing.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spacing w:after="60" w:before="60" w:line="280" w:lineRule="auto"/>
        <w:jc w:val="both"/>
      </w:pPr>
      <w:r>
        <w:rPr>
          <w:rFonts w:ascii="Times New Roman" w:cs="Times New Roman" w:eastAsia="Times New Roman" w:hAnsi="Times New Roman"/>
          <w:b/>
          <w:bCs/>
          <w:color w:val="1B2A4A"/>
          <w:sz w:val="22"/>
          <w:szCs w:val="22"/>
        </w:rPr>
        <w:t xml:space="preserve">16.4.c State Voting Method Flexibility: </w:t>
      </w:r>
      <w:r>
        <w:rPr>
          <w:rFonts w:ascii="Times New Roman" w:cs="Times New Roman" w:eastAsia="Times New Roman" w:hAnsi="Times New Roman"/>
          <w:color w:val="000000"/>
          <w:sz w:val="22"/>
          <w:szCs w:val="22"/>
        </w:rPr>
        <w:t xml:space="preserve">States may implement early voting periods, mail-in ballot options, and alternative secure voting methods — including electronic methods — for any election held within their jurisdiction, whether federal or state. No state may permanently prohibit any of these methods as a form of participation. The Electoral Commission sets minimum integrity standards applicable to any method a state chooses to offer: cryptographic verification or equivalent authentication, documented chain of custody, full audit trail, and counting deadlines consistent with national certification timelines. The Electoral Commission may not set standards so restrictive as to render a method effectively unavailable — any standard that has the practical effect of prohibiting a method a state has chosen to offer is void. States that adopt alternative methods publish their implementation standards to the National Record System before each election cycle in which those methods are available.</w:t>
      </w:r>
    </w:p>
    <w:p>
      <w:pPr>
        <w:spacing w:after="60" w:before="60" w:line="280" w:lineRule="auto"/>
        <w:jc w:val="both"/>
      </w:pPr>
      <w:r>
        <w:rPr>
          <w:rFonts w:ascii="Times New Roman" w:cs="Times New Roman" w:eastAsia="Times New Roman" w:hAnsi="Times New Roman"/>
          <w:b/>
          <w:bCs/>
          <w:color w:val="1B2A4A"/>
          <w:sz w:val="22"/>
          <w:szCs w:val="22"/>
        </w:rPr>
        <w:t xml:space="preserve">16.4.d Federal Ballot Information: </w:t>
      </w:r>
      <w:r>
        <w:rPr>
          <w:rFonts w:ascii="Times New Roman" w:cs="Times New Roman" w:eastAsia="Times New Roman" w:hAnsi="Times New Roman"/>
          <w:color w:val="000000"/>
          <w:sz w:val="22"/>
          <w:szCs w:val="22"/>
        </w:rPr>
        <w:t xml:space="preserve">Before each federal election window opens, the Electoral Commission provides every eligible citizen with complete ballot information for all federal offices and referenda on their ballot. Delivery is by electronic means through the National Voting System and, upon request, by physical mail — at no cost to the citizen. The ballot information package includes: every federal office the citizen is eligible to vote on; every certified candidate for those offices with their disclosure record and any advisory assessment published under the relevant selection process; and the full text of any federal referendum question. This provision applies exclusively to federal offices and federal referenda. State and local races are the responsibility of the relevant state — this Constitution does not mandate how states allocate their own resources for voter information.</w:t>
      </w:r>
    </w:p>
    <w:p>
      <w:pPr>
        <w:spacing w:after="60" w:before="60" w:line="280" w:lineRule="auto"/>
        <w:jc w:val="both"/>
      </w:pPr>
      <w:r>
        <w:rPr>
          <w:rFonts w:ascii="Times New Roman" w:cs="Times New Roman" w:eastAsia="Times New Roman" w:hAnsi="Times New Roman"/>
          <w:b/>
          <w:bCs/>
          <w:color w:val="1B2A4A"/>
          <w:sz w:val="22"/>
          <w:szCs w:val="22"/>
        </w:rPr>
        <w:t xml:space="preserve">16.4.e State Ballot Information on Request: </w:t>
      </w:r>
      <w:r>
        <w:rPr>
          <w:rFonts w:ascii="Times New Roman" w:cs="Times New Roman" w:eastAsia="Times New Roman" w:hAnsi="Times New Roman"/>
          <w:color w:val="000000"/>
          <w:sz w:val="22"/>
          <w:szCs w:val="22"/>
        </w:rPr>
        <w:t xml:space="preserve">At a state's request, the Electoral Commission may extend its ballot information delivery services to cover state and local races on the same ballot. The state bears the cost of this service under terms the Legislature defines by statute. The Electoral Commission may not refuse a state's request on grounds other than operational capacity. Participation is entirely voluntary — no state is required to use this service.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16.5.c Removal:</w:t>
      </w:r>
      <w:r>
        <w:rPr>
          <w:rFonts w:ascii="Times New Roman" w:cs="Times New Roman" w:eastAsia="Times New Roman" w:hAnsi="Times New Roman"/>
          <w:b w:val="0"/>
          <w:color w:val="000000"/>
          <w:sz w:val="22"/>
          <w:szCs w:val="22"/>
        </w:rPr>
        <w:t xml:space="preserve"> Electoral Commission members may only be removed by Track 1 For-Cause removal (§8.5), requiring a 2/3 vote of both chambers simultaneously, preceded by State Designee Panel verification under §8.9. No-Cause removal is not available for Electoral Commission members. Any removal vote within 180 days of a national election at which more than 20% of seated national offices are on the ballot is automatically suspended pending Supreme Court review within 48 hours. This restriction applies to the legislative removal vote only; Panel-triggered suspension of duties under §16.2.a operates independently of election proximity.</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The National Trust is administered by a statutory independent officer established by the Legislature under §3.7. The enabling statute shall define the Administrator’s mandate, term of service, qualifications, and removal grounds consistent with the stewardship obligations of §17.4.b and the independence framework of §3.7. The enabling statute may not reduce or qualify the Trust’s stewardship obligations or the Executive Inspectorate’s annual compliance monitoring under §17.4.b.</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19.1.a Activation Threshold: </w:t>
      </w:r>
      <w:r>
        <w:rPr>
          <w:rFonts w:ascii="Times New Roman" w:cs="Times New Roman" w:eastAsia="Times New Roman" w:hAnsi="Times New Roman"/>
          <w:color w:val="000000"/>
          <w:sz w:val="22"/>
          <w:szCs w:val="22"/>
        </w:rPr>
        <w:t xml:space="preserve">This Constitution is activated upon: (1) certification by the interim Electoral Commission that the National Voting System is operational and meets the properties of §16.3; and (2) a national ratification vote conducted through the National Voting System achieving 60% affirmative support with at least 50% participation.</w:t>
      </w:r>
    </w:p>
    <w:p>
      <w:pPr>
        <w:spacing w:after="60" w:before="60" w:line="280" w:lineRule="auto"/>
        <w:jc w:val="both"/>
      </w:pPr>
      <w:r>
        <w:rPr>
          <w:rFonts w:ascii="Times New Roman" w:cs="Times New Roman" w:eastAsia="Times New Roman" w:hAnsi="Times New Roman"/>
          <w:b/>
          <w:bCs/>
          <w:color w:val="1B2A4A"/>
          <w:sz w:val="22"/>
          <w:szCs w:val="22"/>
        </w:rPr>
        <w:t xml:space="preserve">19.1.b Institutional Accommodation: </w:t>
      </w:r>
      <w:r>
        <w:rPr>
          <w:rFonts w:ascii="Times New Roman" w:cs="Times New Roman" w:eastAsia="Times New Roman" w:hAnsi="Times New Roman"/>
          <w:color w:val="000000"/>
          <w:sz w:val="22"/>
          <w:szCs w:val="22"/>
        </w:rPr>
        <w:t xml:space="preserve">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w:t>
      </w:r>
    </w:p>
    <w:p>
      <w:pPr>
        <w:spacing w:after="60" w:before="60" w:line="280" w:lineRule="auto"/>
        <w:jc w:val="both"/>
      </w:pPr>
      <w:r>
        <w:rPr>
          <w:rFonts w:ascii="Times New Roman" w:cs="Times New Roman" w:eastAsia="Times New Roman" w:hAnsi="Times New Roman"/>
          <w:b/>
          <w:bCs/>
          <w:color w:val="1B2A4A"/>
          <w:sz w:val="22"/>
          <w:szCs w:val="22"/>
        </w:rPr>
        <w:t xml:space="preserve">19.1.c Multi-Founder Formation: </w:t>
      </w:r>
      <w:r>
        <w:rPr>
          <w:rFonts w:ascii="Times New Roman" w:cs="Times New Roman" w:eastAsia="Times New Roman" w:hAnsi="Times New Roman"/>
          <w:color w:val="000000"/>
          <w:sz w:val="22"/>
          <w:szCs w:val="22"/>
        </w:rPr>
        <w:t xml:space="preserve">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24-month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 24-month,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24-month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spacing w:after="60" w:before="60" w:line="280" w:lineRule="auto"/>
        <w:jc w:val="both"/>
      </w:pPr>
      <w:r>
        <w:rPr>
          <w:rFonts w:ascii="Times New Roman" w:cs="Times New Roman" w:eastAsia="Times New Roman" w:hAnsi="Times New Roman"/>
          <w:b/>
          <w:bCs/>
          <w:color w:val="1B2A4A"/>
          <w:sz w:val="22"/>
          <w:szCs w:val="22"/>
        </w:rPr>
        <w:t xml:space="preserve">19.3.g Phase Extension Mechanism: </w:t>
      </w:r>
      <w:r>
        <w:rPr>
          <w:rFonts w:ascii="Times New Roman" w:cs="Times New Roman" w:eastAsia="Times New Roman" w:hAnsi="Times New Roman"/>
          <w:color w:val="000000"/>
          <w:sz w:val="22"/>
          <w:szCs w:val="22"/>
        </w:rPr>
        <w:t xml:space="preserve">Where circumstances prevent a phase from completing within its scheduled window — including security situations, infrastructure failures, natural disasters, or institutional resistance that cannot be resolved within the standard timeline — the joint Inspectorate panel may certify a phase extension of up to 90 days. The certification requires: unanimous agreement of the full joint panel; a published statement of the specific circumstances requiring extension and the measures being taken to resolve them; and publication to the National Record System within 24 hours of the certification decision. A single 90-day extension may be certified by the panel without further approval. A second extension — beyond the first 90 days — requires approval by a 2/3 majority of the caretaker legislature convened in joint session. The caretaker legislature must convene within 14 days of the panel requesting a second extension; failure to convene within 14 days is deemed approval of the extension. Total extensions across all phases combined may not exceed 180 days. During any extension period, all existing caretaker provisions remain fully operative — no constitutional authority lapses because a phase has exceeded its scheduled window. The extension mechanism is not a pathway to indefinite caretaker government; it is a bridge over specific obstacles toward Phase 4 activation. The joint Inspectorate panel publishes a monthly progress report to the National Record System during any extension period documenting the obstacle, the resolution efforts, and the revised expected completion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24-month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2026-05-11T22:28:07.918Z</dcterms:created>
  <dcterms:modified xsi:type="dcterms:W3CDTF">2026-05-11T22:28:07.918Z</dcterms:modified>
</cp:coreProperties>
</file>

<file path=docProps/custom.xml><?xml version="1.0" encoding="utf-8"?>
<Properties xmlns="http://schemas.openxmlformats.org/officeDocument/2006/custom-properties" xmlns:vt="http://schemas.openxmlformats.org/officeDocument/2006/docPropsVTypes"/>
</file>