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Upon NRS publication of any valid removal, death, resignation, or succession event, the military chain of command recognizes the constitutional transfer of authority at that moment. Any order issued in the name of a removed or succeeded President after that moment is constitutionally void. A military officer who executes such an order commits a constitutional breach; compliance with a constitutionally valid transfer is mandatory.</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Inspectors General, DIC administrators, MA board members, and all other constitutionally confirmed independent officers.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publishes an annual MA independence assessment alongside its operational audit. MA board composition, term lengths, and selection procedures are defined by statute and may not be amended by simple majority within the same legislative session in which any MA certification is disputed.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Each panel comprises three administrators.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