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THE CONSTITUTION OF THE FEDERATED REPUBLIC</w:t>
      </w:r>
    </w:p>
    <w:p>
      <w:pPr>
        <w:pBdr>
          <w:bottom w:val="single" w:color="1B2A4A" w:sz="6" w:space="1"/>
        </w:pBdr>
        <w:spacing w:after="120" w:before="120"/>
      </w:pPr>
    </w:p>
    <w:p>
      <w:pPr>
        <w:spacing w:after="60" w:before="60"/>
      </w:pPr>
      <w:r>
        <w:rPr>
          <w:rFonts w:ascii="Arial" w:cs="Arial" w:eastAsia="Arial" w:hAnsi="Arial"/>
          <w:i/>
          <w:iCs/>
          <w:color w:val="000000"/>
          <w:sz w:val="22"/>
          <w:szCs w:val="22"/>
        </w:rPr>
        <w:t>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PREAMBLE</w:t>
      </w:r>
    </w:p>
    <w:p>
      <w:pPr>
        <w:spacing w:after="60" w:before="60"/>
      </w:pPr>
      <w:r>
        <w:rPr>
          <w:rFonts w:ascii="Arial" w:cs="Arial" w:eastAsia="Arial" w:hAnsi="Arial"/>
          <w:color w:val="000000"/>
          <w:sz w:val="22"/>
          <w:szCs w:val="22"/>
        </w:rPr>
        <w:t>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 — THE INDIVIDUAL SOVEREIGNTY FLOOR</w:t>
      </w:r>
    </w:p>
    <w:p>
      <w:pPr>
        <w:spacing w:after="60" w:before="60"/>
      </w:pPr>
      <w:r>
        <w:rPr>
          <w:rFonts w:ascii="Arial" w:cs="Arial" w:eastAsia="Arial" w:hAnsi="Arial"/>
          <w:color w:val="000000"/>
          <w:sz w:val="22"/>
          <w:szCs w:val="22"/>
        </w:rPr>
        <w:t>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A — Personal Integrity (§§ 1.0 – 1.3)  —</w:t>
      </w:r>
    </w:p>
    <w:p>
      <w:pPr>
        <w:pStyle w:val="Heading2"/>
      </w:pPr>
      <w:r>
        <w:rPr>
          <w:b/>
        </w:rPr>
        <w:t>Section 1.0 — Right of Access to Courts</w:t>
      </w:r>
    </w:p>
    <w:p>
      <w:pPr>
        <w:spacing w:after="60" w:before="60"/>
      </w:pPr>
      <w:r>
        <w:rPr>
          <w:rFonts w:ascii="Arial" w:cs="Arial" w:eastAsia="Arial" w:hAnsi="Arial"/>
          <w:color w:val="000000"/>
          <w:sz w:val="22"/>
          <w:szCs w:val="22"/>
        </w:rPr>
        <w:t>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w:t>
      </w:r>
    </w:p>
    <w:p>
      <w:pPr>
        <w:spacing w:after="0" w:before="120"/>
      </w:pPr>
      <w:r>
        <w:t xml:space="preserve"/>
      </w:r>
    </w:p>
    <w:p>
      <w:pPr>
        <w:pStyle w:val="Heading2"/>
        <w:spacing w:after="80" w:before="200"/>
      </w:pPr>
      <w:r>
        <w:rPr>
          <w:rFonts w:ascii="Arial" w:cs="Arial" w:eastAsia="Arial" w:hAnsi="Arial"/>
          <w:b/>
          <w:bCs/>
          <w:color w:val="4A6FA5"/>
          <w:sz w:val="24"/>
          <w:szCs w:val="24"/>
        </w:rPr>
        <w:t>Section 1.1 — Right to Life</w:t>
      </w:r>
    </w:p>
    <w:p>
      <w:pPr>
        <w:spacing w:after="60" w:before="60"/>
      </w:pPr>
      <w:r>
        <w:rPr>
          <w:rFonts w:ascii="Arial" w:cs="Arial" w:eastAsia="Arial" w:hAnsi="Arial"/>
          <w:color w:val="000000"/>
          <w:sz w:val="22"/>
          <w:szCs w:val="22"/>
        </w:rPr>
        <w:t>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Section 1.2 — Prohibition of Torture and Cruel Treatment</w:t>
      </w:r>
    </w:p>
    <w:p>
      <w:pPr>
        <w:spacing w:after="60" w:before="60"/>
      </w:pPr>
      <w:r>
        <w:rPr>
          <w:rFonts w:ascii="Arial" w:cs="Arial" w:eastAsia="Arial" w:hAnsi="Arial"/>
          <w:color w:val="000000"/>
          <w:sz w:val="22"/>
          <w:szCs w:val="22"/>
        </w:rPr>
        <w:t>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and may trigger Rule Violation proceedings under §2.7 — a constitutional mechanism that triggers automatic suspension from duties and a Senate trial, defined fully at §2.7.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Section 1.3 — Prohibition of Slavery and Forced Labor</w:t>
      </w:r>
    </w:p>
    <w:p>
      <w:pPr>
        <w:spacing w:after="60" w:before="60"/>
      </w:pPr>
      <w:r>
        <w:rPr>
          <w:rFonts w:ascii="Arial" w:cs="Arial" w:eastAsia="Arial" w:hAnsi="Arial"/>
          <w:color w:val="000000"/>
          <w:sz w:val="22"/>
          <w:szCs w:val="22"/>
        </w:rPr>
        <w:t>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B — Civil and Political Liberties (§§ 1.4 – 1.7)  —</w:t>
      </w:r>
    </w:p>
    <w:p>
      <w:pPr>
        <w:pStyle w:val="Heading2"/>
        <w:spacing w:after="80" w:before="200"/>
      </w:pPr>
      <w:r>
        <w:rPr>
          <w:rFonts w:ascii="Arial" w:cs="Arial" w:eastAsia="Arial" w:hAnsi="Arial"/>
          <w:b/>
          <w:bCs/>
          <w:color w:val="4A6FA5"/>
          <w:sz w:val="24"/>
          <w:szCs w:val="24"/>
        </w:rPr>
        <w:t>Section 1.4 — Freedom of Expression</w:t>
      </w:r>
    </w:p>
    <w:p>
      <w:pPr>
        <w:spacing w:after="60" w:before="60"/>
      </w:pPr>
      <w:r>
        <w:rPr>
          <w:rFonts w:ascii="Arial" w:cs="Arial" w:eastAsia="Arial" w:hAnsi="Arial"/>
          <w:color w:val="000000"/>
          <w:sz w:val="22"/>
          <w:szCs w:val="22"/>
        </w:rPr>
        <w:t>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Section 1.5 — Freedom of Thought, Conscience, and Religion</w:t>
      </w:r>
    </w:p>
    <w:p>
      <w:pPr>
        <w:spacing w:after="60" w:before="60"/>
      </w:pPr>
      <w:r>
        <w:rPr>
          <w:rFonts w:ascii="Arial" w:cs="Arial" w:eastAsia="Arial" w:hAnsi="Arial"/>
          <w:color w:val="000000"/>
          <w:sz w:val="22"/>
          <w:szCs w:val="22"/>
        </w:rPr>
        <w:t>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Section 1.6 — Freedom of Association</w:t>
      </w:r>
    </w:p>
    <w:p>
      <w:pPr>
        <w:spacing w:after="60" w:before="60"/>
      </w:pPr>
      <w:r>
        <w:rPr>
          <w:rFonts w:ascii="Arial" w:cs="Arial" w:eastAsia="Arial" w:hAnsi="Arial"/>
          <w:color w:val="000000"/>
          <w:sz w:val="22"/>
          <w:szCs w:val="22"/>
        </w:rPr>
        <w:t>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Section 1.7 — Right to Petition</w:t>
      </w:r>
    </w:p>
    <w:p>
      <w:pPr>
        <w:spacing w:after="60" w:before="60"/>
      </w:pPr>
      <w:r>
        <w:rPr>
          <w:rFonts w:ascii="Arial" w:cs="Arial" w:eastAsia="Arial" w:hAnsi="Arial"/>
          <w:color w:val="000000"/>
          <w:sz w:val="22"/>
          <w:szCs w:val="22"/>
        </w:rPr>
        <w:t>Every citizen has the right to petition any branch of government on any matter of public or personal concern. This right extends to citizens only. All petitions must receive a formal response within a period the Legislature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C — Equality (§ 1.8)  —</w:t>
      </w:r>
    </w:p>
    <w:p>
      <w:pPr>
        <w:pStyle w:val="Heading2"/>
        <w:spacing w:after="80" w:before="200"/>
      </w:pPr>
      <w:r>
        <w:rPr>
          <w:rFonts w:ascii="Arial" w:cs="Arial" w:eastAsia="Arial" w:hAnsi="Arial"/>
          <w:b/>
          <w:bCs/>
          <w:color w:val="4A6FA5"/>
          <w:sz w:val="24"/>
          <w:szCs w:val="24"/>
        </w:rPr>
        <w:t>Section 1.8 — Equality Before the Law</w:t>
      </w:r>
    </w:p>
    <w:p>
      <w:pPr>
        <w:spacing w:after="60" w:before="60"/>
      </w:pPr>
      <w:r>
        <w:t>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D — Privacy, Property and Economic Rights (§§ 1.9 – 1.12)  —</w:t>
      </w:r>
    </w:p>
    <w:p>
      <w:pPr>
        <w:pStyle w:val="Heading2"/>
        <w:spacing w:after="80" w:before="200"/>
      </w:pPr>
      <w:r>
        <w:rPr>
          <w:rFonts w:ascii="Arial" w:cs="Arial" w:eastAsia="Arial" w:hAnsi="Arial"/>
          <w:b/>
          <w:bCs/>
          <w:color w:val="4A6FA5"/>
          <w:sz w:val="24"/>
          <w:szCs w:val="24"/>
        </w:rPr>
        <w:t>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Section 1.12 — Freedom of Movement and Labor</w:t>
      </w:r>
    </w:p>
    <w:p>
      <w:pPr>
        <w:spacing w:after="60" w:before="60"/>
      </w:pPr>
      <w:r>
        <w:rPr>
          <w:rFonts w:ascii="Arial" w:cs="Arial" w:eastAsia="Arial" w:hAnsi="Arial"/>
          <w:color w:val="000000"/>
          <w:sz w:val="22"/>
          <w:szCs w:val="22"/>
        </w:rPr>
        <w:t>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E — Criminal Justice Rights (§§ 1.13 – 1.18)  —</w:t>
      </w:r>
    </w:p>
    <w:p>
      <w:pPr>
        <w:pStyle w:val="Heading2"/>
        <w:spacing w:after="80" w:before="200"/>
      </w:pPr>
      <w:r>
        <w:rPr>
          <w:rFonts w:ascii="Arial" w:cs="Arial" w:eastAsia="Arial" w:hAnsi="Arial"/>
          <w:b/>
          <w:bCs/>
          <w:color w:val="4A6FA5"/>
          <w:sz w:val="24"/>
          <w:szCs w:val="24"/>
        </w:rPr>
        <w:t>Section 1.13 — Right Against Arbitrary Detention</w:t>
      </w:r>
    </w:p>
    <w:p>
      <w:pPr>
        <w:spacing w:after="60" w:before="60"/>
      </w:pPr>
      <w:r>
        <w:rPr>
          <w:rFonts w:ascii="Arial" w:cs="Arial" w:eastAsia="Arial" w:hAnsi="Arial"/>
          <w:color w:val="000000"/>
          <w:sz w:val="22"/>
          <w:szCs w:val="22"/>
        </w:rPr>
        <w:t>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t>1.13.b Habeas Corpus Response Deadline: 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ind w:left="720" w:hanging="360"/>
      </w:pPr>
      <w:r>
        <w:t>1.13.c Habeas Corpus: 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Any accused person has the right to full disclosure of all State evidence, including exculpatory evidence, before trial. Willful withholding of exculpatory evidence is grounds for immediate dismissal of the case and may trigger Rule Violation proceedings under §2.7.</w:t>
      </w:r>
    </w:p>
    <w:p>
      <w:pPr>
        <w:spacing w:after="0" w:before="120"/>
      </w:pPr>
      <w:r>
        <w:t xml:space="preserve"/>
      </w:r>
    </w:p>
    <w:p>
      <w:pPr>
        <w:pStyle w:val="Heading2"/>
        <w:spacing w:after="80" w:before="200"/>
      </w:pPr>
      <w:r>
        <w:rPr>
          <w:rFonts w:ascii="Arial" w:cs="Arial" w:eastAsia="Arial" w:hAnsi="Arial"/>
          <w:b/>
          <w:bCs/>
          <w:color w:val="4A6FA5"/>
          <w:sz w:val="24"/>
          <w:szCs w:val="24"/>
        </w:rPr>
        <w:t>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may trigger Rule Violation proceedings under §2.7 against responsible officials.</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Section 1.16 — Right to Silence and Protection from Self-Incrimination</w:t>
      </w:r>
    </w:p>
    <w:p>
      <w:pPr>
        <w:spacing w:after="60" w:before="60"/>
      </w:pPr>
      <w:r>
        <w:rPr>
          <w:rFonts w:ascii="Arial" w:cs="Arial" w:eastAsia="Arial" w:hAnsi="Arial"/>
          <w:color w:val="000000"/>
          <w:sz w:val="22"/>
          <w:szCs w:val="22"/>
        </w:rPr>
        <w:t>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Section 1.17 — Right to a Public Trial</w:t>
      </w:r>
    </w:p>
    <w:p>
      <w:pPr>
        <w:spacing w:after="60" w:before="60"/>
      </w:pPr>
      <w:r>
        <w:rPr>
          <w:rFonts w:ascii="Arial" w:cs="Arial" w:eastAsia="Arial" w:hAnsi="Arial"/>
          <w:color w:val="000000"/>
          <w:sz w:val="22"/>
          <w:szCs w:val="22"/>
        </w:rPr>
        <w:t>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F — Social and Community Rights (§§ 1.20 – 1.24)  —</w:t>
      </w:r>
    </w:p>
    <w:p>
      <w:pPr/>
      <w:r>
        <w:rPr>
          <w:b/>
        </w:rPr>
        <w:t>—  Part F (preface) — Democratic and Participation Rights (§ 1.19)  —</w:t>
      </w:r>
    </w:p>
    <w:p>
      <w:pPr>
        <w:pStyle w:val="Heading2"/>
        <w:spacing w:after="80" w:before="200"/>
      </w:pPr>
      <w:r>
        <w:rPr>
          <w:rFonts w:ascii="Arial" w:cs="Arial" w:eastAsia="Arial" w:hAnsi="Arial"/>
          <w:b/>
          <w:bCs/>
          <w:color w:val="4A6FA5"/>
          <w:sz w:val="24"/>
          <w:szCs w:val="24"/>
        </w:rPr>
        <w:t>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Section 1.20 — Right to Marry and Found a Family</w:t>
      </w:r>
    </w:p>
    <w:p>
      <w:pPr>
        <w:spacing w:after="60" w:before="60"/>
      </w:pPr>
      <w:r>
        <w:rPr>
          <w:rFonts w:ascii="Arial" w:cs="Arial" w:eastAsia="Arial" w:hAnsi="Arial"/>
          <w:color w:val="000000"/>
          <w:sz w:val="22"/>
          <w:szCs w:val="22"/>
        </w:rPr>
        <w:t>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Section 1.21 — Rights of Children</w:t>
      </w:r>
    </w:p>
    <w:p>
      <w:pPr>
        <w:spacing w:after="60" w:before="60"/>
      </w:pPr>
      <w:r>
        <w:t>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No official may authorize, direct, or participate in the concealment of government-caused or government-permitted environmental harm. Willful concealment triggers Rule Violation proceedings under §2.7.</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Style w:val="Heading2"/>
      </w:pPr>
      <w:r>
        <w:t>Section 1.26 — Associated Community Residents</w:t>
      </w:r>
    </w:p>
    <w:p>
      <w:pPr>
        <w:spacing w:after="60" w:before="60"/>
        <w:ind w:left="720" w:hanging="360"/>
      </w:pPr>
      <w:r>
        <w:rPr>
          <w:rFonts w:ascii="Arial" w:cs="Arial" w:eastAsia="Arial" w:hAnsi="Arial"/>
          <w:b/>
          <w:bCs/>
          <w:color w:val="4A6FA5"/>
          <w:sz w:val="22"/>
          <w:szCs w:val="22"/>
        </w:rPr>
        <w:t xml:space="preserve">1.26 Associated Community Residents: </w:t>
      </w:r>
      <w:r>
        <w:rPr>
          <w:rFonts w:ascii="Arial" w:cs="Arial" w:eastAsia="Arial" w:hAnsi="Arial"/>
          <w:color w:val="000000"/>
          <w:sz w:val="22"/>
          <w:szCs w:val="22"/>
        </w:rPr>
        <w:t>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Style w:val="Heading2"/>
      </w:pPr>
      <w:r>
        <w:t>Section 1.27 — Non-Refoulement</w:t>
      </w:r>
    </w:p>
    <w:p>
      <w:r>
        <w:rPr>
          <w:rFonts w:ascii="Arial" w:hAnsi="Arial"/>
          <w:b/>
          <w:sz w:val="22"/>
        </w:rPr>
        <w:t xml:space="preserve">1.27 Non-Refoulement: </w:t>
      </w:r>
      <w:r>
        <w:rPr>
          <w:rFonts w:ascii="Arial" w:hAnsi="Arial"/>
          <w:sz w:val="22"/>
        </w:rPr>
        <w:t>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 — THE DUAL EXECUTIVE</w:t>
      </w:r>
    </w:p>
    <w:p>
      <w:pPr>
        <w:spacing w:after="0" w:before="120"/>
      </w:pPr>
      <w:r>
        <w:t xml:space="preserve"/>
      </w:r>
    </w:p>
    <w:p>
      <w:pPr>
        <w:spacing w:after="60" w:before="60"/>
      </w:pPr>
      <w:r>
        <w:rPr>
          <w:rFonts w:ascii="Arial" w:cs="Arial" w:eastAsia="Arial" w:hAnsi="Arial"/>
          <w:color w:val="000000"/>
          <w:sz w:val="22"/>
          <w:szCs w:val="22"/>
        </w:rPr>
        <w:t>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Legislative Declaration of Defense: </w:t>
      </w:r>
      <w:r>
        <w:rPr>
          <w:rFonts w:ascii="Arial" w:cs="Arial" w:eastAsia="Arial" w:hAnsi="Arial"/>
          <w:color w:val="000000"/>
          <w:sz w:val="22"/>
          <w:szCs w:val="22"/>
        </w:rPr>
        <w:t>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Any order for domestic surveillance or intelligence activity directed at Republic citizens is a Rule Violation against the President and the Director of Intelligence, triggering immediate suspension and a Senate trial within 72 hours under §2.7.</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§2.7;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60" w:before="60"/>
        <w:ind w:left="720" w:hanging="360"/>
      </w:pPr>
      <w:r>
        <w:rPr>
          <w:b/>
        </w:rPr>
        <w:t xml:space="preserve">2.1.h Dual Executive Conflict Resolution During Active Operations: </w:t>
      </w:r>
      <w: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0" w:before="120"/>
      </w:pPr>
      <w:r>
        <w:t xml:space="preserve"/>
      </w:r>
    </w:p>
    <w:p>
      <w:pPr>
        <w:pStyle w:val="Heading2"/>
        <w:spacing w:after="80" w:before="200"/>
      </w:pPr>
      <w:r>
        <w:rPr>
          <w:rFonts w:ascii="Arial" w:cs="Arial" w:eastAsia="Arial" w:hAnsi="Arial"/>
          <w:b/>
          <w:bCs/>
          <w:color w:val="4A6FA5"/>
          <w:sz w:val="24"/>
          <w:szCs w:val="24"/>
        </w:rPr>
        <w:t>Section 2.2 — The Prime Minister</w:t>
      </w:r>
    </w:p>
    <w:p>
      <w:pPr>
        <w:spacing w:after="60" w:before="60"/>
      </w:pPr>
      <w:r>
        <w:rPr>
          <w:rFonts w:ascii="Arial" w:cs="Arial" w:eastAsia="Arial" w:hAnsi="Arial"/>
          <w:color w:val="000000"/>
          <w:sz w:val="22"/>
          <w:szCs w:val="22"/>
        </w:rPr>
        <w:t>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60" w:before="60"/>
        <w:ind w:left="720" w:hanging="360"/>
      </w:pPr>
      <w:r>
        <w:rPr>
          <w:b/>
        </w:rPr>
        <w:t xml:space="preserve">2.2.g Ministerial Appointments: </w:t>
      </w:r>
      <w: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0" w:before="120"/>
      </w:pPr>
      <w:r>
        <w:t xml:space="preserve"/>
      </w:r>
    </w:p>
    <w:p>
      <w:pPr>
        <w:pStyle w:val="Heading2"/>
        <w:spacing w:after="80" w:before="200"/>
      </w:pPr>
      <w:r>
        <w:rPr>
          <w:rFonts w:ascii="Arial" w:cs="Arial" w:eastAsia="Arial" w:hAnsi="Arial"/>
          <w:b/>
          <w:bCs/>
          <w:color w:val="4A6FA5"/>
          <w:sz w:val="24"/>
          <w:szCs w:val="24"/>
        </w:rPr>
        <w:t>Section 2.3 — PM Selection and Removal by the House</w:t>
      </w:r>
    </w:p>
    <w:p>
      <w:pPr>
        <w:spacing w:after="60" w:before="60"/>
      </w:pPr>
      <w:r>
        <w:rPr>
          <w:rFonts w:ascii="Arial" w:cs="Arial" w:eastAsia="Arial" w:hAnsi="Arial"/>
          <w:color w:val="000000"/>
          <w:sz w:val="22"/>
          <w:szCs w:val="22"/>
        </w:rPr>
        <w:t>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The House selects the Prime Minister by absolute majority — meaning a majority of the full seated membership, not merely those present or voting; this definition applies throughout this Article. Failure to seat a PM within a period the Legislature defines by statute — not to exceed 60 days — results in dissolution of the entire House. the Legislature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the Legislature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Exception — Military Fund Certification: The Caretaker PM retains the full fund certification authority of §2.1.d for military operations that were active and duly authorized at the date of the PM vacancy — including ongoing Tier 2 and Tier 3 operations. The Caretaker PM may not issue fund certification for a new Tier 2 authorization arising during the vacancy period unless the Senate Armed Services Committee has additionally certified in writing that operational necessity requires immediate fund authorization before a permanent PM can be seated. That certification is published to the National Record System within 6 hours of issuance.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Where a second consecutive dissolution occurs — a newly elected House also failing to seat a PM within the statutory window — the Legislature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the Legislature defines the specific sequence, timelines, and thresholds by statute, provided the sequence ends in a new general election if no PM can be seated within the statutory escalation period.</w:t>
      </w:r>
    </w:p>
    <w:p>
      <w:pPr>
        <w:pStyle w:val="Heading2"/>
        <w:spacing w:after="80" w:before="200"/>
      </w:pPr>
      <w:r>
        <w:rPr>
          <w:rFonts w:ascii="Arial" w:cs="Arial" w:eastAsia="Arial" w:hAnsi="Arial"/>
          <w:b/>
          <w:bCs/>
          <w:color w:val="4A6FA5"/>
          <w:sz w:val="24"/>
          <w:szCs w:val="24"/>
        </w:rPr>
        <w:t>Section 2.4 — PM Legislative Objection</w:t>
      </w:r>
    </w:p>
    <w:p>
      <w:pPr>
        <w:spacing w:after="60" w:before="60"/>
      </w:pPr>
      <w:r>
        <w:rPr>
          <w:rFonts w:ascii="Arial" w:cs="Arial" w:eastAsia="Arial" w:hAnsi="Arial"/>
          <w:color w:val="000000"/>
          <w:sz w:val="22"/>
          <w:szCs w:val="22"/>
        </w:rPr>
        <w:t>The Prime Minister holds two objection powers over enacted legislation. Both are suspensive — the Legislature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The suspensive veto provides a deliberation interval and forces the Legislature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Section 2.5 — The Legislative Review Period</w:t>
      </w:r>
    </w:p>
    <w:p>
      <w:pPr>
        <w:spacing w:after="60" w:before="60"/>
      </w:pPr>
      <w:r>
        <w:rPr>
          <w:rFonts w:ascii="Arial" w:cs="Arial" w:eastAsia="Arial" w:hAnsi="Arial"/>
          <w:color w:val="000000"/>
          <w:sz w:val="22"/>
          <w:szCs w:val="22"/>
        </w:rPr>
        <w:t>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Legislative Continuity: </w:t>
      </w:r>
      <w:r>
        <w:rPr>
          <w:rFonts w:ascii="Arial" w:cs="Arial" w:eastAsia="Arial" w:hAnsi="Arial"/>
          <w:color w:val="000000"/>
          <w:sz w:val="22"/>
          <w:szCs w:val="22"/>
        </w:rPr>
        <w:t>If the House is physically unable to convene — in person or by any remote means — during the 72-hour presidential review window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2.6 — Succession</w:t>
      </w:r>
    </w:p>
    <w:p>
      <w:pPr>
        <w:spacing w:after="60" w:before="60"/>
        <w:ind w:left="720" w:hanging="360"/>
      </w:pPr>
      <w:r>
        <w:rPr>
          <w:rFonts w:ascii="Arial" w:cs="Arial" w:eastAsia="Arial" w:hAnsi="Arial"/>
          <w:b/>
          <w:bCs/>
          <w:color w:val="4A6FA5"/>
          <w:sz w:val="22"/>
          <w:szCs w:val="22"/>
        </w:rPr>
        <w:t xml:space="preserve">2.6.a Presidential Succession Line: </w:t>
      </w:r>
      <w:r>
        <w:rPr>
          <w:rFonts w:ascii="Arial" w:cs="Arial" w:eastAsia="Arial" w:hAnsi="Arial"/>
          <w:color w:val="000000"/>
          <w:sz w:val="22"/>
          <w:szCs w:val="22"/>
        </w:rPr>
        <w:t>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 </w:t>
      </w:r>
      <w:r>
        <w:rPr>
          <w:rFonts w:ascii="Arial" w:cs="Arial" w:eastAsia="Arial" w:hAnsi="Arial"/>
          <w:color w:val="000000"/>
          <w:sz w:val="22"/>
          <w:szCs w:val="22"/>
        </w:rPr>
        <w:t>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Rule Violation for both the PM and the most senior SC justice.</w:t>
      </w:r>
    </w:p>
    <w:p>
      <w:pPr>
        <w:spacing w:after="60" w:before="60"/>
        <w:ind w:left="720" w:hanging="360"/>
      </w:pPr>
      <w:r>
        <w:rPr>
          <w:rFonts w:ascii="Arial" w:cs="Arial" w:eastAsia="Arial" w:hAnsi="Arial"/>
          <w:b/>
          <w:bCs/>
          <w:color w:val="4A6FA5"/>
          <w:sz w:val="22"/>
          <w:szCs w:val="22"/>
        </w:rPr>
        <w:t xml:space="preserve">2.6.c Succession-Based Presidential Term: </w:t>
      </w:r>
      <w:r>
        <w:rPr>
          <w:rFonts w:ascii="Arial" w:cs="Arial" w:eastAsia="Arial" w:hAnsi="Arial"/>
          <w:color w:val="000000"/>
          <w:sz w:val="22"/>
          <w:szCs w:val="22"/>
        </w:rPr>
        <w:t>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Section 2.7 — Constitutional Violations and Automatic Consequences</w:t>
      </w:r>
    </w:p>
    <w:p>
      <w:pPr>
        <w:spacing w:after="60" w:before="60"/>
      </w:pPr>
      <w:r>
        <w:rPr>
          <w:rFonts w:ascii="Arial" w:cs="Arial" w:eastAsia="Arial" w:hAnsi="Arial"/>
          <w:color w:val="000000"/>
          <w:sz w:val="22"/>
          <w:szCs w:val="22"/>
        </w:rPr>
        <w:t>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Any provision of this Constitution that characterizes an action or omission as subject to Rule Violation proceedings invokes this Section automatically. Cross-references to §2.7 elsewhere in this Constitution are declaratory only. Inspectorate findings do not constitute Rule Violation determinations — only courts may make that legal conclusion. Inspectorate findings are facts that the Legislature, courts, or the People may act upon.</w:t>
      </w:r>
    </w:p>
    <w:p>
      <w:pPr>
        <w:spacing w:after="60" w:before="60"/>
        <w:ind w:left="720" w:hanging="360"/>
      </w:pPr>
      <w:r>
        <w:rPr>
          <w:rFonts w:ascii="Arial" w:cs="Arial" w:eastAsia="Arial" w:hAnsi="Arial"/>
          <w:b/>
          <w:bCs/>
          <w:color w:val="4A6FA5"/>
          <w:sz w:val="22"/>
          <w:szCs w:val="22"/>
        </w:rPr>
        <w:t xml:space="preserve">2.7.a Former Official Accountability: </w:t>
      </w:r>
      <w:r>
        <w:rPr>
          <w:rFonts w:ascii="Arial" w:cs="Arial" w:eastAsia="Arial" w:hAnsi="Arial"/>
          <w:color w:val="000000"/>
          <w:sz w:val="22"/>
          <w:szCs w:val="22"/>
        </w:rPr>
        <w:t>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2.7.b Suspension Deferred During Active Military Operations: </w:t>
      </w:r>
      <w:r>
        <w:rPr>
          <w:rFonts w:ascii="Arial" w:cs="Arial" w:eastAsia="Arial" w:hAnsi="Arial"/>
          <w:color w:val="000000"/>
          <w:sz w:val="22"/>
          <w:szCs w:val="22"/>
        </w:rPr>
        <w:t>Where the official subject to a Rule Violation finding is the President and active Tier 1, Tier 2, or Tier 3 military operations are underway when the finding, the immediate suspension of §2.7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2.7.c Minor Violations — Corrective Order Track: </w:t>
      </w:r>
      <w:r>
        <w:rPr>
          <w:rFonts w:ascii="Arial" w:cs="Arial" w:eastAsia="Arial" w:hAnsi="Arial"/>
          <w:color w:val="000000"/>
          <w:sz w:val="22"/>
          <w:szCs w:val="22"/>
        </w:rPr>
        <w:t>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the Legislature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2.7.d Corrective Order Mechanics: </w:t>
      </w:r>
      <w:r>
        <w:rPr>
          <w:rFonts w:ascii="Arial" w:cs="Arial" w:eastAsia="Arial" w:hAnsi="Arial"/>
          <w:color w:val="000000"/>
          <w:sz w:val="22"/>
          <w:szCs w:val="22"/>
        </w:rPr>
        <w:t>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60" w:before="60"/>
      </w:pPr>
      <w:r>
        <w:rPr>
          <w:b/>
        </w:rPr>
        <w:t xml:space="preserve">2.7.e Legislative Members — Modified Consequences: </w:t>
      </w:r>
      <w:r>
        <w:t>Where a Supreme Court Rule Violation finding is issued against a sitting member of the House or Senate, the automatic consequences of §2.7 apply with the following modifications: the member is immediately suspended from voting and committee participation (not removed from office); access to classified information and restricted government systems is revoked; and the finding is automatically referred to the relevant chamber's ethics committee, which must commence §3.6 expulsion proceedings within 30 days of the finding. The chamber retains the expulsion decision under §3.6's threshold requirements, but may not decline to commence proceedings following a Rule Violation referral. The Senate trial provision of §2.7 does not apply to legislative members — the §3.6 expulsion process is the exclusive legislative accountability track for members following a Rule Violation finding.</w:t>
      </w:r>
    </w:p>
    <w:p>
      <w:pPr>
        <w:spacing w:after="0" w:before="120"/>
      </w:pPr>
      <w:r>
        <w:t xml:space="preserve"/>
      </w:r>
    </w:p>
    <w:p>
      <w:pPr>
        <w:pStyle w:val="Heading2"/>
        <w:spacing w:after="80" w:before="200"/>
      </w:pPr>
      <w:r>
        <w:rPr>
          <w:rFonts w:ascii="Arial" w:cs="Arial" w:eastAsia="Arial" w:hAnsi="Arial"/>
          <w:b/>
          <w:bCs/>
          <w:color w:val="4A6FA5"/>
          <w:sz w:val="24"/>
          <w:szCs w:val="24"/>
        </w:rPr>
        <w:t>Section 2.8 — Emergency Governance Protocol</w:t>
      </w:r>
    </w:p>
    <w:p>
      <w:pPr>
        <w:spacing w:after="60" w:before="60"/>
      </w:pPr>
      <w:r>
        <w:rPr>
          <w:rFonts w:ascii="Arial" w:cs="Arial" w:eastAsia="Arial" w:hAnsi="Arial"/>
          <w:color w:val="000000"/>
          <w:sz w:val="22"/>
          <w:szCs w:val="22"/>
        </w:rPr>
        <w:t>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Expedited Activation — Catastrophic Attack: 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Style w:val="Heading2"/>
        <w:spacing w:after="80" w:before="200"/>
      </w:pPr>
      <w:r>
        <w:rPr>
          <w:rFonts w:ascii="Arial" w:cs="Arial" w:eastAsia="Arial" w:hAnsi="Arial"/>
          <w:b/>
          <w:bCs/>
          <w:color w:val="4A6FA5"/>
          <w:sz w:val="24"/>
          <w:szCs w:val="24"/>
        </w:rPr>
        <w:t>Section 2.9 — Clemency Limits and Legislative Amnesty</w:t>
      </w:r>
    </w:p>
    <w:p>
      <w:pPr>
        <w:spacing w:after="60" w:before="60"/>
        <w:ind w:left="720" w:hanging="360"/>
      </w:pPr>
      <w:r>
        <w:rPr>
          <w:rFonts w:ascii="Arial" w:cs="Arial" w:eastAsia="Arial" w:hAnsi="Arial"/>
          <w:b/>
          <w:bCs/>
          <w:color w:val="4A6FA5"/>
          <w:sz w:val="22"/>
          <w:szCs w:val="22"/>
        </w:rPr>
        <w:t xml:space="preserve">2.9.a Judicial Review of Grants: </w:t>
      </w:r>
      <w:r>
        <w:rPr>
          <w:rFonts w:ascii="Arial" w:cs="Arial" w:eastAsia="Arial" w:hAnsi="Arial"/>
          <w:color w:val="000000"/>
          <w:sz w:val="22"/>
          <w:szCs w:val="22"/>
        </w:rPr>
        <w:t>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2.9.b Legislative Amnesty: </w:t>
      </w:r>
      <w:r>
        <w:rPr>
          <w:rFonts w:ascii="Arial" w:cs="Arial" w:eastAsia="Arial" w:hAnsi="Arial"/>
          <w:color w:val="000000"/>
          <w:sz w:val="22"/>
          <w:szCs w:val="22"/>
        </w:rPr>
        <w:t>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Rule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2.9.c Self-Clemency Absolute Prohibition: </w:t>
      </w:r>
      <w:r>
        <w:rPr>
          <w:rFonts w:ascii="Arial" w:cs="Arial" w:eastAsia="Arial" w:hAnsi="Arial"/>
          <w:color w:val="000000"/>
          <w:sz w:val="22"/>
          <w:szCs w:val="22"/>
        </w:rPr>
        <w:t>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pStyle w:val="Heading2"/>
      </w:pPr>
      <w:r>
        <w:rPr>
          <w:b/>
        </w:rPr>
        <w:t>Section 2.10 — Presidential Removal by the Legislature and Popular Vote</w:t>
      </w:r>
    </w:p>
    <w:p>
      <w:pPr>
        <w:spacing w:after="60" w:before="60"/>
      </w:pPr>
      <w:r>
        <w:t>The President may be removed through two political tracks independent of the §2.7 Rule Violation accountability process.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pPr>
      <w:r>
        <w:rPr>
          <w:b/>
        </w:rPr>
        <w:t xml:space="preserve">2.10.a Path 1 — Legislative Removal: </w:t>
      </w:r>
      <w:r>
        <w:t>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§2.7 Rule Violation track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pPr>
      <w:r>
        <w:rPr>
          <w:b/>
        </w:rPr>
        <w:t xml:space="preserve">2.10.b Path 2 — Senate Referral to Popular Recall: </w:t>
      </w:r>
      <w:r>
        <w:t>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pPr>
      <w:r>
        <w:rPr>
          <w:b/>
        </w:rPr>
        <w:t xml:space="preserve">2.10.c One Referral Per Term: </w:t>
      </w:r>
      <w:r>
        <w:t>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III — THE LEGISLATURE</w:t>
      </w:r>
    </w:p>
    <w:p>
      <w:pPr>
        <w:spacing w:after="0" w:before="120"/>
      </w:pPr>
      <w:r>
        <w:t xml:space="preserve"/>
      </w:r>
    </w:p>
    <w:p>
      <w:pPr>
        <w:pStyle w:val="Heading2"/>
        <w:spacing w:after="80" w:before="200"/>
      </w:pPr>
      <w:r>
        <w:rPr>
          <w:rFonts w:ascii="Arial" w:cs="Arial" w:eastAsia="Arial" w:hAnsi="Arial"/>
          <w:b/>
          <w:bCs/>
          <w:color w:val="4A6FA5"/>
          <w:sz w:val="24"/>
          <w:szCs w:val="24"/>
        </w:rPr>
        <w:t>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The House must publish every bill in full on the National Record System for a minimum period the Legislature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r>
        <w:rPr>
          <w:b/>
        </w:rPr>
        <w:t xml:space="preserve">3.1.f House Term Limits: </w:t>
      </w:r>
      <w:r>
        <w:t xml:space="preserve">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dissolution, and post-dissolution election bar provisions of §2.3 operate independently of this term limit. A member who reaches the 6-term limit and whose cooling-off period coincides with a post-dissolution election bar serves both periods concurrently from the later start date.</w:t>
      </w:r>
    </w:p>
    <w:p>
      <w:pPr>
        <w:spacing w:after="0" w:before="120"/>
      </w:pPr>
      <w:r>
        <w:t xml:space="preserve"/>
      </w:r>
    </w:p>
    <w:p>
      <w:pPr>
        <w:pStyle w:val="Heading2"/>
        <w:spacing w:after="80" w:before="200"/>
      </w:pPr>
      <w:r>
        <w:rPr>
          <w:rFonts w:ascii="Arial" w:cs="Arial" w:eastAsia="Arial" w:hAnsi="Arial"/>
          <w:b/>
          <w:bCs/>
          <w:color w:val="4A6FA5"/>
          <w:sz w:val="24"/>
          <w:szCs w:val="24"/>
        </w:rPr>
        <w:t>Section 3.2 — The Senate</w:t>
      </w:r>
    </w:p>
    <w:p>
      <w:pPr>
        <w:spacing w:after="60" w:before="60"/>
      </w:pPr>
      <w:r>
        <w:rPr>
          <w:rFonts w:ascii="Arial" w:cs="Arial" w:eastAsia="Arial" w:hAnsi="Arial"/>
          <w:color w:val="000000"/>
          <w:sz w:val="22"/>
          <w:szCs w:val="22"/>
        </w:rPr>
        <w:t>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The Senate must take up every House-passed bill within a period the Legislature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r>
        <w:rPr>
          <w:b/>
        </w:rPr>
        <w:t xml:space="preserve">3.2.e.i Treaty Domestic Application: </w:t>
      </w:r>
      <w:r>
        <w:t xml:space="preserve">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r>
        <w:rPr>
          <w:b/>
        </w:rPr>
        <w:t xml:space="preserve">3.2.e.ii Treaty Withdrawal: </w:t>
      </w:r>
      <w:r>
        <w:t xml:space="preserve">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
(a)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
(b)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
(c)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
(d) All withdrawal notices, Senate blocking votes, Senate confirmation votes, and withdrawal completion dates are published to the National Record System and constitute permanent entries in the Republic's constitutional record.</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0" w:before="120"/>
      </w:pPr>
      <w:r>
        <w:t xml:space="preserve"/>
      </w:r>
    </w:p>
    <w:p>
      <w:pPr>
        <w:spacing w:after="60" w:before="60"/>
      </w:pPr>
      <w:r>
        <w:rPr>
          <w:b/>
        </w:rPr>
        <w:t xml:space="preserve">3.2.h Senate Speaker Vacancy: </w:t>
      </w:r>
      <w:r>
        <w:t>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Style w:val="Heading2"/>
        <w:spacing w:after="80" w:before="200"/>
      </w:pPr>
      <w:r>
        <w:rPr>
          <w:rFonts w:ascii="Arial" w:cs="Arial" w:eastAsia="Arial" w:hAnsi="Arial"/>
          <w:b/>
          <w:bCs/>
          <w:color w:val="4A6FA5"/>
          <w:sz w:val="24"/>
          <w:szCs w:val="24"/>
        </w:rPr>
        <w:t>Section 3.3 — The Life Cycle of a Law</w:t>
      </w:r>
    </w:p>
    <w:p>
      <w:pPr>
        <w:spacing w:after="60" w:before="60"/>
        <w:ind w:left="720" w:hanging="360"/>
      </w:pPr>
      <w:r>
        <w:rPr>
          <w:rFonts w:ascii="Arial" w:cs="Arial" w:eastAsia="Arial" w:hAnsi="Arial"/>
          <w:b/>
          <w:bCs/>
          <w:color w:val="4A6FA5"/>
          <w:sz w:val="22"/>
          <w:szCs w:val="22"/>
        </w:rPr>
        <w:t xml:space="preserve">3.3.a Legislative Mandate Enforcement: </w:t>
      </w:r>
      <w:r>
        <w:rPr>
          <w:rFonts w:ascii="Arial" w:cs="Arial" w:eastAsia="Arial" w:hAnsi="Arial"/>
          <w:color w:val="000000"/>
          <w:sz w:val="22"/>
          <w:szCs w:val="22"/>
        </w:rPr>
        <w:t>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Section 3.4 — Electoral Districts</w:t>
      </w:r>
    </w:p>
    <w:p>
      <w:pPr>
        <w:spacing w:after="60" w:before="60"/>
      </w:pPr>
      <w:r>
        <w:rPr>
          <w:rFonts w:ascii="Arial" w:cs="Arial" w:eastAsia="Arial" w:hAnsi="Arial"/>
          <w:color w:val="000000"/>
          <w:sz w:val="22"/>
          <w:szCs w:val="22"/>
        </w:rPr>
        <w:t>Districts are redrawn on the census cycle the Legislature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§2.7.</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A valid district map remains in effect until the next census cycle. the Legislature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Section 3.5 — Impeachment Initiation (House-Originated)</w:t>
      </w:r>
    </w:p>
    <w:p>
      <w:pPr>
        <w:spacing w:after="60" w:before="60"/>
      </w:pPr>
      <w:r>
        <w:t>This section governs the political impeachment track — initiated by the House and distinct from the automatic Rule Violation consequences of §2.7. This section applies exclusively to executive and judicial officers of the Republic. Legislative members of the House and Senate are not subject to this section — their removal is governed exclusively by §3.6 as the specific provision for legislative self-governance, and by §2.7.e where a Rule Violation finding applies. This clarification resolves any ambiguity arising from the phrase "elected or appointed federal official" — for purposes of this section, that phrase refers to officers of the executive and judicial branches only.</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§2.7 following a Supreme Court Rule Violation finding, not upon House passage of Articles alone. Where §2.7 suspension is simultaneously in effect, the §2.7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Section 3.6 — Legislative Expulsion by Peers</w:t>
      </w:r>
    </w:p>
    <w:p>
      <w:pPr>
        <w:spacing w:after="60" w:before="60"/>
      </w:pPr>
      <w:r>
        <w:rPr>
          <w:rFonts w:ascii="Arial" w:cs="Arial" w:eastAsia="Arial" w:hAnsi="Arial"/>
          <w:color w:val="000000"/>
          <w:sz w:val="22"/>
          <w:szCs w:val="22"/>
        </w:rPr>
        <w:t>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b/>
        </w:rPr>
        <w:t xml:space="preserve">3.6.e Recall Mechanisms — States and Territories: </w:t>
      </w:r>
      <w:r>
        <w:t>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pPr>
      <w:r>
        <w:rPr>
          <w:b/>
        </w:rPr>
        <w:t xml:space="preserve">3.6.f Vacancy Filling — States and Territories: </w:t>
      </w:r>
      <w:r>
        <w:t>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Section 4.1 — Court Structure</w:t>
      </w:r>
    </w:p>
    <w:p>
      <w:pPr>
        <w:spacing w:after="60" w:before="60"/>
      </w:pPr>
      <w:r>
        <w:rPr>
          <w:rFonts w:ascii="Arial" w:cs="Arial" w:eastAsia="Arial" w:hAnsi="Arial"/>
          <w:color w:val="000000"/>
          <w:sz w:val="22"/>
          <w:szCs w:val="22"/>
        </w:rPr>
        <w:t>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Only the House may create or abolish inferior courts by statute.</w:t>
      </w:r>
    </w:p>
    <w:p>
      <w:pPr>
        <w:spacing w:after="60" w:before="60"/>
        <w:ind w:left="720" w:hanging="360"/>
      </w:pPr>
      <w:r>
        <w:rPr>
          <w:b/>
        </w:rPr>
        <w:t xml:space="preserve">4.1.b Appointment of Inferior Court Judges: </w:t>
      </w:r>
      <w:r>
        <w:t>The PM nominates lower court judges within 90 days of any vacancy; the House confirms by a supermajority the Legislature defines by statute within a Legislature-defined period; the Supreme Court commissions all confirmed judges. If the House fails to vote on any nomination within the Legislature-defined confirmation period, the nominee is Deemed Confirmed and the Supreme Court commissions them immediately. If the PM fails to nominate within 90 days of a vacancy, the Supreme Court nominates directly from the Qualified Jurist Registry; that nomination proceeds to House confirmation on the same supermajority standard and Deemed Confirmed timeline.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 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ind w:left="720" w:hanging="360"/>
      </w:pPr>
      <w:r>
        <w:rPr>
          <w:b/>
        </w:rPr>
        <w:t xml:space="preserve">4.1.c Removal of Inferior Court Judges — Three Tracks: </w:t>
      </w:r>
      <w:r>
        <w:t>Inferior court judges may be removed through three independent tracks. Track 1 — Rule Violation (§2.7): A Supreme Court finding of a constitutional violation triggers automatic suspension, access revocation, and Senate trial on the standard §2.7 track. Track 2 — Judicial Initiation: Requires a 2/3 petition from the Supreme Court, followed by a supermajority conviction vote in the Legislature that the Legislature defines by statute. The Supreme Court petition is a constitutional prerequisite — the Legislature may not proceed to the conviction vote without it, and neither executive may initiate removal without the Supreme Court's formal petition. Track 3 — Political Removal: Mirrors the presidential and Supreme Court political removal architecture: 2/3 of the full House membership to initiate, plus 2/3 of the full Senate membership to convict and remove; OR a simple majority of the full Senate membership to refer the question to a national recall referendum, with removal requiring a majority of eligible voters and one referral permitted per judicial term. This section is the exclusive removal mechanism for inferior court judges. The general impeachment track of §3.5 does not apply to inferior court judges. All removal proceedings and their outcomes are published to the National Record System.</w:t>
      </w:r>
    </w:p>
    <w:p>
      <w:r>
        <w:rPr>
          <w:b/>
        </w:rPr>
        <w:t xml:space="preserve">4.1.d Judicial Tenure Protection: </w:t>
      </w:r>
      <w: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three-track removal system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0" w:before="120"/>
      </w:pPr>
      <w:r>
        <w:t xml:space="preserve"/>
      </w:r>
    </w:p>
    <w:p>
      <w:pPr>
        <w:pStyle w:val="Heading2"/>
        <w:spacing w:after="80" w:before="200"/>
      </w:pPr>
      <w:r>
        <w:rPr>
          <w:rFonts w:ascii="Arial" w:cs="Arial" w:eastAsia="Arial" w:hAnsi="Arial"/>
          <w:b/>
          <w:bCs/>
          <w:color w:val="4A6FA5"/>
          <w:sz w:val="24"/>
          <w:szCs w:val="24"/>
        </w:rPr>
        <w:t>Section 4.2 — The Supreme Court</w:t>
      </w:r>
    </w:p>
    <w:p>
      <w:pPr>
        <w:spacing w:after="80" w:before="200"/>
      </w:pPr>
      <w:r>
        <w:t>The Triad: Each open Supreme Court seat is filled through a three-party nomination process. The three Triad nominators are the Senate, the Prime Minister, and the President, each submitting one candidate per vacancy from the Qualified Jurist Registry maintained by the Judicial Inspectorate. All three nominations must be submitted before the citizen election proceeds. This three-party structure — Senate, PM, and President — is referred to as the Triad throughout this Constitution. The Senate replaces the House as a Triad nominator because the Senate's closer institutional relationship with the President — through treaty ratification, judicial confirmations, and Rule Violation trials — produces genuinely distinct institutional perspective from both the PM and the President, while the House's nomination would effectively double the PM's voice given the PM's confidence relationship with the House.</w:t>
      </w:r>
    </w:p>
    <w:p>
      <w:pPr>
        <w:spacing w:after="60" w:before="60"/>
      </w:pPr>
      <w:r>
        <w:rPr>
          <w:rFonts w:ascii="Arial" w:cs="Arial" w:eastAsia="Arial" w:hAnsi="Arial"/>
          <w:color w:val="000000"/>
          <w:sz w:val="22"/>
          <w:szCs w:val="22"/>
        </w:rPr>
        <w:t>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b/>
        </w:rPr>
        <w:t xml:space="preserve">4.2.a Triad Nomination: </w:t>
      </w:r>
      <w:r>
        <w:t>The Senate, the PM, and the President each nominate one candidate per open seat from the Qualified Jurist Registry. The Judicial Inspectorate maintains the Registry and certifies that each nominee meets the eligibility criteria of §8.4.a before the public election proceeds. All three nominations must be submitted and certified before any public election is scheduled. A Triad nominator who fails to submit a nomination within the Legislature-defined statutory period commits a constitutional dereliction, published to the National Record System; the remaining two nominees proceed to the public election without the missing nomination. No separate Senate eligibility confirmation vote is required — the Judicial Inspectorate's Registry certification is the sole eligibility filter. The Electoral Commission administers all elections including those for Supreme Court seats and may not exclude any Triad-nominated and Registry-certified candidate from the ballot.</w:t>
      </w:r>
    </w:p>
    <w:p>
      <w:pPr>
        <w:spacing w:after="60" w:before="60"/>
        <w:ind w:left="720" w:hanging="360"/>
      </w:pPr>
      <w:r>
        <w:rPr>
          <w:b/>
        </w:rPr>
        <w:t xml:space="preserve">4.2.b Mid-Term Vacancy Process: </w:t>
      </w:r>
      <w:r>
        <w:t>Where a Supreme Court seat becomes vacant mid-term through death, resignation, removal, or expulsion, a special election is held within 90 days. The President and PM each nominate one candidate from the Qualified Jurist Registry within a Legislature-defined period. The Senate has 90 days from the date of vacancy to nominate a third candidate from the Registry. If the Senate nominates within 90 days, all three candidates proceed to the public special election. If the Senate fails to nominate within 90 days, the President's and PM's two nominees proceed to a head-to-head public special election without a Senate nominee — the Senate's failure to nominate is published to the National Record System and is the Senate's constitutional consequence. The replacement justice serves only the remainder of the original term, not a new 12-year term. All other Triad nomination and Registry certification requirements of §4.2.a apply to mid-term vacancies.</w:t>
      </w:r>
    </w:p>
    <w:p>
      <w:pPr>
        <w:spacing w:after="60" w:before="60"/>
        <w:ind w:left="720" w:hanging="360"/>
      </w:pPr>
      <w:r>
        <w:rPr>
          <w:b/>
        </w:rPr>
        <w:t xml:space="preserve">4.2.c Judicial Inspectorate Vetting: </w:t>
      </w:r>
      <w:r>
        <w:t>Before any Triad nomination may proceed to the public election, the Judicial Inspectorate vets each nominee against the Qualified Jurist Registry criteria. The nominee's Registry registration record — submitted at the time of Registry admission — serves as the disclosure record for vetting purposes. The JI does not generate a new independent assessment; it confirms that the nominee remains in the Registry, that no disqualifying change in circumstances has occurred since Registry admission, and that the specific eligibility criteria continue to be met. A nominee who fails vetting may not proceed to the public election. The nominating Triad member whose nominee fails vetting must submit a replacement nominee within a Legislature-defined statutory period. Any nominee may petition the Supreme Court within 14 days of a vetting determination to challenge it on technical grounds; the nominee continues to be listed as pending during the review period. All vetting determinations are published to the National Record System.</w:t>
      </w:r>
    </w:p>
    <w:p>
      <w:pPr>
        <w:spacing w:after="60" w:before="60"/>
        <w:ind w:left="720" w:hanging="360"/>
      </w:pPr>
      <w:r>
        <w:rPr>
          <w:b/>
        </w:rPr>
        <w:t xml:space="preserve">4.2.d Public Election: </w:t>
      </w:r>
      <w:r>
        <w:t>Following Judicial Inspectorate vetting, all certified nominees are placed on the ballot for a national direct election by Ranked Choice Voting on the next National Election Day, or by special election within 90 days for mid-term vacancies under §4.2.b. The winner is the nominee who achieves a national RCV majority. The Electoral Commission administers the election and certifies the result to the National Record System. No institution may remove a certified nominee from the ballot after JI vetting is complete. The elected justice takes office upon taking the Official Oath, which is recorded on the National Record System within 24 hours of administration.</w:t>
      </w:r>
    </w:p>
    <w:p>
      <w:pPr>
        <w:spacing w:after="60" w:before="60"/>
        <w:ind w:left="720" w:hanging="360"/>
      </w:pPr>
      <w:r>
        <w:rPr>
          <w:rFonts w:ascii="Arial" w:cs="Arial" w:eastAsia="Arial" w:hAnsi="Arial"/>
          <w:b/>
          <w:bCs/>
          <w:color w:val="4A6FA5"/>
          <w:sz w:val="22"/>
          <w:szCs w:val="22"/>
        </w:rPr>
        <w:t xml:space="preserve">4.2.e Emergency Panel for Tier 1 Scope Challenges: </w:t>
      </w:r>
      <w:r>
        <w:rPr>
          <w:rFonts w:ascii="Arial" w:cs="Arial" w:eastAsia="Arial" w:hAnsi="Arial"/>
          <w:color w:val="000000"/>
          <w:sz w:val="22"/>
          <w:szCs w:val="22"/>
        </w:rPr>
        <w:t>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ind w:left="720" w:hanging="360"/>
      </w:pPr>
      <w:r>
        <w:rPr>
          <w:rFonts w:ascii="Arial" w:cs="Arial" w:eastAsia="Arial" w:hAnsi="Arial"/>
          <w:b/>
          <w:bCs/>
          <w:color w:val="4A6FA5"/>
          <w:sz w:val="22"/>
          <w:szCs w:val="22"/>
        </w:rPr>
        <w:t xml:space="preserve">4.2.f Vacancy Operating Rules: </w:t>
      </w:r>
      <w:r>
        <w:rPr>
          <w:rFonts w:ascii="Arial" w:cs="Arial" w:eastAsia="Arial" w:hAnsi="Arial"/>
          <w:color w:val="000000"/>
          <w:sz w:val="22"/>
          <w:szCs w:val="22"/>
        </w:rPr>
        <w:t>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4.2.g Judicial Recusal: </w:t>
      </w:r>
      <w:r>
        <w:rPr>
          <w:rFonts w:ascii="Arial" w:cs="Arial" w:eastAsia="Arial" w:hAnsi="Arial"/>
          <w:color w:val="000000"/>
          <w:sz w:val="22"/>
          <w:szCs w:val="22"/>
        </w:rPr>
        <w:t>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w:t>
      </w:r>
    </w:p>
    <w:p>
      <w:pPr>
        <w:spacing w:after="0" w:before="120"/>
      </w:pPr>
      <w:r>
        <w:t xml:space="preserve"/>
      </w:r>
    </w:p>
    <w:p>
      <w:pPr>
        <w:pStyle w:val="Heading2"/>
        <w:spacing w:after="80" w:before="200"/>
      </w:pPr>
      <w:r>
        <w:rPr>
          <w:rFonts w:ascii="Arial" w:cs="Arial" w:eastAsia="Arial" w:hAnsi="Arial"/>
          <w:b/>
          <w:bCs/>
          <w:color w:val="4A6FA5"/>
          <w:sz w:val="24"/>
          <w:szCs w:val="24"/>
        </w:rPr>
        <w:t>Section 4.3 — Judicial Independence and Scope of Authority</w:t>
      </w:r>
    </w:p>
    <w:p>
      <w:pPr>
        <w:spacing w:after="60" w:before="60"/>
      </w:pPr>
      <w:r>
        <w:rPr>
          <w:rFonts w:ascii="Arial" w:cs="Arial" w:eastAsia="Arial" w:hAnsi="Arial"/>
          <w:color w:val="000000"/>
          <w:sz w:val="22"/>
          <w:szCs w:val="22"/>
        </w:rPr>
        <w:t>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r>
        <w:rPr>
          <w:b/>
        </w:rPr>
        <w:t xml:space="preserve">4.3.b Organizational Standing: </w:t>
      </w:r>
      <w: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r>
        <w:rPr>
          <w:b/>
        </w:rPr>
        <w:t xml:space="preserve">4.3.c Ripeness and Mootness: </w:t>
      </w:r>
      <w: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Style w:val="Heading2"/>
        <w:spacing w:after="80" w:before="200"/>
      </w:pPr>
      <w:r>
        <w:rPr>
          <w:rFonts w:ascii="Arial" w:cs="Arial" w:eastAsia="Arial" w:hAnsi="Arial"/>
          <w:b/>
          <w:bCs/>
          <w:color w:val="4A6FA5"/>
          <w:sz w:val="24"/>
          <w:szCs w:val="24"/>
        </w:rPr>
        <w:t>Section 4.4 — Interstate Recognition of Judgments and Public Acts</w:t>
      </w:r>
    </w:p>
    <w:p>
      <w:pPr>
        <w:spacing w:after="60" w:before="60"/>
      </w:pPr>
      <w:r>
        <w:rPr>
          <w:rFonts w:ascii="Arial" w:cs="Arial" w:eastAsia="Arial" w:hAnsi="Arial"/>
          <w:color w:val="000000"/>
          <w:sz w:val="22"/>
          <w:szCs w:val="22"/>
        </w:rPr>
        <w:t>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4.4.f Limits — No Obligation Beyond Republic Borders: </w:t>
      </w:r>
      <w:r>
        <w:rPr>
          <w:rFonts w:ascii="Arial" w:cs="Arial" w:eastAsia="Arial" w:hAnsi="Arial"/>
          <w:color w:val="000000"/>
          <w:sz w:val="22"/>
          <w:szCs w:val="22"/>
        </w:rPr>
        <w:t>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4.4.g Legislative Implementation Mandates: </w:t>
      </w:r>
      <w:r>
        <w:rPr>
          <w:rFonts w:ascii="Arial" w:cs="Arial" w:eastAsia="Arial" w:hAnsi="Arial"/>
          <w:color w:val="000000"/>
          <w:sz w:val="22"/>
          <w:szCs w:val="22"/>
        </w:rPr>
        <w:t>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 — CITIZENSHIP, RESIDENCY, AND NATIONAL IDENTITY</w:t>
      </w:r>
    </w:p>
    <w:p>
      <w:pPr>
        <w:spacing w:after="60" w:before="60"/>
      </w:pPr>
      <w:r>
        <w:rPr>
          <w:rFonts w:ascii="Arial" w:cs="Arial" w:eastAsia="Arial" w:hAnsi="Arial"/>
          <w:color w:val="000000"/>
          <w:sz w:val="22"/>
          <w:szCs w:val="22"/>
        </w:rPr>
        <w:t>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Section 5.1 — Citizens</w:t>
      </w:r>
    </w:p>
    <w:p>
      <w:pPr>
        <w:spacing w:after="60" w:before="60"/>
      </w:pPr>
      <w:r>
        <w:rPr>
          <w:rFonts w:ascii="Arial" w:cs="Arial" w:eastAsia="Arial" w:hAnsi="Arial"/>
          <w:color w:val="000000"/>
          <w:sz w:val="22"/>
          <w:szCs w:val="22"/>
        </w:rPr>
        <w:t>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A child is automatically a citizen if at least one parent is a Citizen or Legal Resident at birth. This status is permanent and irrevocable.</w:t>
      </w:r>
    </w:p>
    <w:p>
      <w:pPr>
        <w:spacing w:after="60" w:before="60"/>
        <w:ind w:left="720" w:hanging="360"/>
      </w:pPr>
      <w:r>
        <w:t>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Heading2"/>
        <w:spacing w:after="80" w:before="200"/>
      </w:pPr>
      <w:r>
        <w:rPr>
          <w:rFonts w:ascii="Arial" w:cs="Arial" w:eastAsia="Arial" w:hAnsi="Arial"/>
          <w:b/>
          <w:bCs/>
          <w:color w:val="4A6FA5"/>
          <w:sz w:val="24"/>
          <w:szCs w:val="24"/>
        </w:rPr>
        <w:t>Section 5.3 — Custodial Care of Citizen Children</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Section 5.4 — The Constitutional Logic Test</w:t>
      </w:r>
    </w:p>
    <w:p>
      <w:pPr>
        <w:spacing w:after="60" w:before="60"/>
      </w:pPr>
      <w:r>
        <w:rPr>
          <w:rFonts w:ascii="Arial" w:cs="Arial" w:eastAsia="Arial" w:hAnsi="Arial"/>
          <w:color w:val="000000"/>
          <w:sz w:val="22"/>
          <w:szCs w:val="22"/>
        </w:rPr>
        <w:t>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ind w:left="720" w:hanging="360"/>
      </w:pPr>
      <w:r>
        <w:rPr>
          <w:rFonts w:ascii="Arial" w:cs="Arial" w:eastAsia="Arial" w:hAnsi="Arial"/>
          <w:b/>
          <w:bCs/>
          <w:color w:val="4A6FA5"/>
          <w:sz w:val="22"/>
          <w:szCs w:val="22"/>
        </w:rPr>
        <w:t xml:space="preserve">5.4.b CLT Administrator: </w:t>
      </w:r>
      <w:r>
        <w:rPr>
          <w:rFonts w:ascii="Arial" w:cs="Arial" w:eastAsia="Arial" w:hAnsi="Arial"/>
          <w:color w:val="000000"/>
          <w:sz w:val="22"/>
          <w:szCs w:val="22"/>
        </w:rPr>
        <w:t>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 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CLT Administrator requires a 2/3 vote of both chambers simultaneously and a documented finding of dereliction by the Executive Inspectorate published to the National Record System before the legislative vote may proceed. 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VI — IMMIGRATION AND RESIDENCY</w:t>
      </w:r>
    </w:p>
    <w:p>
      <w:pPr>
        <w:spacing w:after="60" w:before="60"/>
      </w:pPr>
      <w:r>
        <w:rPr>
          <w:rFonts w:ascii="Arial" w:cs="Arial" w:eastAsia="Arial" w:hAnsi="Arial"/>
          <w:color w:val="000000"/>
          <w:sz w:val="22"/>
          <w:szCs w:val="22"/>
        </w:rPr>
        <w:t>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Section 6.1 — The Dual-Gate System</w:t>
      </w:r>
    </w:p>
    <w:p>
      <w:pPr>
        <w:spacing w:after="60" w:before="60"/>
      </w:pPr>
      <w:r>
        <w:rPr>
          <w:rFonts w:ascii="Arial" w:cs="Arial" w:eastAsia="Arial" w:hAnsi="Arial"/>
          <w:color w:val="000000"/>
          <w:sz w:val="22"/>
          <w:szCs w:val="22"/>
        </w:rPr>
        <w:t>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§2.7.</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the Legislature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spacing w:after="0" w:before="120"/>
      </w:pPr>
      <w:r>
        <w:t xml:space="preserve"/>
      </w:r>
    </w:p>
    <w:p>
      <w:pPr>
        <w:pStyle w:val="Heading2"/>
        <w:spacing w:after="80" w:before="200"/>
      </w:pPr>
      <w:r>
        <w:rPr>
          <w:rFonts w:ascii="Arial" w:cs="Arial" w:eastAsia="Arial" w:hAnsi="Arial"/>
          <w:b/>
          <w:bCs/>
          <w:color w:val="4A6FA5"/>
          <w:sz w:val="24"/>
          <w:szCs w:val="24"/>
        </w:rPr>
        <w:t>Section 6.3 — Application Appeals</w:t>
      </w:r>
    </w:p>
    <w:p>
      <w:pPr>
        <w:spacing w:after="60" w:before="60"/>
      </w:pPr>
      <w:r>
        <w:rPr>
          <w:rFonts w:ascii="Arial" w:cs="Arial" w:eastAsia="Arial" w:hAnsi="Arial"/>
          <w:color w:val="000000"/>
          <w:sz w:val="22"/>
          <w:szCs w:val="22"/>
        </w:rPr>
        <w:t>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6.3.a Judicial Challenge: </w:t>
      </w:r>
      <w:r>
        <w:rPr>
          <w:rFonts w:ascii="Arial" w:cs="Arial" w:eastAsia="Arial" w:hAnsi="Arial"/>
          <w:color w:val="000000"/>
          <w:sz w:val="22"/>
          <w:szCs w:val="22"/>
        </w:rPr>
        <w:t>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6.3.b National Security Denials: </w:t>
      </w:r>
      <w:r>
        <w:rPr>
          <w:rFonts w:ascii="Arial" w:cs="Arial" w:eastAsia="Arial" w:hAnsi="Arial"/>
          <w:color w:val="000000"/>
          <w:sz w:val="22"/>
          <w:szCs w:val="22"/>
        </w:rPr>
        <w:t>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r>
        <w:rPr>
          <w:rFonts w:ascii="Arial" w:hAnsi="Arial"/>
          <w:b/>
          <w:sz w:val="22"/>
        </w:rPr>
        <w:t>Section 6.4 — Asylum and Protection</w:t>
      </w:r>
    </w:p>
    <w:p/>
    <w:p>
      <w:r>
        <w:rPr>
          <w:rFonts w:ascii="Arial" w:hAnsi="Arial"/>
          <w:b/>
          <w:sz w:val="22"/>
        </w:rPr>
        <w:t xml:space="preserve">6.4.a Asylum Seekers as Inhabitants: </w:t>
      </w:r>
      <w:r>
        <w:rPr>
          <w:rFonts w:ascii="Arial" w:hAnsi="Arial"/>
          <w:sz w:val="22"/>
        </w:rPr>
        <w:t>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r>
        <w:rPr>
          <w:rFonts w:ascii="Arial" w:hAnsi="Arial"/>
          <w:b/>
          <w:sz w:val="22"/>
        </w:rPr>
        <w:t xml:space="preserve">6.4.b Right to Determination and Protection During Proceedings: </w:t>
      </w:r>
      <w:r>
        <w:rPr>
          <w:rFonts w:ascii="Arial" w:hAnsi="Arial"/>
          <w:sz w:val="22"/>
        </w:rPr>
        <w:t>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r>
        <w:rPr>
          <w:rFonts w:ascii="Arial" w:hAnsi="Arial"/>
          <w:b/>
          <w:sz w:val="22"/>
        </w:rPr>
        <w:t xml:space="preserve">6.4.c Asylum Court: </w:t>
      </w:r>
      <w:r>
        <w:rPr>
          <w:rFonts w:ascii="Arial" w:hAnsi="Arial"/>
          <w:sz w:val="22"/>
        </w:rPr>
        <w:t>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Rule Violation for the presiding officers of both chambers; federal courts have direct jurisdiction over asylum claims until the Legislature acts.</w:t>
      </w:r>
    </w:p>
    <w:p>
      <w:r>
        <w:rPr>
          <w:rFonts w:ascii="Arial" w:hAnsi="Arial"/>
          <w:b/>
          <w:sz w:val="22"/>
        </w:rPr>
        <w:t xml:space="preserve">6.4.d Non-Penalization for Irregular Entry: </w:t>
      </w:r>
      <w:r>
        <w:rPr>
          <w:rFonts w:ascii="Arial" w:hAnsi="Arial"/>
          <w:sz w:val="22"/>
        </w:rPr>
        <w:t>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r>
        <w:rPr>
          <w:rFonts w:ascii="Arial" w:hAnsi="Arial"/>
          <w:b/>
          <w:sz w:val="22"/>
        </w:rPr>
        <w:t xml:space="preserve">6.4.e Unexecutable Removal Orders: </w:t>
      </w:r>
      <w:r>
        <w:rPr>
          <w:rFonts w:ascii="Arial" w:hAnsi="Arial"/>
          <w:sz w:val="22"/>
        </w:rPr>
        <w:t>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Rule Violation for the presiding officers of both chambers.</w:t>
      </w:r>
    </w:p>
    <w:p>
      <w:r>
        <w:rPr>
          <w:rFonts w:ascii="Arial" w:hAnsi="Arial"/>
          <w:b/>
          <w:sz w:val="22"/>
        </w:rPr>
        <w:t xml:space="preserve">6.4.f Security and Criminal Protection Cases: </w:t>
      </w:r>
      <w:r>
        <w:rPr>
          <w:rFonts w:ascii="Arial" w:hAnsi="Arial"/>
          <w:sz w:val="22"/>
        </w:rPr>
        <w:t>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r>
        <w:rPr>
          <w:rFonts w:ascii="Arial" w:hAnsi="Arial"/>
          <w:b/>
          <w:sz w:val="22"/>
        </w:rPr>
        <w:t xml:space="preserve">6.4.g Territory Accessibility: </w:t>
      </w:r>
      <w:r>
        <w:rPr>
          <w:rFonts w:ascii="Arial" w:hAnsi="Arial"/>
          <w:sz w:val="22"/>
        </w:rPr>
        <w:t>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r>
        <w:t>6.4.h Unaccompanied Minors: 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Style w:val="Heading1"/>
        <w:spacing w:after="120" w:before="360"/>
      </w:pPr>
      <w:r>
        <w:rPr>
          <w:rFonts w:ascii="Arial" w:cs="Arial" w:eastAsia="Arial" w:hAnsi="Arial"/>
          <w:b/>
          <w:bCs/>
          <w:color w:val="1B2A4A"/>
          <w:sz w:val="32"/>
          <w:szCs w:val="32"/>
        </w:rPr>
        <w:t>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Section 7.1 — Standard Elections (Ranked Choice)</w:t>
      </w:r>
    </w:p>
    <w:p>
      <w:pPr>
        <w:spacing w:after="60" w:before="60"/>
      </w:pPr>
      <w:r>
        <w:rPr>
          <w:rFonts w:ascii="Arial" w:cs="Arial" w:eastAsia="Arial" w:hAnsi="Arial"/>
          <w:color w:val="000000"/>
          <w:sz w:val="22"/>
          <w:szCs w:val="22"/>
        </w:rPr>
        <w:t>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Section 7.2 — Presidential Election: National Vote and Regional Diversity</w:t>
      </w:r>
    </w:p>
    <w:p>
      <w:pPr>
        <w:spacing w:after="60" w:before="60"/>
      </w:pPr>
      <w:r>
        <w:rPr>
          <w:rFonts w:ascii="Arial" w:cs="Arial" w:eastAsia="Arial" w:hAnsi="Arial"/>
          <w:color w:val="000000"/>
          <w:sz w:val="22"/>
          <w:szCs w:val="22"/>
        </w:rPr>
        <w:t>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ind w:left="720" w:hanging="360"/>
      </w:pPr>
      <w:r>
        <w:t>7.2.e Election Certification: 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ind w:left="720" w:hanging="360"/>
      </w:pPr>
      <w:r>
        <w:t>7.2.f Run-off: 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§2.7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VIII — THE INSPECTORATES</w:t>
      </w:r>
    </w:p>
    <w:p>
      <w:pPr>
        <w:spacing w:after="60" w:before="60"/>
      </w:pPr>
      <w:r>
        <w:rPr>
          <w:rFonts w:ascii="Arial" w:cs="Arial" w:eastAsia="Arial" w:hAnsi="Arial"/>
          <w:color w:val="000000"/>
          <w:sz w:val="22"/>
          <w:szCs w:val="22"/>
        </w:rPr>
        <w:t>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Section 8.2 — Selection and Independence</w:t>
      </w:r>
    </w:p>
    <w:p>
      <w:pPr>
        <w:spacing w:after="60" w:before="60"/>
      </w:pPr>
      <w:r>
        <w:rPr>
          <w:rFonts w:ascii="Arial" w:cs="Arial" w:eastAsia="Arial" w:hAnsi="Arial"/>
          <w:color w:val="000000"/>
          <w:sz w:val="22"/>
          <w:szCs w:val="22"/>
        </w:rPr>
        <w:t>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Section 8.4 — The Judicial IG: Lottery Selection</w:t>
      </w:r>
    </w:p>
    <w:p>
      <w:pPr>
        <w:spacing w:after="60" w:before="60"/>
      </w:pPr>
      <w:r>
        <w:rPr>
          <w:rFonts w:ascii="Arial" w:cs="Arial" w:eastAsia="Arial" w:hAnsi="Arial"/>
          <w:color w:val="000000"/>
          <w:sz w:val="22"/>
          <w:szCs w:val="22"/>
        </w:rPr>
        <w:t>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Maintained by the outgoing Judicial IG. A candidate seeking Registry inclusion must submit a registration record to the Judicial Inspectorate. The record must include professional background, credentials in constitutional law, financial disclosures, and the candidate's complete prior government position history. The JI reviews the submitted record for factual accuracy, applies the Registry criteria — knowledge of constitutional law, no government position in the prior 10 years, no financial conflicts of interest, no prior disqualifying conduct — and publishes the record together with its recommendation to the National Record System. These criteria are fixed and may only be altered by constitutional amendment. The existing appeals process under §8.9.d applies to any Registry exclusion determination. Any citizen who identifies a discrepancy in a published registration record may petition their elected representative.</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spacing w:after="0" w:before="120"/>
      </w:pPr>
      <w:r>
        <w:t xml:space="preserve"/>
      </w:r>
    </w:p>
    <w:p>
      <w:pPr>
        <w:pStyle w:val="Heading2"/>
        <w:spacing w:after="80" w:before="200"/>
      </w:pPr>
      <w:r>
        <w:rPr>
          <w:rFonts w:ascii="Arial" w:cs="Arial" w:eastAsia="Arial" w:hAnsi="Arial"/>
          <w:b/>
          <w:bCs/>
          <w:color w:val="4A6FA5"/>
          <w:sz w:val="24"/>
          <w:szCs w:val="24"/>
        </w:rPr>
        <w:t>Section 8.5 — IG Removal: Two-Track System</w:t>
      </w:r>
    </w:p>
    <w:p>
      <w:pPr>
        <w:spacing w:after="60" w:before="60"/>
      </w:pPr>
      <w:r>
        <w:rPr>
          <w:rFonts w:ascii="Arial" w:cs="Arial" w:eastAsia="Arial" w:hAnsi="Arial"/>
          <w:color w:val="000000"/>
          <w:sz w:val="22"/>
          <w:szCs w:val="22"/>
        </w:rPr>
        <w:t>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Rule Violation under §2.7 for those members. Motive is not justiciable where the constitutional process is complete. This protection does not extend to false statements in the stated grounds, fabrication of evidence presented to the Panel, or coercion of other members' votes.</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Section 8.6 — The Information-Only Mandate</w:t>
      </w:r>
    </w:p>
    <w:p>
      <w:pPr>
        <w:spacing w:after="60" w:before="60"/>
      </w:pPr>
      <w:r>
        <w:rPr>
          <w:rFonts w:ascii="Arial" w:cs="Arial" w:eastAsia="Arial" w:hAnsi="Arial"/>
          <w:color w:val="000000"/>
          <w:sz w:val="22"/>
          <w:szCs w:val="22"/>
        </w:rPr>
        <w:t>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An Inspectorate Report is a documented statement of observed fact. What the Legislature, the courts, or the People do with that information is their constitutional prerogative. Where a Report's findings may be relevant to potential Rule Violation proceedings, the Report states that the Legislature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ind w:left="720" w:hanging="360"/>
      </w:pPr>
      <w:r>
        <w:rPr>
          <w:b/>
        </w:rPr>
        <w:t xml:space="preserve">8.6.g Citizen Discrepancy Petition: </w:t>
      </w:r>
      <w:r>
        <w:t>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spacing w:after="0" w:before="120"/>
      </w:pPr>
      <w:r>
        <w:t xml:space="preserve"/>
      </w:r>
    </w:p>
    <w:p>
      <w:pPr>
        <w:pStyle w:val="Heading2"/>
        <w:spacing w:after="80" w:before="200"/>
      </w:pPr>
      <w:r>
        <w:rPr>
          <w:rFonts w:ascii="Arial" w:cs="Arial" w:eastAsia="Arial" w:hAnsi="Arial"/>
          <w:b/>
          <w:bCs/>
          <w:color w:val="4A6FA5"/>
          <w:sz w:val="24"/>
          <w:szCs w:val="24"/>
        </w:rPr>
        <w:t>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Section 8.8 — The Annual State of the Republic Report</w:t>
      </w:r>
    </w:p>
    <w:p>
      <w:pPr>
        <w:spacing w:after="60" w:before="60"/>
      </w:pPr>
      <w:r>
        <w:rPr>
          <w:rFonts w:ascii="Arial" w:cs="Arial" w:eastAsia="Arial" w:hAnsi="Arial"/>
          <w:color w:val="000000"/>
          <w:sz w:val="22"/>
          <w:szCs w:val="22"/>
        </w:rPr>
        <w:t>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Section 8.9 — The State Designee Panel</w:t>
      </w:r>
    </w:p>
    <w:p>
      <w:pPr>
        <w:spacing w:after="60" w:before="60"/>
      </w:pPr>
      <w:r>
        <w:rPr>
          <w:rFonts w:ascii="Arial" w:cs="Arial" w:eastAsia="Arial" w:hAnsi="Arial"/>
          <w:color w:val="000000"/>
          <w:sz w:val="22"/>
          <w:szCs w:val="22"/>
        </w:rPr>
        <w:t>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ind w:left="720" w:hanging="360"/>
      </w:pPr>
      <w:r>
        <w:rPr>
          <w:rFonts w:ascii="Arial" w:cs="Arial" w:eastAsia="Arial" w:hAnsi="Arial"/>
          <w:b/>
          <w:bCs/>
          <w:color w:val="4A6FA5"/>
          <w:sz w:val="22"/>
          <w:szCs w:val="22"/>
        </w:rPr>
        <w:t xml:space="preserve">8.9.a Single Mandate: </w:t>
      </w:r>
      <w:r>
        <w:rPr>
          <w:rFonts w:ascii="Arial" w:cs="Arial" w:eastAsia="Arial" w:hAnsi="Arial"/>
          <w:color w:val="000000"/>
          <w:sz w:val="22"/>
          <w:szCs w:val="22"/>
        </w:rPr>
        <w:t>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other IOC functions — pattern findings, mandatory IG response requirements, and annual oversight reporting — are absorbed by Legislature standing committees and existing IG annual reports.</w:t>
      </w:r>
    </w:p>
    <w:p>
      <w:pPr>
        <w:spacing w:after="60" w:before="60"/>
        <w:ind w:left="720" w:hanging="360"/>
      </w:pPr>
      <w:r>
        <w:rPr>
          <w:rFonts w:ascii="Arial" w:cs="Arial" w:eastAsia="Arial" w:hAnsi="Arial"/>
          <w:b/>
          <w:bCs/>
          <w:color w:val="4A6FA5"/>
          <w:sz w:val="22"/>
          <w:szCs w:val="22"/>
        </w:rPr>
        <w:t xml:space="preserve">8.9.b Appeals: </w:t>
      </w:r>
      <w:r>
        <w:rPr>
          <w:rFonts w:ascii="Arial" w:cs="Arial" w:eastAsia="Arial" w:hAnsi="Arial"/>
          <w:color w:val="000000"/>
          <w:sz w:val="22"/>
          <w:szCs w:val="22"/>
        </w:rPr>
        <w:t>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Section 8.10 — Inspectorate Minimum Funding Guarantee</w:t>
      </w:r>
    </w:p>
    <w:p>
      <w:pPr>
        <w:spacing w:after="60" w:before="60"/>
      </w:pPr>
      <w:r>
        <w:rPr>
          <w:rFonts w:ascii="Arial" w:cs="Arial" w:eastAsia="Arial" w:hAnsi="Arial"/>
          <w:color w:val="000000"/>
          <w:sz w:val="22"/>
          <w:szCs w:val="22"/>
        </w:rPr>
        <w:t>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spacing w:after="0" w:before="120"/>
      </w:pPr>
      <w:r>
        <w:t xml:space="preserve"/>
      </w:r>
    </w:p>
    <w:p>
      <w:pPr>
        <w:pStyle w:val="Heading2"/>
        <w:spacing w:after="80" w:before="200"/>
      </w:pPr>
      <w:r>
        <w:rPr>
          <w:rFonts w:ascii="Arial" w:cs="Arial" w:eastAsia="Arial" w:hAnsi="Arial"/>
          <w:b/>
          <w:bCs/>
          <w:color w:val="4A6FA5"/>
          <w:sz w:val="24"/>
          <w:szCs w:val="24"/>
        </w:rPr>
        <w:t>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Rule Violation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IX — THE NATIONAL RECORD SYSTEM</w:t>
      </w:r>
    </w:p>
    <w:p>
      <w:pPr>
        <w:spacing w:after="60" w:before="60"/>
      </w:pPr>
      <w:r>
        <w:rPr>
          <w:rFonts w:ascii="Arial" w:cs="Arial" w:eastAsia="Arial" w:hAnsi="Arial"/>
          <w:color w:val="000000"/>
          <w:sz w:val="22"/>
          <w:szCs w:val="22"/>
        </w:rPr>
        <w:t>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ind w:left="720" w:hanging="360"/>
      </w:pPr>
      <w:r>
        <w:rPr>
          <w:rFonts w:ascii="Arial" w:cs="Arial" w:eastAsia="Arial" w:hAnsi="Arial"/>
          <w:b/>
          <w:bCs/>
          <w:color w:val="4A6FA5"/>
          <w:sz w:val="22"/>
          <w:szCs w:val="22"/>
        </w:rPr>
        <w:t xml:space="preserve">9.1.g NRS Self-Authentication: </w:t>
      </w:r>
      <w:r>
        <w:rPr>
          <w:rFonts w:ascii="Arial" w:cs="Arial" w:eastAsia="Arial" w:hAnsi="Arial"/>
          <w:color w:val="000000"/>
          <w:sz w:val="22"/>
          <w:szCs w:val="22"/>
        </w:rPr>
        <w:t>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spacing w:after="0" w:before="120"/>
      </w:pPr>
      <w:r>
        <w:t xml:space="preserve"/>
      </w:r>
    </w:p>
    <w:p>
      <w:pPr>
        <w:pStyle w:val="Heading2"/>
        <w:spacing w:after="80" w:before="200"/>
      </w:pPr>
      <w:r>
        <w:rPr>
          <w:rFonts w:ascii="Arial" w:cs="Arial" w:eastAsia="Arial" w:hAnsi="Arial"/>
          <w:b/>
          <w:bCs/>
          <w:color w:val="4A6FA5"/>
          <w:sz w:val="24"/>
          <w:szCs w:val="24"/>
        </w:rPr>
        <w:t>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Style w:val="Heading2"/>
      </w:pPr>
      <w:r>
        <w:t>Section 9.3 — RSA Director</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The RSA Director is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spacing w:after="0" w:before="120"/>
      </w:pPr>
      <w:r>
        <w:t xml:space="preserve"/>
      </w:r>
    </w:p>
    <w:p>
      <w:pPr>
        <w:pStyle w:val="Heading2"/>
        <w:spacing w:after="80" w:before="200"/>
      </w:pPr>
      <w:r>
        <w:rPr>
          <w:rFonts w:ascii="Arial" w:cs="Arial" w:eastAsia="Arial" w:hAnsi="Arial"/>
          <w:b/>
          <w:bCs/>
          <w:color w:val="4A6FA5"/>
          <w:sz w:val="24"/>
          <w:szCs w:val="24"/>
        </w:rPr>
        <w:t>Section 9.4 — Emergency Mode</w:t>
      </w:r>
    </w:p>
    <w:p>
      <w:pPr>
        <w:spacing w:after="60" w:before="60"/>
      </w:pPr>
      <w:r>
        <w:rPr>
          <w:rFonts w:ascii="Arial" w:cs="Arial" w:eastAsia="Arial" w:hAnsi="Arial"/>
          <w:color w:val="000000"/>
          <w:sz w:val="22"/>
          <w:szCs w:val="22"/>
        </w:rPr>
        <w:t>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Section 9.5 — Classification Framework</w:t>
      </w:r>
    </w:p>
    <w:p>
      <w:pPr>
        <w:spacing w:after="60" w:before="60"/>
      </w:pPr>
      <w:r>
        <w:rPr>
          <w:rFonts w:ascii="Arial" w:cs="Arial" w:eastAsia="Arial" w:hAnsi="Arial"/>
          <w:color w:val="000000"/>
          <w:sz w:val="22"/>
          <w:szCs w:val="22"/>
        </w:rPr>
        <w:t>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9.5.a Classification Authority: </w:t>
      </w:r>
      <w:r>
        <w:rPr>
          <w:rFonts w:ascii="Arial" w:cs="Arial" w:eastAsia="Arial" w:hAnsi="Arial"/>
          <w:color w:val="000000"/>
          <w:sz w:val="22"/>
          <w:szCs w:val="22"/>
        </w:rPr>
        <w:t>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ind w:left="720" w:hanging="360"/>
      </w:pPr>
      <w:r>
        <w:rPr>
          <w:rFonts w:ascii="Arial" w:cs="Arial" w:eastAsia="Arial" w:hAnsi="Arial"/>
          <w:b/>
          <w:bCs/>
          <w:color w:val="4A6FA5"/>
          <w:sz w:val="22"/>
          <w:szCs w:val="22"/>
        </w:rPr>
        <w:t xml:space="preserve">9.5.b Classification Duration: </w:t>
      </w:r>
      <w:r>
        <w:rPr>
          <w:rFonts w:ascii="Arial" w:cs="Arial" w:eastAsia="Arial" w:hAnsi="Arial"/>
          <w:color w:val="000000"/>
          <w:sz w:val="22"/>
          <w:szCs w:val="22"/>
        </w:rPr>
        <w:t>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9.5.c Classification Registry: </w:t>
      </w:r>
      <w:r>
        <w:rPr>
          <w:rFonts w:ascii="Arial" w:cs="Arial" w:eastAsia="Arial" w:hAnsi="Arial"/>
          <w:color w:val="000000"/>
          <w:sz w:val="22"/>
          <w:szCs w:val="22"/>
        </w:rPr>
        <w:t>The existence of every classified document must be registered on the National Record System promptly upon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the Legislature defines registration timelines and format by statute.</w:t>
      </w:r>
    </w:p>
    <w:p>
      <w:pPr>
        <w:spacing w:after="60" w:before="60"/>
        <w:ind w:left="720" w:hanging="360"/>
      </w:pPr>
      <w:r>
        <w:rPr>
          <w:rFonts w:ascii="Arial" w:cs="Arial" w:eastAsia="Arial" w:hAnsi="Arial"/>
          <w:b/>
          <w:bCs/>
          <w:color w:val="4A6FA5"/>
          <w:sz w:val="22"/>
          <w:szCs w:val="22"/>
        </w:rPr>
        <w:t xml:space="preserve">9.5.d Automatic Declassification: </w:t>
      </w:r>
      <w:r>
        <w:rPr>
          <w:rFonts w:ascii="Arial" w:cs="Arial" w:eastAsia="Arial" w:hAnsi="Arial"/>
          <w:color w:val="000000"/>
          <w:sz w:val="22"/>
          <w:szCs w:val="22"/>
        </w:rPr>
        <w:t>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9.5.e Improper Classification: </w:t>
      </w:r>
      <w:r>
        <w:rPr>
          <w:rFonts w:ascii="Arial" w:cs="Arial" w:eastAsia="Arial" w:hAnsi="Arial"/>
          <w:color w:val="000000"/>
          <w:sz w:val="22"/>
          <w:szCs w:val="22"/>
        </w:rPr>
        <w:t>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Section 10.1 — Basic Needs Support (The Basic Needs Floor)</w:t>
      </w:r>
    </w:p>
    <w:p>
      <w:pPr>
        <w:spacing w:after="60" w:before="60"/>
      </w:pPr>
      <w:r>
        <w:rPr>
          <w:rFonts w:ascii="Arial" w:cs="Arial" w:eastAsia="Arial" w:hAnsi="Arial"/>
          <w:color w:val="000000"/>
          <w:sz w:val="22"/>
          <w:szCs w:val="22"/>
        </w:rPr>
        <w:t>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pPr>
      <w:r>
        <w:rPr>
          <w:rFonts w:ascii="Arial" w:cs="Arial" w:eastAsia="Arial" w:hAnsi="Arial"/>
          <w:color w:val="000000"/>
          <w:sz w:val="22"/>
          <w:szCs w:val="22"/>
        </w:rPr>
        <w:t>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dissolution or emergency, with a maximum toll of 90 days. If the Legislature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Legislative Review: </w:t>
      </w:r>
      <w:r>
        <w:rPr>
          <w:rFonts w:ascii="Arial" w:cs="Arial" w:eastAsia="Arial" w:hAnsi="Arial"/>
          <w:color w:val="000000"/>
          <w:sz w:val="22"/>
          <w:szCs w:val="22"/>
        </w:rPr>
        <w:t>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ind w:left="720" w:hanging="360"/>
      </w:pPr>
      <w:r>
        <w:rPr>
          <w:rFonts w:ascii="Arial" w:cs="Arial" w:eastAsia="Arial" w:hAnsi="Arial"/>
          <w:b/>
          <w:bCs/>
          <w:color w:val="4A6FA5"/>
          <w:sz w:val="22"/>
          <w:szCs w:val="22"/>
        </w:rPr>
        <w:t xml:space="preserve">10.1.g Federal Supplementation Obligation: </w:t>
      </w:r>
      <w:r>
        <w:rPr>
          <w:rFonts w:ascii="Arial" w:cs="Arial" w:eastAsia="Arial" w:hAnsi="Arial"/>
          <w:color w:val="000000"/>
          <w:sz w:val="22"/>
          <w:szCs w:val="22"/>
        </w:rPr>
        <w:t>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spacing w:after="0" w:before="120"/>
      </w:pPr>
      <w:r>
        <w:t xml:space="preserve"/>
      </w:r>
    </w:p>
    <w:p>
      <w:pPr>
        <w:pStyle w:val="Heading2"/>
        <w:spacing w:after="80" w:before="200"/>
      </w:pPr>
      <w:r>
        <w:rPr>
          <w:rFonts w:ascii="Arial" w:cs="Arial" w:eastAsia="Arial" w:hAnsi="Arial"/>
          <w:b/>
          <w:bCs/>
          <w:color w:val="4A6FA5"/>
          <w:sz w:val="24"/>
          <w:szCs w:val="24"/>
        </w:rPr>
        <w:t>Section 10.2 — Taxation Authority</w:t>
      </w:r>
    </w:p>
    <w:p>
      <w:pPr>
        <w:spacing w:after="60" w:before="60"/>
      </w:pPr>
      <w:r>
        <w:rPr>
          <w:rFonts w:ascii="Arial" w:cs="Arial" w:eastAsia="Arial" w:hAnsi="Arial"/>
          <w:color w:val="000000"/>
          <w:sz w:val="22"/>
          <w:szCs w:val="22"/>
        </w:rPr>
        <w:t>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pPr>
      <w:r>
        <w:rPr>
          <w:rFonts w:ascii="Arial" w:cs="Arial" w:eastAsia="Arial" w:hAnsi="Arial"/>
          <w:color w:val="000000"/>
          <w:sz w:val="22"/>
          <w:szCs w:val="22"/>
        </w:rPr>
        <w:t>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Section 10.4 — The Monetary Authority</w:t>
      </w:r>
    </w:p>
    <w:p>
      <w:pPr>
        <w:spacing w:after="60" w:before="60"/>
        <w:ind w:left="720" w:hanging="360"/>
      </w:pPr>
      <w:r>
        <w:rPr>
          <w:b/>
        </w:rPr>
        <w:t xml:space="preserve">10.4.a Director Election and Board Composition: </w:t>
      </w:r>
      <w:r>
        <w:t>The Monetary Authority is governed by a Director and a board of five members. The Director is elected by national Ranked Choice Voting on National Election Day to a single non-renewable 7-year term, staggered from the board member appointment cycle. MA Director Ballot Access — Narrow Disqualifiers: 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constitutional Rule Violation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 MA Director Candidate Register and Disclosure: 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Rule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 MA Director Advisory Assessment: 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 MA Board Member Eligibility: 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constitutional Rule Violation conviction during any prior period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 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PM may remove an acting board member within 90 days of assumption; after 90 days removal requires a simple Senate majority; after 180 days removal requires the full 2/3 both chambers plus EI dereliction finding standard. Confirmation by the Senate at any time converts acting status to permanent appointment and the full term begins from the date of confirmation. Removal of a confirmed board member requires a 2/3 vote of both chambers simultaneously and a documented finding of dereliction by the Executive Inspectorate. 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 Upon any mid-term vacancy in a board member role, the PM nominates a replacement within 60 days and the acting officer escalation framework applies.</w:t>
      </w:r>
    </w:p>
    <w:p>
      <w:pPr>
        <w:spacing w:after="60" w:before="60"/>
        <w:ind w:left="720" w:hanging="360"/>
      </w:pPr>
      <w:r>
        <w:rPr>
          <w:b/>
        </w:rPr>
        <w:t xml:space="preserve">10.4.b Independence: </w:t>
      </w:r>
      <w:r>
        <w:t>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commits a Rule Violation.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t>10.5.b Financial Disclosure: 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a Rule Violation. the Legislature defines by statute the specific content requirements, the de minimis thresholds, and the verification process, consistent with this section.</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Officials are subject to a post-service lobbying ban of not less than five years, as the Legislature may extend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Style w:val="Heading2"/>
        <w:spacing w:after="80" w:before="200"/>
      </w:pPr>
      <w:r>
        <w:rPr>
          <w:rFonts w:ascii="Arial" w:cs="Arial" w:eastAsia="Arial" w:hAnsi="Arial"/>
          <w:b/>
          <w:bCs/>
          <w:color w:val="4A6FA5"/>
          <w:sz w:val="24"/>
          <w:szCs w:val="24"/>
        </w:rPr>
        <w:t>Section 10.7 — Compensation of Public Officials</w:t>
      </w:r>
    </w:p>
    <w:p>
      <w:pPr>
        <w:spacing w:after="60" w:before="60"/>
      </w:pPr>
      <w:r>
        <w:rPr>
          <w:rFonts w:ascii="Arial" w:cs="Arial" w:eastAsia="Arial" w:hAnsi="Arial"/>
          <w:color w:val="000000"/>
          <w:sz w:val="22"/>
          <w:szCs w:val="22"/>
        </w:rPr>
        <w:t>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11.2 — Subsidiarity and Local Government</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A referendum requires 50% participation to be valid. A simple majority affirmative vote overturns the law. A referendum result is final — the Legislature may not overturn it. The same law may not face a referendum within two years of a previous result on that law.</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Section 12.1 — Authorized Purposes for Military Force</w:t>
      </w:r>
    </w:p>
    <w:p>
      <w:pPr>
        <w:spacing w:after="60" w:before="60"/>
      </w:pPr>
      <w:r>
        <w:rPr>
          <w:rFonts w:ascii="Arial" w:cs="Arial" w:eastAsia="Arial" w:hAnsi="Arial"/>
          <w:color w:val="000000"/>
          <w:sz w:val="22"/>
          <w:szCs w:val="22"/>
        </w:rPr>
        <w:t>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Section 12.2 — Military Authorization Tiers</w:t>
      </w:r>
    </w:p>
    <w:p>
      <w:pPr>
        <w:spacing w:after="60" w:before="60"/>
      </w:pPr>
      <w:r>
        <w:rPr>
          <w:rFonts w:ascii="Arial" w:cs="Arial" w:eastAsia="Arial" w:hAnsi="Arial"/>
          <w:color w:val="000000"/>
          <w:sz w:val="22"/>
          <w:szCs w:val="22"/>
        </w:rPr>
        <w:t>All military operations are authorized under one of three tiers as defined in §2.1.a through §2.1.c. This section governs the Legislative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Legislative Declaration of Defense: </w:t>
      </w:r>
      <w:r>
        <w:rPr>
          <w:rFonts w:ascii="Arial" w:cs="Arial" w:eastAsia="Arial" w:hAnsi="Arial"/>
          <w:color w:val="000000"/>
          <w:sz w:val="22"/>
          <w:szCs w:val="22"/>
        </w:rPr>
        <w:t>A Legislative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A Legislative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A new Legislative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Legislature standing oversight committees; the Legislature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Legislative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Where the presidential succession line under §2.6.a is fully exhausted and no living constitutional officer has presidential authority, the Chairman of the Joint Chiefs of Staff is constitutionally authorized to continue military operations already underway at the precise moment the succession vacuum begins, and to issue orders strictly necessary to protect Republic forces from active, immediate attack — meaning return fire and immediate defensive maneuvering only. The Chairman may not initiate, reposition, or escalate beyond ongoing operations. All orders issued under this provision are published to the National Record System within one hour of issuance and are subject to immediate Supreme Court review on petition. This authority terminates after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legislative review upon reconstitution of civilian authority. This authority terminates immediately and automatically upon any constitutional successor assuming presidential authority under §2.6.a or by expedited §2.8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Section 12.3 — Intelligence Firewall</w:t>
      </w:r>
    </w:p>
    <w:p>
      <w:pPr>
        <w:spacing w:after="60" w:before="60"/>
      </w:pPr>
      <w:r>
        <w:rPr>
          <w:rFonts w:ascii="Arial" w:cs="Arial" w:eastAsia="Arial" w:hAnsi="Arial"/>
          <w:color w:val="000000"/>
          <w:sz w:val="22"/>
          <w:szCs w:val="22"/>
        </w:rPr>
        <w:t>All domestic intelligence operations against Republic citizens are permanently prohibited. Any such order may trigger Rule Violation proceedings against the President and Director of Intelligence under §2.7, triggering immediate suspension and a Senate trial within a period the Legislature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Section 12.4 — Post-Conflict Obligations</w:t>
      </w:r>
    </w:p>
    <w:p>
      <w:pPr>
        <w:spacing w:after="60" w:before="60"/>
      </w:pPr>
      <w:r>
        <w:rPr>
          <w:rFonts w:ascii="Arial" w:cs="Arial" w:eastAsia="Arial" w:hAnsi="Arial"/>
          <w:color w:val="000000"/>
          <w:sz w:val="22"/>
          <w:szCs w:val="22"/>
        </w:rPr>
        <w:t>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spacing w:after="0" w:before="120"/>
      </w:pPr>
      <w:r>
        <w:t xml:space="preserve"/>
      </w:r>
    </w:p>
    <w:p>
      <w:pPr>
        <w:pStyle w:val="Heading2"/>
        <w:spacing w:after="80" w:before="200"/>
      </w:pPr>
      <w:r>
        <w:rPr>
          <w:rFonts w:ascii="Arial" w:cs="Arial" w:eastAsia="Arial" w:hAnsi="Arial"/>
          <w:b/>
          <w:bCs/>
          <w:color w:val="4A6FA5"/>
          <w:sz w:val="24"/>
          <w:szCs w:val="24"/>
        </w:rPr>
        <w:t>Section 12.5 — Treaty-Triggered Military Obligations</w:t>
      </w:r>
    </w:p>
    <w:p>
      <w:pPr>
        <w:spacing w:after="60" w:before="60"/>
      </w:pPr>
      <w:r>
        <w:rPr>
          <w:rFonts w:ascii="Arial" w:cs="Arial" w:eastAsia="Arial" w:hAnsi="Arial"/>
          <w:color w:val="000000"/>
          <w:sz w:val="22"/>
          <w:szCs w:val="22"/>
        </w:rPr>
        <w:t>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the Legislature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the Legislature votes on ratification so the Legislature acts with full public information.</w:t>
      </w:r>
    </w:p>
    <w:p>
      <w:pPr>
        <w:spacing w:after="60" w:before="60"/>
        <w:ind w:left="720" w:hanging="360"/>
      </w:pPr>
      <w:r>
        <w:rPr>
          <w:rFonts w:ascii="Arial" w:cs="Arial" w:eastAsia="Arial" w:hAnsi="Arial"/>
          <w:b/>
          <w:bCs/>
          <w:color w:val="4A6FA5"/>
          <w:sz w:val="22"/>
          <w:szCs w:val="22"/>
        </w:rPr>
        <w:t xml:space="preserve">12.5.b Legislative Ratification: </w:t>
      </w:r>
      <w:r>
        <w:rPr>
          <w:rFonts w:ascii="Arial" w:cs="Arial" w:eastAsia="Arial" w:hAnsi="Arial"/>
          <w:color w:val="000000"/>
          <w:sz w:val="22"/>
          <w:szCs w:val="22"/>
        </w:rPr>
        <w:t>the Legislature must ratify the Treaty Emergency Certification by a simple majority of both chambers within a period the Legislature defines by statute, or the Certification expires. the Legislature may not schedule a ratification vote until the LI/EI joint review under §12.5.a has been published, or until the statutory waiting period has elapsed without publication. the Legislature may ratify before the review is published by an elevated majority the Legislature defines by statute, acknowledging it acts without the advisory review. Ratification of the Certification does not constitute a Legislative Declaration of Defense under §2.1.c; a separate Declaration is required if operations extend beyond 30 days. the Legislature must by statute establish the waiting period before ratification, the elevated majority for early ratification, and the content requirements for the ratification resolution.</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Section 13.1 — Territorial Compact</w:t>
      </w:r>
    </w:p>
    <w:p>
      <w:pPr>
        <w:spacing w:after="60" w:before="60"/>
      </w:pPr>
      <w:r>
        <w:rPr>
          <w:rFonts w:ascii="Arial" w:cs="Arial" w:eastAsia="Arial" w:hAnsi="Arial"/>
          <w:color w:val="000000"/>
          <w:sz w:val="22"/>
          <w:szCs w:val="22"/>
        </w:rPr>
        <w:t>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Section 13.2 — Requirements for Statehood</w:t>
      </w:r>
    </w:p>
    <w:p>
      <w:pPr>
        <w:spacing w:after="60" w:before="60"/>
      </w:pPr>
      <w:r>
        <w:rPr>
          <w:rFonts w:ascii="Arial" w:cs="Arial" w:eastAsia="Arial" w:hAnsi="Arial"/>
          <w:color w:val="000000"/>
          <w:sz w:val="22"/>
          <w:szCs w:val="22"/>
        </w:rPr>
        <w:t>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ind w:left="720" w:hanging="360"/>
      </w:pPr>
      <w:r>
        <w:rPr>
          <w:rFonts w:ascii="Arial" w:cs="Arial" w:eastAsia="Arial" w:hAnsi="Arial"/>
          <w:b/>
          <w:bCs/>
          <w:color w:val="4A6FA5"/>
          <w:sz w:val="22"/>
          <w:szCs w:val="22"/>
        </w:rPr>
        <w:t xml:space="preserve">13.2.b Legal Sync: </w:t>
      </w:r>
      <w:r>
        <w:rPr>
          <w:rFonts w:ascii="Arial" w:cs="Arial" w:eastAsia="Arial" w:hAnsi="Arial"/>
          <w:color w:val="000000"/>
          <w:sz w:val="22"/>
          <w:szCs w:val="22"/>
        </w:rPr>
        <w:t>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ind w:left="720" w:hanging="360"/>
      </w:pPr>
      <w:r>
        <w:rPr>
          <w:rFonts w:ascii="Arial" w:cs="Arial" w:eastAsia="Arial" w:hAnsi="Arial"/>
          <w:b/>
          <w:bCs/>
          <w:color w:val="4A6FA5"/>
          <w:sz w:val="22"/>
          <w:szCs w:val="22"/>
        </w:rPr>
        <w:t xml:space="preserve">13.2.c The Provisional Membership Period: </w:t>
      </w:r>
      <w:r>
        <w:rPr>
          <w:rFonts w:ascii="Arial" w:cs="Arial" w:eastAsia="Arial" w:hAnsi="Arial"/>
          <w:color w:val="000000"/>
          <w:sz w:val="22"/>
          <w:szCs w:val="22"/>
        </w:rPr>
        <w:t>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13.2.d Partial Territory Statehood: </w:t>
      </w:r>
      <w:r>
        <w:rPr>
          <w:rFonts w:ascii="Arial" w:cs="Arial" w:eastAsia="Arial" w:hAnsi="Arial"/>
          <w:color w:val="000000"/>
          <w:sz w:val="22"/>
          <w:szCs w:val="22"/>
        </w:rPr>
        <w:t>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ind w:left="720" w:hanging="360"/>
      </w:pPr>
      <w:r>
        <w:rPr>
          <w:rFonts w:ascii="Arial" w:cs="Arial" w:eastAsia="Arial" w:hAnsi="Arial"/>
          <w:b/>
          <w:bCs/>
          <w:color w:val="4A6FA5"/>
          <w:sz w:val="22"/>
          <w:szCs w:val="22"/>
        </w:rPr>
        <w:t xml:space="preserve">13.2.e Minimum Democratic Legitimacy: </w:t>
      </w:r>
      <w:r>
        <w:rPr>
          <w:rFonts w:ascii="Arial" w:cs="Arial" w:eastAsia="Arial" w:hAnsi="Arial"/>
          <w:color w:val="000000"/>
          <w:sz w:val="22"/>
          <w:szCs w:val="22"/>
        </w:rPr>
        <w:t>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ind w:left="720" w:hanging="360"/>
      </w:pPr>
      <w:r>
        <w:rPr>
          <w:rFonts w:ascii="Arial" w:cs="Arial" w:eastAsia="Arial" w:hAnsi="Arial"/>
          <w:b/>
          <w:bCs/>
          <w:color w:val="4A6FA5"/>
          <w:sz w:val="22"/>
          <w:szCs w:val="22"/>
        </w:rPr>
        <w:t xml:space="preserve">13.2.f Territorial Minimum Institutional Floor: </w:t>
      </w:r>
      <w:r>
        <w:rPr>
          <w:rFonts w:ascii="Arial" w:cs="Arial" w:eastAsia="Arial" w:hAnsi="Arial"/>
          <w:color w:val="000000"/>
          <w:sz w:val="22"/>
          <w:szCs w:val="22"/>
        </w:rPr>
        <w:t>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ind w:left="720" w:hanging="360"/>
      </w:pPr>
      <w:r>
        <w:rPr>
          <w:rFonts w:ascii="Arial" w:cs="Arial" w:eastAsia="Arial" w:hAnsi="Arial"/>
          <w:b/>
          <w:bCs/>
          <w:color w:val="4A6FA5"/>
          <w:sz w:val="22"/>
          <w:szCs w:val="22"/>
        </w:rPr>
        <w:t xml:space="preserve">13.2.g Conflict-Affected State Provisional Status: </w:t>
      </w:r>
      <w:r>
        <w:rPr>
          <w:rFonts w:ascii="Arial" w:cs="Arial" w:eastAsia="Arial" w:hAnsi="Arial"/>
          <w:color w:val="000000"/>
          <w:sz w:val="22"/>
          <w:szCs w:val="22"/>
        </w:rPr>
        <w:t>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 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 Provisional status certification requires a joint assessment by all three Inspectorates; no single Inspectorate's finding is sufficient to grant or deny provisional status. 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 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spacing w:after="0" w:before="120"/>
      </w:pPr>
      <w:r>
        <w:t xml:space="preserve"/>
      </w:r>
    </w:p>
    <w:p>
      <w:pPr>
        <w:pStyle w:val="Heading2"/>
        <w:spacing w:after="80" w:before="200"/>
      </w:pPr>
      <w:r>
        <w:rPr>
          <w:rFonts w:ascii="Arial" w:cs="Arial" w:eastAsia="Arial" w:hAnsi="Arial"/>
          <w:b/>
          <w:bCs/>
          <w:color w:val="4A6FA5"/>
          <w:sz w:val="24"/>
          <w:szCs w:val="24"/>
        </w:rPr>
        <w:t>Section 13.3 — Mandatory State Devolution</w:t>
      </w:r>
    </w:p>
    <w:p>
      <w:pPr>
        <w:spacing w:after="60" w:before="60"/>
      </w:pPr>
      <w:r>
        <w:rPr>
          <w:rFonts w:ascii="Arial" w:cs="Arial" w:eastAsia="Arial" w:hAnsi="Arial"/>
          <w:color w:val="000000"/>
          <w:sz w:val="22"/>
          <w:szCs w:val="22"/>
        </w:rPr>
        <w:t>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Early Warning — Years 1 and 2: </w:t>
      </w:r>
      <w:r>
        <w:rPr>
          <w:rFonts w:ascii="Arial" w:cs="Arial" w:eastAsia="Arial" w:hAnsi="Arial"/>
          <w:color w:val="000000"/>
          <w:sz w:val="22"/>
          <w:szCs w:val="22"/>
        </w:rPr>
        <w:t>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13.3.c Devolution Vote — Year 3: </w:t>
      </w:r>
      <w:r>
        <w:rPr>
          <w:rFonts w:ascii="Arial" w:cs="Arial" w:eastAsia="Arial" w:hAnsi="Arial"/>
          <w:color w:val="000000"/>
          <w:sz w:val="22"/>
          <w:szCs w:val="22"/>
        </w:rPr>
        <w:t>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13.3.d Effect of Mandatory Devolution: </w:t>
      </w:r>
      <w:r>
        <w:rPr>
          <w:rFonts w:ascii="Arial" w:cs="Arial" w:eastAsia="Arial" w:hAnsi="Arial"/>
          <w:color w:val="000000"/>
          <w:sz w:val="22"/>
          <w:szCs w:val="22"/>
        </w:rPr>
        <w:t>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13.3.e Constitutional Challenge to Devolution: </w:t>
      </w:r>
      <w:r>
        <w:rPr>
          <w:rFonts w:ascii="Arial" w:cs="Arial" w:eastAsia="Arial" w:hAnsi="Arial"/>
          <w:color w:val="000000"/>
          <w:sz w:val="22"/>
          <w:szCs w:val="22"/>
        </w:rPr>
        <w:t>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Section 13.4 — Voluntary Devolution</w:t>
      </w:r>
    </w:p>
    <w:p>
      <w:pPr>
        <w:spacing w:after="60" w:before="60"/>
      </w:pPr>
      <w:r>
        <w:rPr>
          <w:rFonts w:ascii="Arial" w:cs="Arial" w:eastAsia="Arial" w:hAnsi="Arial"/>
          <w:color w:val="000000"/>
          <w:sz w:val="22"/>
          <w:szCs w:val="22"/>
        </w:rPr>
        <w:t>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Style w:val="Heading2"/>
      </w:pPr>
      <w:r>
        <w:t>Section 13.5 — Associated Community Cross-Reference</w:t>
      </w:r>
    </w:p>
    <w:p>
      <w:pPr>
        <w:spacing w:after="60" w:before="60"/>
        <w:ind w:left="720" w:hanging="360"/>
      </w:pPr>
      <w:r>
        <w:rPr>
          <w:rFonts w:ascii="Arial" w:cs="Arial" w:eastAsia="Arial" w:hAnsi="Arial"/>
          <w:b/>
          <w:bCs/>
          <w:color w:val="4A6FA5"/>
          <w:sz w:val="22"/>
          <w:szCs w:val="22"/>
        </w:rPr>
        <w:t xml:space="preserve">13.5 Associated Community Relationships: </w:t>
      </w:r>
      <w:r>
        <w:rPr>
          <w:rFonts w:ascii="Arial" w:cs="Arial" w:eastAsia="Arial" w:hAnsi="Arial"/>
          <w:color w:val="000000"/>
          <w:sz w:val="22"/>
          <w:szCs w:val="22"/>
        </w:rPr>
        <w:t>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Style w:val="Heading2"/>
      </w:pPr>
      <w:r>
        <w:t>Section 13.6 — Voluntary Incorporation</w:t>
      </w:r>
    </w:p>
    <w:p>
      <w:r>
        <w:rPr>
          <w:rFonts w:ascii="Arial" w:hAnsi="Arial"/>
          <w:b/>
          <w:sz w:val="22"/>
        </w:rPr>
        <w:t xml:space="preserve">13.6 Voluntary Incorporation: </w:t>
      </w:r>
      <w:r>
        <w:rPr>
          <w:rFonts w:ascii="Arial" w:hAnsi="Arial"/>
          <w:sz w:val="22"/>
        </w:rPr>
        <w:t>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XIV — THE INDIGENOUS NATION COMPACT</w:t>
      </w:r>
    </w:p>
    <w:p>
      <w:pPr>
        <w:spacing w:after="60" w:before="60"/>
      </w:pPr>
      <w:r>
        <w:rPr>
          <w:rFonts w:ascii="Arial" w:cs="Arial" w:eastAsia="Arial" w:hAnsi="Arial"/>
          <w:color w:val="000000"/>
          <w:sz w:val="22"/>
          <w:szCs w:val="22"/>
        </w:rPr>
        <w:t>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Section 14.1 — Acknowledgment of Prior Sovereignty</w:t>
      </w:r>
    </w:p>
    <w:p>
      <w:pPr>
        <w:spacing w:after="60" w:before="60"/>
      </w:pPr>
      <w:r>
        <w:rPr>
          <w:rFonts w:ascii="Arial" w:cs="Arial" w:eastAsia="Arial" w:hAnsi="Arial"/>
          <w:color w:val="000000"/>
          <w:sz w:val="22"/>
          <w:szCs w:val="22"/>
        </w:rPr>
        <w:t>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Section 14.2 — Treaty Supremacy and Continuity</w:t>
      </w:r>
    </w:p>
    <w:p>
      <w:pPr>
        <w:spacing w:after="60" w:before="60"/>
      </w:pPr>
      <w:r>
        <w:rPr>
          <w:rFonts w:ascii="Arial" w:cs="Arial" w:eastAsia="Arial" w:hAnsi="Arial"/>
          <w:color w:val="000000"/>
          <w:sz w:val="22"/>
          <w:szCs w:val="22"/>
        </w:rPr>
        <w:t>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Section 14.3 — Government-to-Government Relationship</w:t>
      </w:r>
    </w:p>
    <w:p>
      <w:pPr>
        <w:spacing w:after="60" w:before="60"/>
      </w:pPr>
      <w:r>
        <w:rPr>
          <w:rFonts w:ascii="Arial" w:cs="Arial" w:eastAsia="Arial" w:hAnsi="Arial"/>
          <w:color w:val="000000"/>
          <w:sz w:val="22"/>
          <w:szCs w:val="22"/>
        </w:rPr>
        <w:t>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Section 14.4 — Indigenous Lands</w:t>
      </w:r>
    </w:p>
    <w:p>
      <w:pPr>
        <w:spacing w:after="60" w:before="60"/>
      </w:pPr>
      <w:r>
        <w:rPr>
          <w:rFonts w:ascii="Arial" w:cs="Arial" w:eastAsia="Arial" w:hAnsi="Arial"/>
          <w:color w:val="000000"/>
          <w:sz w:val="22"/>
          <w:szCs w:val="22"/>
        </w:rPr>
        <w:t>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ind w:left="720" w:hanging="360"/>
      </w:pPr>
      <w:r>
        <w:rPr>
          <w:rFonts w:ascii="Arial" w:cs="Arial" w:eastAsia="Arial" w:hAnsi="Arial"/>
          <w:b/>
          <w:bCs/>
          <w:color w:val="4A6FA5"/>
          <w:sz w:val="22"/>
          <w:szCs w:val="22"/>
        </w:rPr>
        <w:t xml:space="preserve">14.5.d Associated Community Pathway for Recognised Sovereign Nations: </w:t>
      </w:r>
      <w:r>
        <w:rPr>
          <w:rFonts w:ascii="Arial" w:cs="Arial" w:eastAsia="Arial" w:hAnsi="Arial"/>
          <w:color w:val="000000"/>
          <w:sz w:val="22"/>
          <w:szCs w:val="22"/>
        </w:rPr>
        <w:t>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r>
        <w:rPr>
          <w:b/>
        </w:rPr>
        <w:t xml:space="preserve">14.6 Indigenous Nation Status Elections: </w:t>
      </w:r>
      <w:r>
        <w:t>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br/>
        <w:t>Four status options are available:</w:t>
        <w:br/>
        <w:t>(a)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br/>
        <w:t>(b)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br/>
        <w:t>(c)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br/>
        <w:t>(d)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br/>
        <w:t>Process: 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Section 15.1 — Amendment Paths</w:t>
      </w:r>
    </w:p>
    <w:p>
      <w:pPr>
        <w:spacing w:after="60" w:before="60"/>
        <w:ind w:left="720" w:hanging="360"/>
      </w:pPr>
      <w:r>
        <w:rPr>
          <w:rFonts w:ascii="Arial" w:cs="Arial" w:eastAsia="Arial" w:hAnsi="Arial"/>
          <w:b/>
          <w:bCs/>
          <w:color w:val="4A6FA5"/>
          <w:sz w:val="22"/>
          <w:szCs w:val="22"/>
        </w:rPr>
        <w:t xml:space="preserve">15.1.a Legislative Path: </w:t>
      </w:r>
      <w:r>
        <w:rPr>
          <w:rFonts w:ascii="Arial" w:cs="Arial" w:eastAsia="Arial" w:hAnsi="Arial"/>
          <w:color w:val="000000"/>
          <w:sz w:val="22"/>
          <w:szCs w:val="22"/>
        </w:rPr>
        <w:t>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ind w:left="720" w:hanging="360"/>
      </w:pPr>
      <w:r>
        <w:t>15.1.b Legislative and Popular Path: 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ind w:left="720" w:hanging="360"/>
      </w:pPr>
      <w:r>
        <w:t>15.1.c Citizen-Led Path: 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spacing w:after="0" w:before="120"/>
      </w:pPr>
      <w:r>
        <w:t xml:space="preserve"/>
      </w:r>
    </w:p>
    <w:p>
      <w:pPr>
        <w:pStyle w:val="Heading2"/>
        <w:spacing w:after="80" w:before="200"/>
      </w:pPr>
      <w:r>
        <w:rPr>
          <w:rFonts w:ascii="Arial" w:cs="Arial" w:eastAsia="Arial" w:hAnsi="Arial"/>
          <w:b/>
          <w:bCs/>
          <w:color w:val="4A6FA5"/>
          <w:sz w:val="24"/>
          <w:szCs w:val="24"/>
        </w:rPr>
        <w:t>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Style w:val="Heading2"/>
        <w:spacing w:after="80" w:before="200"/>
      </w:pPr>
      <w:r>
        <w:rPr>
          <w:rFonts w:ascii="Arial" w:cs="Arial" w:eastAsia="Arial" w:hAnsi="Arial"/>
          <w:b/>
          <w:bCs/>
          <w:color w:val="4A6FA5"/>
          <w:sz w:val="24"/>
          <w:szCs w:val="24"/>
        </w:rPr>
        <w:t>Section 15.5 — Independence Transition Framework</w:t>
      </w:r>
    </w:p>
    <w:p>
      <w:pPr>
        <w:spacing w:after="60" w:before="60"/>
      </w:pPr>
      <w:r>
        <w:rPr>
          <w:rFonts w:ascii="Arial" w:cs="Arial" w:eastAsia="Arial" w:hAnsi="Arial"/>
          <w:color w:val="000000"/>
          <w:sz w:val="22"/>
          <w:szCs w:val="22"/>
        </w:rPr>
        <w:t>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ind w:left="720" w:hanging="360"/>
      </w:pPr>
      <w:r>
        <w:rPr>
          <w:rFonts w:ascii="Arial" w:cs="Arial" w:eastAsia="Arial" w:hAnsi="Arial"/>
          <w:b/>
          <w:bCs/>
          <w:color w:val="4A6FA5"/>
          <w:sz w:val="22"/>
          <w:szCs w:val="22"/>
        </w:rPr>
        <w:t xml:space="preserve">15.5.e Simultaneous Independence Sequencing: </w:t>
      </w:r>
      <w:r>
        <w:rPr>
          <w:rFonts w:ascii="Arial" w:cs="Arial" w:eastAsia="Arial" w:hAnsi="Arial"/>
          <w:color w:val="000000"/>
          <w:sz w:val="22"/>
          <w:szCs w:val="22"/>
        </w:rPr>
        <w:t>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spacing w:after="0" w:before="120"/>
      </w:pPr>
      <w:r>
        <w:t xml:space="preserve"/>
      </w:r>
    </w:p>
    <w:p>
      <w:pPr>
        <w:pStyle w:val="Heading2"/>
      </w:pPr>
      <w:r>
        <w:t>Section 15.6 — Constitutional Supremacy</w:t>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r>
        <w:rPr>
          <w:b/>
        </w:rPr>
        <w:t xml:space="preserve">15.6.b Federal-State Statutory Hierarchy: </w:t>
      </w:r>
      <w: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 — THE NATIONAL VOTING SYSTEM AND ELECTORAL COMMISSION</w:t>
      </w:r>
    </w:p>
    <w:p>
      <w:pPr>
        <w:spacing w:after="60" w:before="60"/>
      </w:pPr>
      <w:r>
        <w:rPr>
          <w:rFonts w:ascii="Arial" w:cs="Arial" w:eastAsia="Arial" w:hAnsi="Arial"/>
          <w:color w:val="000000"/>
          <w:sz w:val="22"/>
          <w:szCs w:val="22"/>
        </w:rPr>
        <w:t>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Section 16.1 — The Electoral Commission</w:t>
      </w:r>
    </w:p>
    <w:p>
      <w:pPr>
        <w:spacing w:after="60" w:before="60"/>
      </w:pPr>
      <w:r>
        <w:rPr>
          <w:rFonts w:ascii="Arial" w:cs="Arial" w:eastAsia="Arial" w:hAnsi="Arial"/>
          <w:color w:val="000000"/>
          <w:sz w:val="22"/>
          <w:szCs w:val="22"/>
        </w:rPr>
        <w:t>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session of the Legislature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 non-renewable 6-year term</w:t>
            </w:r>
          </w:p>
        </w:tc>
      </w:tr>
    </w:tbl>
    <w:p>
      <w:pPr>
        <w:spacing w:after="0" w:before="120"/>
      </w:pPr>
      <w:r>
        <w:t xml:space="preserve"/>
      </w:r>
    </w:p>
    <w:p>
      <w:pPr>
        <w:spacing w:after="60" w:before="60"/>
      </w:pPr>
      <w:r>
        <w:rPr>
          <w:rFonts w:ascii="Arial" w:cs="Arial" w:eastAsia="Arial" w:hAnsi="Arial"/>
          <w:color w:val="000000"/>
          <w:sz w:val="22"/>
          <w:szCs w:val="22"/>
        </w:rPr>
        <w:t>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Section 16.2 — Member Qualifications</w:t>
      </w:r>
    </w:p>
    <w:p>
      <w:pPr>
        <w:spacing w:after="60" w:before="60"/>
      </w:pPr>
      <w:r>
        <w:rPr>
          <w:rFonts w:ascii="Arial" w:cs="Arial" w:eastAsia="Arial" w:hAnsi="Arial"/>
          <w:color w:val="000000"/>
          <w:sz w:val="22"/>
          <w:szCs w:val="22"/>
        </w:rPr>
        <w:t>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Style w:val="Heading2"/>
        <w:spacing w:after="80" w:before="200"/>
      </w:pPr>
      <w:r>
        <w:rPr>
          <w:rFonts w:ascii="Arial" w:cs="Arial" w:eastAsia="Arial" w:hAnsi="Arial"/>
          <w:b/>
          <w:bCs/>
          <w:color w:val="4A6FA5"/>
          <w:sz w:val="24"/>
          <w:szCs w:val="24"/>
        </w:rPr>
        <w:t>Section 16.3 — Constitutional Properties of the National Voting System</w:t>
      </w:r>
    </w:p>
    <w:p>
      <w:pPr>
        <w:spacing w:after="60" w:before="60"/>
      </w:pPr>
      <w:r>
        <w:rPr>
          <w:rFonts w:ascii="Arial" w:cs="Arial" w:eastAsia="Arial" w:hAnsi="Arial"/>
          <w:color w:val="000000"/>
          <w:sz w:val="22"/>
          <w:szCs w:val="22"/>
        </w:rPr>
        <w:t>The National Voting System must satisfy these constitutional properties. the Legislature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the Legislature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Section 16.5 — Electoral Commission Oversight and Removal</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Electoral Commission members may only be removed by Track 1 For-Cause removal (§8.5), requiring a 2/3 vote of both chambers simultaneously, preceded by State Designee Panel verification under §8.9.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pPr>
      <w:r>
        <w:rPr>
          <w:b/>
        </w:rPr>
        <w:t xml:space="preserve">16.5.d Mid-Term Vacancy: </w:t>
      </w:r>
      <w:r>
        <w:t>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Dissolution — Joint Session Contingency: Where a House dissolution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spacing w:after="0" w:before="120"/>
      </w:pPr>
      <w:r>
        <w:t xml:space="preserve"/>
      </w:r>
    </w:p>
    <w:p>
      <w:pPr>
        <w:pStyle w:val="Heading2"/>
        <w:spacing w:after="80" w:before="200"/>
      </w:pPr>
      <w:r>
        <w:rPr>
          <w:rFonts w:ascii="Arial" w:cs="Arial" w:eastAsia="Arial" w:hAnsi="Arial"/>
          <w:b/>
          <w:bCs/>
          <w:color w:val="4A6FA5"/>
          <w:sz w:val="24"/>
          <w:szCs w:val="24"/>
        </w:rPr>
        <w:t>Section 16.6 — Electoral Commission Technical Deadlock</w:t>
      </w:r>
    </w:p>
    <w:p>
      <w:pPr>
        <w:spacing w:after="60" w:before="60"/>
      </w:pPr>
      <w:r>
        <w:rPr>
          <w:rFonts w:ascii="Arial" w:cs="Arial" w:eastAsia="Arial" w:hAnsi="Arial"/>
          <w:color w:val="000000"/>
          <w:sz w:val="22"/>
          <w:szCs w:val="22"/>
        </w:rPr>
        <w:t>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Section 16.7 — Day Zero Voting System Transition</w:t>
      </w:r>
    </w:p>
    <w:p>
      <w:pPr>
        <w:spacing w:after="60" w:before="60"/>
      </w:pPr>
      <w:r>
        <w:rPr>
          <w:rFonts w:ascii="Arial" w:cs="Arial" w:eastAsia="Arial" w:hAnsi="Arial"/>
          <w:color w:val="000000"/>
          <w:sz w:val="22"/>
          <w:szCs w:val="22"/>
        </w:rPr>
        <w:t>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XVII — FEDERAL PROPERTY AND THE SEAT OF GOVERNMENT</w:t>
      </w:r>
    </w:p>
    <w:p>
      <w:pPr>
        <w:spacing w:after="60" w:before="60"/>
      </w:pPr>
      <w:r>
        <w:rPr>
          <w:rFonts w:ascii="Arial" w:cs="Arial" w:eastAsia="Arial" w:hAnsi="Arial"/>
          <w:color w:val="000000"/>
          <w:sz w:val="22"/>
          <w:szCs w:val="22"/>
        </w:rPr>
        <w:t>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Section 17.1 — The Use Doctrine</w:t>
      </w:r>
    </w:p>
    <w:p>
      <w:pPr>
        <w:spacing w:after="60" w:before="60"/>
      </w:pPr>
      <w:r>
        <w:rPr>
          <w:rFonts w:ascii="Arial" w:cs="Arial" w:eastAsia="Arial" w:hAnsi="Arial"/>
          <w:color w:val="000000"/>
          <w:sz w:val="22"/>
          <w:szCs w:val="22"/>
        </w:rPr>
        <w:t>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Section 17.2 — The Federal Seat of Government</w:t>
      </w:r>
    </w:p>
    <w:p>
      <w:pPr>
        <w:spacing w:after="60" w:before="60"/>
      </w:pPr>
      <w:r>
        <w:rPr>
          <w:rFonts w:ascii="Arial" w:cs="Arial" w:eastAsia="Arial" w:hAnsi="Arial"/>
          <w:color w:val="000000"/>
          <w:sz w:val="22"/>
          <w:szCs w:val="22"/>
        </w:rPr>
        <w:t>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Section 17.3 — Operational Use Rights</w:t>
      </w:r>
    </w:p>
    <w:p>
      <w:pPr>
        <w:spacing w:after="60" w:before="60"/>
      </w:pPr>
      <w:r>
        <w:rPr>
          <w:rFonts w:ascii="Arial" w:cs="Arial" w:eastAsia="Arial" w:hAnsi="Arial"/>
          <w:color w:val="000000"/>
          <w:sz w:val="22"/>
          <w:szCs w:val="22"/>
        </w:rPr>
        <w:t>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Section 17.4 — The National Trust</w:t>
      </w:r>
    </w:p>
    <w:p>
      <w:pPr>
        <w:spacing w:after="60" w:before="60"/>
      </w:pPr>
      <w:r>
        <w:rPr>
          <w:rFonts w:ascii="Arial" w:cs="Arial" w:eastAsia="Arial" w:hAnsi="Arial"/>
          <w:color w:val="000000"/>
          <w:sz w:val="22"/>
          <w:szCs w:val="22"/>
        </w:rPr>
        <w:t>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National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Removing any land from National Trust status requires a national referendum under Article XI with a 65% affirmative threshold. No executive order or parliamentary act may reclassify National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National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ind w:left="720" w:hanging="360"/>
      </w:pPr>
      <w:r>
        <w:rPr>
          <w:rFonts w:ascii="Arial" w:cs="Arial" w:eastAsia="Arial" w:hAnsi="Arial"/>
          <w:b/>
          <w:bCs/>
          <w:color w:val="4A6FA5"/>
          <w:sz w:val="22"/>
          <w:szCs w:val="22"/>
        </w:rPr>
        <w:t xml:space="preserve">17.4.g National Trust Administrator: </w:t>
      </w:r>
      <w:r>
        <w:rPr>
          <w:rFonts w:ascii="Arial" w:cs="Arial" w:eastAsia="Arial" w:hAnsi="Arial"/>
          <w:color w:val="000000"/>
          <w:sz w:val="22"/>
          <w:szCs w:val="22"/>
        </w:rPr>
        <w:t>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17.5 — Federal Property in Territories</w:t>
      </w:r>
    </w:p>
    <w:p>
      <w:pPr>
        <w:spacing w:after="60" w:before="60"/>
      </w:pPr>
      <w:r>
        <w:rPr>
          <w:rFonts w:ascii="Arial" w:cs="Arial" w:eastAsia="Arial" w:hAnsi="Arial"/>
          <w:color w:val="000000"/>
          <w:sz w:val="22"/>
          <w:szCs w:val="22"/>
        </w:rPr>
        <w:t>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XVIII — ELECTORAL FINANCE AND CAMPAIGN INTEGRITY</w:t>
      </w:r>
    </w:p>
    <w:p>
      <w:pPr>
        <w:spacing w:after="60" w:before="60"/>
      </w:pPr>
      <w:r>
        <w:rPr>
          <w:rFonts w:ascii="Arial" w:cs="Arial" w:eastAsia="Arial" w:hAnsi="Arial"/>
          <w:color w:val="000000"/>
          <w:sz w:val="22"/>
          <w:szCs w:val="22"/>
        </w:rPr>
        <w:t>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Section 18.2 — Public Campaign Funding</w:t>
      </w:r>
    </w:p>
    <w:p>
      <w:pPr>
        <w:spacing w:after="60" w:before="60"/>
      </w:pPr>
      <w:r>
        <w:rPr>
          <w:rFonts w:ascii="Arial" w:cs="Arial" w:eastAsia="Arial" w:hAnsi="Arial"/>
          <w:color w:val="000000"/>
          <w:sz w:val="22"/>
          <w:szCs w:val="22"/>
        </w:rPr>
        <w:t>the Legislature must by statute establish a system of public campaign financing for all federal elections meeting these constitutional requirements.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The public campaign allocation must be sufficient to allow a qualified candidate to conduct a meaningful campaign. the Legislature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18.3 — The Campaign Finance Registry</w:t>
      </w:r>
    </w:p>
    <w:p>
      <w:pPr>
        <w:spacing w:after="60" w:before="60"/>
      </w:pPr>
      <w:r>
        <w:rPr>
          <w:rFonts w:ascii="Arial" w:cs="Arial" w:eastAsia="Arial" w:hAnsi="Arial"/>
          <w:color w:val="000000"/>
          <w:sz w:val="22"/>
          <w:szCs w:val="22"/>
        </w:rPr>
        <w:t>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§2.7.</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Section 19.1 — The Activation Threshold</w:t>
      </w:r>
    </w:p>
    <w:p>
      <w:pPr>
        <w:spacing w:after="60" w:before="60"/>
      </w:pPr>
      <w:r>
        <w:rPr>
          <w:rFonts w:ascii="Arial" w:cs="Arial" w:eastAsia="Arial" w:hAnsi="Arial"/>
          <w:color w:val="000000"/>
          <w:sz w:val="22"/>
          <w:szCs w:val="22"/>
        </w:rPr>
        <w:t>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spacing w:after="0" w:before="120"/>
      </w:pPr>
      <w:r>
        <w:t xml:space="preserve"/>
      </w:r>
    </w:p>
    <w:p>
      <w:pPr>
        <w:pStyle w:val="Heading2"/>
        <w:spacing w:after="80" w:before="200"/>
      </w:pPr>
      <w:r>
        <w:rPr>
          <w:rFonts w:ascii="Arial" w:cs="Arial" w:eastAsia="Arial" w:hAnsi="Arial"/>
          <w:b/>
          <w:bCs/>
          <w:color w:val="4A6FA5"/>
          <w:sz w:val="24"/>
          <w:szCs w:val="24"/>
        </w:rPr>
        <w:t>Section 19.2 — Day Zero</w:t>
      </w:r>
    </w:p>
    <w:p>
      <w:pPr>
        <w:spacing w:after="60" w:before="60"/>
      </w:pPr>
      <w:r>
        <w:rPr>
          <w:rFonts w:ascii="Arial" w:cs="Arial" w:eastAsia="Arial" w:hAnsi="Arial"/>
          <w:color w:val="000000"/>
          <w:sz w:val="22"/>
          <w:szCs w:val="22"/>
        </w:rPr>
        <w:t>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Section 19.3 — The Four-Phase Transition</w:t>
      </w:r>
    </w:p>
    <w:p>
      <w:pPr>
        <w:spacing w:after="60" w:before="60"/>
      </w:pPr>
      <w:r>
        <w:rPr>
          <w:rFonts w:ascii="Arial" w:cs="Arial" w:eastAsia="Arial" w:hAnsi="Arial"/>
          <w:color w:val="000000"/>
          <w:sz w:val="22"/>
          <w:szCs w:val="22"/>
        </w:rPr>
        <w:t>The transition is structured as an 18-month, four-phase process to prevent systemic shock and provide adequate time for institutional construction.</w:t>
      </w:r>
    </w:p>
    <w:p>
      <w:pPr>
        <w:spacing w:after="60" w:before="60"/>
      </w:pPr>
      <w:r>
        <w:t>19.3.a Phase 0 — Pre-Ratification Preparation: The period before the ratification vote during which the interim Electoral Commission is constituted, the National Voting System is certified operational, and the joint Inspectorate panel is formed. Phase 0 ends upon Day Zero.</w:t>
      </w:r>
    </w:p>
    <w:p>
      <w:pPr>
        <w:spacing w:after="60" w:before="60"/>
      </w:pPr>
      <w:r>
        <w:t>19.3.b Phase 1 — Emergency Stabilisation (Days 1–90): Existing government officials serve as caretakers under §19.4. The Basic Needs Floor activates at the constitutional minimum. No new permanent legislation may be passed. Phase 1 ends at Day 90.</w:t>
      </w:r>
    </w:p>
    <w:p>
      <w:pPr>
        <w:spacing w:after="60" w:before="60"/>
      </w:pPr>
      <w:r>
        <w:t>19.3.c Phase 2 — Institutional Construction (Days 91–270): 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pPr>
      <w:r>
        <w:t>19.3.d Phase 3 — First Elections (Days 271–450): The first National Election Day is held. Supreme Court justices are elected simultaneously through the Triad process. The Electoral Commission holds its inaugural elections. Phase 3 ends when the first Legislature is sworn in and the first President and Prime Minister take office.</w:t>
      </w:r>
    </w:p>
    <w:p>
      <w:pPr>
        <w:spacing w:after="60" w:before="60"/>
      </w:pPr>
      <w:r>
        <w:t>19.3.e Phase 4 — Full Constitutional Operation: The Republic enters full constitutional operation from the date the first Legislature convenes and the first executives take the oath of office. All constitutional provisions are fully operative from Phase 4 activation. The 18-month Transition Window concludes at the end of Phase 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First National Election Day: all 9 Supreme Court seats, all Senate seats, all House seats, all Electoral Commission seats, the Presidency, and the Monetary Authority Director elected simultaneously. House seats PM within 45 days. President and MA Director take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Section 19.4 — Caretaker Status</w:t>
      </w:r>
    </w:p>
    <w:p>
      <w:pPr>
        <w:spacing w:after="60" w:before="60"/>
      </w:pPr>
      <w:r>
        <w:rPr>
          <w:rFonts w:ascii="Arial" w:cs="Arial" w:eastAsia="Arial" w:hAnsi="Arial"/>
          <w:color w:val="000000"/>
          <w:sz w:val="22"/>
          <w:szCs w:val="22"/>
        </w:rPr>
        <w:t>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Section 19.5 — Pre-Constitutional Classified Documents</w:t>
      </w:r>
    </w:p>
    <w:p>
      <w:pPr>
        <w:spacing w:after="60" w:before="60"/>
      </w:pPr>
      <w:r>
        <w:rPr>
          <w:rFonts w:ascii="Arial" w:cs="Arial" w:eastAsia="Arial" w:hAnsi="Arial"/>
          <w:color w:val="000000"/>
          <w:sz w:val="22"/>
          <w:szCs w:val="22"/>
        </w:rPr>
        <w:t>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Rule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Section 19.7 — Transition-Period Territorial and Subdivision Elections</w:t>
      </w:r>
    </w:p>
    <w:p>
      <w:pPr>
        <w:spacing w:after="60" w:before="60"/>
      </w:pPr>
      <w:r>
        <w:rPr>
          <w:rFonts w:ascii="Arial" w:cs="Arial" w:eastAsia="Arial" w:hAnsi="Arial"/>
          <w:color w:val="000000"/>
          <w:sz w:val="22"/>
          <w:szCs w:val="22"/>
        </w:rPr>
        <w:t>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panel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Style w:val="Heading2"/>
      </w:pPr>
      <w:r>
        <w:rPr>
          <w:b/>
        </w:rPr>
        <w:t>Section 19.9 — Transitional Accountability Mechanism</w:t>
      </w:r>
    </w:p>
    <w:p>
      <w:pPr>
        <w:spacing w:after="60" w:before="60"/>
        <w:ind w:left="720" w:hanging="360"/>
      </w:pPr>
      <w:r>
        <w:rPr>
          <w:rFonts w:ascii="Arial" w:cs="Arial" w:eastAsia="Arial" w:hAnsi="Arial"/>
          <w:b/>
          <w:bCs/>
          <w:color w:val="4A6FA5"/>
          <w:sz w:val="22"/>
          <w:szCs w:val="22"/>
        </w:rPr>
      </w:r>
      <w:r>
        <w:rPr>
          <w:rFonts w:ascii="Arial" w:cs="Arial" w:eastAsia="Arial" w:hAnsi="Arial"/>
          <w:color w:val="000000"/>
          <w:sz w:val="22"/>
          <w:szCs w:val="22"/>
        </w:rPr>
        <w:t>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ind w:left="720" w:hanging="360"/>
      </w:pPr>
      <w:r>
        <w:rPr>
          <w:rFonts w:ascii="Arial" w:cs="Arial" w:eastAsia="Arial" w:hAnsi="Arial"/>
          <w:b/>
          <w:bCs/>
          <w:color w:val="4A6FA5"/>
          <w:sz w:val="22"/>
          <w:szCs w:val="22"/>
        </w:rPr>
        <w:t xml:space="preserve">19.9.b Amendment and Successor Bar: </w:t>
      </w:r>
      <w:r>
        <w:rPr>
          <w:rFonts w:ascii="Arial" w:cs="Arial" w:eastAsia="Arial" w:hAnsi="Arial"/>
          <w:color w:val="000000"/>
          <w:sz w:val="22"/>
          <w:szCs w:val="22"/>
        </w:rPr>
        <w:t>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ind w:left="720" w:hanging="360"/>
      </w:pPr>
      <w:r>
        <w:rPr>
          <w:rFonts w:ascii="Arial" w:cs="Arial" w:eastAsia="Arial" w:hAnsi="Arial"/>
          <w:b/>
          <w:bCs/>
          <w:color w:val="4A6FA5"/>
          <w:sz w:val="22"/>
          <w:szCs w:val="22"/>
        </w:rPr>
        <w:t xml:space="preserve">19.9.c Jurisdiction and Publication Limits: </w:t>
      </w:r>
      <w:r>
        <w:rPr>
          <w:rFonts w:ascii="Arial" w:cs="Arial" w:eastAsia="Arial" w:hAnsi="Arial"/>
          <w:color w:val="000000"/>
          <w:sz w:val="22"/>
          <w:szCs w:val="22"/>
        </w:rPr>
        <w:t>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ind w:left="720" w:hanging="360"/>
      </w:pPr>
      <w:r>
        <w:rPr>
          <w:rFonts w:ascii="Arial" w:cs="Arial" w:eastAsia="Arial" w:hAnsi="Arial"/>
          <w:b/>
          <w:bCs/>
          <w:color w:val="4A6FA5"/>
          <w:sz w:val="22"/>
          <w:szCs w:val="22"/>
        </w:rPr>
        <w:t xml:space="preserve">19.9.d Sunset and Constitutional Rationale: </w:t>
      </w:r>
      <w:r>
        <w:rPr>
          <w:rFonts w:ascii="Arial" w:cs="Arial" w:eastAsia="Arial" w:hAnsi="Arial"/>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 </w:t>
      </w:r>
    </w:p>
    <w:p>
      <w:pPr>
        <w:spacing w:after="0" w:before="120"/>
      </w:pPr>
      <w:r>
        <w:t xml:space="preserve"/>
      </w:r>
    </w:p>
    <w:p>
      <w:pPr>
        <w:pStyle w:val="Heading1"/>
        <w:spacing w:after="120" w:before="360"/>
      </w:pPr>
      <w:r>
        <w:rPr>
          <w:rFonts w:ascii="Arial" w:cs="Arial" w:eastAsia="Arial" w:hAnsi="Arial"/>
          <w:b/>
          <w:bCs/>
          <w:color w:val="1B2A4A"/>
          <w:sz w:val="32"/>
          <w:szCs w:val="32"/>
        </w:rPr>
        <w:t>ARTICLE XX — ASSOCIATED COMMUNITY RELATIONSHIPS</w:t>
      </w:r>
    </w:p>
    <w:p>
      <w:pPr>
        <w:spacing w:after="60" w:before="60"/>
      </w:pPr>
      <w:r>
        <w:rPr>
          <w:rFonts w:ascii="Arial" w:cs="Arial" w:eastAsia="Arial" w:hAnsi="Arial"/>
          <w:color w:val="000000"/>
          <w:sz w:val="22"/>
          <w:szCs w:val="22"/>
        </w:rPr>
        <w:t>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Style w:val="Heading2"/>
      </w:pPr>
      <w:r>
        <w:t>Section 20.1 — Associated Community Status</w:t>
      </w:r>
    </w:p>
    <w:p>
      <w:pPr>
        <w:spacing w:after="60" w:before="60"/>
        <w:ind w:left="720" w:hanging="360"/>
      </w:pPr>
      <w:r>
        <w:rPr>
          <w:rFonts w:ascii="Arial" w:cs="Arial" w:eastAsia="Arial" w:hAnsi="Arial"/>
          <w:b/>
          <w:bCs/>
          <w:color w:val="4A6FA5"/>
          <w:sz w:val="22"/>
          <w:szCs w:val="22"/>
        </w:rPr>
        <w:t xml:space="preserve">20.1 Associated Community Status: </w:t>
      </w:r>
      <w:r>
        <w:rPr>
          <w:rFonts w:ascii="Arial" w:cs="Arial" w:eastAsia="Arial" w:hAnsi="Arial"/>
          <w:color w:val="000000"/>
          <w:sz w:val="22"/>
          <w:szCs w:val="22"/>
        </w:rPr>
        <w:t>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Style w:val="Heading2"/>
      </w:pPr>
      <w:r>
        <w:t>Section 20.2 — Compact Terms and Equal Sovereignty</w:t>
      </w:r>
    </w:p>
    <w:p>
      <w:pPr>
        <w:spacing w:after="60" w:before="60"/>
        <w:ind w:left="720" w:hanging="360"/>
      </w:pPr>
      <w:r>
        <w:rPr>
          <w:rFonts w:ascii="Arial" w:cs="Arial" w:eastAsia="Arial" w:hAnsi="Arial"/>
          <w:b/>
          <w:bCs/>
          <w:color w:val="4A6FA5"/>
          <w:sz w:val="22"/>
          <w:szCs w:val="22"/>
        </w:rPr>
        <w:t xml:space="preserve">20.2 Compact Terms and Equal Sovereignty: </w:t>
      </w:r>
      <w:r>
        <w:rPr>
          <w:rFonts w:ascii="Arial" w:cs="Arial" w:eastAsia="Arial" w:hAnsi="Arial"/>
          <w:color w:val="000000"/>
          <w:sz w:val="22"/>
          <w:szCs w:val="22"/>
        </w:rPr>
        <w:t>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Style w:val="Heading2"/>
      </w:pPr>
      <w:r>
        <w:t>Section 20.3 — Compact Conditions and Ongoing Compliance</w:t>
      </w:r>
    </w:p>
    <w:p>
      <w:pPr>
        <w:spacing w:after="60" w:before="60"/>
        <w:ind w:left="720" w:hanging="360"/>
      </w:pPr>
      <w:r>
        <w:rPr>
          <w:rFonts w:ascii="Arial" w:cs="Arial" w:eastAsia="Arial" w:hAnsi="Arial"/>
          <w:b/>
          <w:bCs/>
          <w:color w:val="4A6FA5"/>
          <w:sz w:val="22"/>
          <w:szCs w:val="22"/>
        </w:rPr>
        <w:t xml:space="preserve">20.3 Compact Conditions and Ongoing Compliance: </w:t>
      </w:r>
      <w:r>
        <w:rPr>
          <w:rFonts w:ascii="Arial" w:cs="Arial" w:eastAsia="Arial" w:hAnsi="Arial"/>
          <w:color w:val="000000"/>
          <w:sz w:val="22"/>
          <w:szCs w:val="22"/>
        </w:rPr>
        <w:t>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Style w:val="Heading2"/>
      </w:pPr>
      <w:r>
        <w:t>Section 20.4 — Sovereign Mobility</w:t>
      </w:r>
    </w:p>
    <w:p>
      <w:pPr>
        <w:spacing w:after="60" w:before="60"/>
        <w:ind w:left="720" w:hanging="360"/>
      </w:pPr>
      <w:r>
        <w:rPr>
          <w:rFonts w:ascii="Arial" w:cs="Arial" w:eastAsia="Arial" w:hAnsi="Arial"/>
          <w:b/>
          <w:bCs/>
          <w:color w:val="4A6FA5"/>
          <w:sz w:val="22"/>
          <w:szCs w:val="22"/>
        </w:rPr>
        <w:t xml:space="preserve">20.4 Sovereign Mobility: </w:t>
      </w:r>
      <w:r>
        <w:rPr>
          <w:rFonts w:ascii="Arial" w:cs="Arial" w:eastAsia="Arial" w:hAnsi="Arial"/>
          <w:color w:val="000000"/>
          <w:sz w:val="22"/>
          <w:szCs w:val="22"/>
        </w:rPr>
        <w:t>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Style w:val="Heading2"/>
      </w:pPr>
      <w:r>
        <w:t>Section 20.5 — Reciprocal Obligations and Review</w:t>
      </w:r>
    </w:p>
    <w:p>
      <w:pPr>
        <w:spacing w:after="60" w:before="60"/>
        <w:ind w:left="720" w:hanging="360"/>
      </w:pPr>
      <w:r>
        <w:rPr>
          <w:rFonts w:ascii="Arial" w:cs="Arial" w:eastAsia="Arial" w:hAnsi="Arial"/>
          <w:b/>
          <w:bCs/>
          <w:color w:val="4A6FA5"/>
          <w:sz w:val="22"/>
          <w:szCs w:val="22"/>
        </w:rPr>
        <w:t xml:space="preserve">20.5 Reciprocal Obligations and Review: </w:t>
      </w:r>
      <w:r>
        <w:rPr>
          <w:rFonts w:ascii="Arial" w:cs="Arial" w:eastAsia="Arial" w:hAnsi="Arial"/>
          <w:color w:val="000000"/>
          <w:sz w:val="22"/>
          <w:szCs w:val="22"/>
        </w:rPr>
        <w:t>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SCHEDULE A — AUTHORITY REFERENCE MATRIX</w:t>
      </w:r>
    </w:p>
    <w:p>
      <w:pPr>
        <w:spacing w:after="60" w:before="60"/>
      </w:pPr>
      <w:r>
        <w:rPr>
          <w:rFonts w:ascii="Arial" w:cs="Arial" w:eastAsia="Arial" w:hAnsi="Arial"/>
          <w:color w:val="000000"/>
          <w:sz w:val="22"/>
          <w:szCs w:val="22"/>
        </w:rPr>
        <w:t>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3 — Legislative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or Caretaker PM declares; the Legislature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Proportional to citizen population; one seat per State minimum; the Legislature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continues in office pending trial; §2.6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Triad (Senate/PM/President) → JI Vetting → Public Election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vets nominees using Registry records; all certified nominees proceed to national RCV election; Senate has 90 days to nominate for mid-term vacancies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Adequate funding — the Legislature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both chambers + State Designee Panel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65% national first-preference + 35% regional breadth; number of regions the Legislature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Number defined by the Legislature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Director elected by national RCV; 5 board members PM-nominated, Senate-confirmed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Federal Property (Art. XVII)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Years 1–2: Early Warning (§13.3.b), Remediation Plan, LI review, PM window, auto-withholding; Year 3: Senate 3/4 (§13.3.c)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Partial Territory Statehood (§13.2.b)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Must meet all §13.2.a-b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Devolution Effects (§13.3.d)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Devolution Challenge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Amnesty (§2.9.b)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 Mid-Term Vacancy (§4.2.b)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Special election within 90 days; President and PM nominate; Senate has 90 days for third nominee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If Senate fails to nominate within 90 days, 2-nominee public election proceeds; replacement serves remainder of original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180-day Legislative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3/4 of both chambers simultaneously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veto; §1.2, §1.3, §1.13, §1.17, §1.18, §1.27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Final court judgments, custody orders, public acts, official records; NRS authentication presumptive; non-recognition grounds exhaustive and parliamentary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v115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2026-05-04T18:28:33.885Z</dcterms:created>
  <dcterms:modified xsi:type="dcterms:W3CDTF">2026-05-04T18:28:33.886Z</dcterms:modified>
</cp:coreProperties>
</file>

<file path=docProps/custom.xml><?xml version="1.0" encoding="utf-8"?>
<Properties xmlns="http://schemas.openxmlformats.org/officeDocument/2006/custom-properties" xmlns:vt="http://schemas.openxmlformats.org/officeDocument/2006/docPropsVTypes"/>
</file>