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80" w:before="200"/>
        <w:ind w:left="431"/>
      </w:pPr>
      <w:r>
        <w:rPr>
          <w:rFonts w:ascii="Courier New" w:cs="Courier New" w:hAnsi="Courier New"/>
          <w:b/>
          <w:bCs/>
          <w:color w:val="1B2A4A"/>
          <w:sz w:val="18"/>
          <w:szCs w:val="18"/>
        </w:rPr>
        <w:t xml:space="preserve">§2.16  </w:t>
      </w:r>
      <w:r>
        <w:rPr>
          <w:rFonts w:ascii="Garamond" w:cs="Garamond" w:hAnsi="Garamond"/>
          <w:b/>
          <w:bCs/>
          <w:color w:val="1B2A4A"/>
          <w:sz w:val="22"/>
          <w:szCs w:val="22"/>
        </w:rPr>
        <w:t xml:space="preserve">Federal Prosecution</w:t>
      </w:r>
    </w:p>
    <w:p>
      <w:pPr>
        <w:spacing w:after="120" w:before="0"/>
        <w:ind w:left="431"/>
        <w:jc w:val="both"/>
      </w:pPr>
      <w:r>
        <w:rPr>
          <w:rFonts w:ascii="Garamond" w:cs="Garamond" w:hAnsi="Garamond"/>
          <w:color w:val="2a2520"/>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compact establishes a working mechanism for implementation and day-to-day administration in a form the parties agree. The Legat Consul designates a ministerial counterpart within the Legat Consul’s office for each compact relationship;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and exit terms are concluded; exit terms are negotiated by the Legat Consul and ratified by the Senate under §3.6; if no exit agreement is reached within 24 months, either party may petition the SC to resolve the outstanding terms.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