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30E152CC" w:rsidR="00AF3D56" w:rsidRDefault="00000000">
      <w:pPr>
        <w:spacing w:before="240"/>
        <w:jc w:val="center"/>
      </w:pPr>
      <w:r>
        <w:rPr>
          <w:rFonts w:ascii="Garamond" w:eastAsia="Garamond" w:hAnsi="Garamond" w:cs="Garamond"/>
          <w:i/>
          <w:iCs/>
          <w:color w:val="7A7060"/>
          <w:sz w:val="22"/>
          <w:szCs w:val="22"/>
        </w:rPr>
        <w:t xml:space="preserve">162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§1.19.a.</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§1.19.a.</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14:paraId="210DB5F3"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§1.19.a.</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§1.19.a.</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§1.19.a.</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§1.19.a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 A derogation declaration may be issued by either executive acting within their constitutional domain under §2.1 and §2.5, effective on NRS publication, for a period not to exceed 14 days; an executive declaration may not be renewed, extended, or reissued for substantially the same emergency by executive act. Derogation beyond 14 days requires a statute enacted through the ordinary legislative process; the statute must state a fixed expiration date and may not be extended. Upon expiration of any declaration, all derogation measures lapse under §1.19.b.</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§1.19.a  </w:t>
      </w:r>
      <w:r>
        <w:rPr>
          <w:rFonts w:ascii="Garamond" w:eastAsia="Garamond" w:hAnsi="Garamond" w:cs="Garamond"/>
          <w:i/>
          <w:iCs/>
          <w:color w:val="1B2A4A"/>
          <w:sz w:val="22"/>
          <w:szCs w:val="22"/>
        </w:rPr>
        <w:t>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No Declaration — executive or statutory — may be extended; every Declaration expires on the terms stated at its issuance. Judicial review of any emergency measure is available to any citizen at any time, and </w:t>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§1.19.a.</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Separation of Branch Authority</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 xml:space="preserve">No person may exercise the voting or decisional authority of more than one branch of government at the same time; a person holding or acting in an office of one branch may not cast a vote or exercise a decisional power reserved to another branch for so long as they hold or act in that office. This section does not bar a person from holding a seat that carries no exercisable vote during such service, nor from resuming an office or vote upon leaving the position that created the conflict.</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14:paraId="6B78322C"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Eligibility and disclosure requirements applicable to all federal offices are established in §7.4.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relations with recognized indigenous nations under Article XVI, including recognition determinations under §16.4;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lastRenderedPageBreak/>
        <w:t>candidates maintained by the Elections Panel under §9.8. The Legislature defines qualifications and confirmation procedures for each office by statute; acting appointments may be made pending confirmation for the period and under the conditions the Legislature defines. A domain officer is a person appointed by the Legat Consul to exercise a portion of the Legat Consul's constitutional domain authority and confirmed by the Senate; persons employed in the civil service or military under a domain officer's direction are not domain officers. The Senate may remove a domain officer by majority of full seated membership; the grounds are stated and published to the NRS. The Legat Consul may dismiss a domain officer at any time, published to the NRS.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pPr>
        <w:spacing w:after="120"/>
        <w:ind w:left="431"/>
        <w:jc w:val="both"/>
      </w:pPr>
      <w:r>
        <w:rPr>
          <w:rFonts w:ascii="Garamond" w:eastAsia="Garamond" w:hAnsi="Garamond" w:cs="Garamond"/>
          <w:color w:val="2A2A2A"/>
          <w:sz w:val="22"/>
          <w:szCs w:val="22"/>
        </w:rPr>
        <w:t xml:space="preserve">(1) The Civic Consul holds residual executive authority over all functions not enumerated to the Legat Consul. To hold the office of Civic Consul, a person must be a serving member of the Assembly at the time of election as required by §2.6. Eligibility and disclosure requirements applicable to all federal offices are established in §7.4. No other eligibility requirement applies. The Civic Consul serves at the confidence of the Assembly, subject to removal under §2.6.</w:t>
      </w:r>
    </w:p>
    <w:p>
      <w:pPr>
        <w:spacing w:after="120"/>
        <w:ind w:left="431"/>
        <w:jc w:val="both"/>
      </w:pPr>
      <w:r>
        <w:rPr>
          <w:rFonts w:ascii="Garamond" w:eastAsia="Garamond" w:hAnsi="Garamond" w:cs="Garamond"/>
          <w:color w:val="2A2A2A"/>
          <w:sz w:val="22"/>
          <w:szCs w:val="22"/>
        </w:rPr>
        <w:t xml:space="preserve">(2) No person may serve more than 6 years consecutively as Civic Consul, nor more than 8 years cumulatively across all periods of service; the cumulative limit is a lifetime maximum. A person who has served as Civic Consul for 4 years or more, whether continuously or as the total of their service, and who then leaves the office for any reason, may not serve again as Civic Consul until one full Assembly electoral cycle has passed since they left the office; during that interval they may hold an Assembly seat but may not be elected or designated Civic Consul. A person who has served fewer than 4 years is subject to no cooling-off period on that account, but remains bound by both the consecutive and cumulative limits.</w:t>
      </w:r>
    </w:p>
    <w:p>
      <w:pPr>
        <w:spacing w:after="120"/>
        <w:ind w:left="431"/>
        <w:jc w:val="both"/>
      </w:pPr>
      <w:r>
        <w:rPr>
          <w:rFonts w:ascii="Garamond" w:eastAsia="Garamond" w:hAnsi="Garamond" w:cs="Garamond"/>
          <w:color w:val="2A2A2A"/>
          <w:sz w:val="22"/>
          <w:szCs w:val="22"/>
        </w:rPr>
        <w:t xml:space="preserve">(3) The Civic Consul's domestic authority includes:</w:t>
      </w:r>
    </w:p>
    <w:p>
      <w:pPr>
        <w:spacing w:after="120"/>
        <w:ind w:left="720"/>
        <w:jc w:val="both"/>
      </w:pPr>
      <w:r>
        <w:rPr>
          <w:rFonts w:ascii="Garamond" w:eastAsia="Garamond" w:hAnsi="Garamond" w:cs="Garamond"/>
          <w:color w:val="2A2A2A"/>
          <w:sz w:val="22"/>
          <w:szCs w:val="22"/>
        </w:rPr>
        <w:t xml:space="preserve">— all domestic policy and regulatory frameworks;</w:t>
      </w:r>
    </w:p>
    <w:p>
      <w:pPr>
        <w:spacing w:after="120"/>
        <w:ind w:left="720"/>
        <w:jc w:val="both"/>
      </w:pPr>
      <w:r>
        <w:rPr>
          <w:rFonts w:ascii="Garamond" w:eastAsia="Garamond" w:hAnsi="Garamond" w:cs="Garamond"/>
          <w:color w:val="2A2A2A"/>
          <w:sz w:val="22"/>
          <w:szCs w:val="22"/>
        </w:rPr>
        <w:t xml:space="preserve">— preparation of a proposed budget for the civic domain, submitted to the Assembly under §12.2;</w:t>
      </w:r>
    </w:p>
    <w:p>
      <w:pPr>
        <w:spacing w:after="120"/>
        <w:ind w:left="720"/>
        <w:jc w:val="both"/>
      </w:pPr>
      <w:r>
        <w:rPr>
          <w:rFonts w:ascii="Garamond" w:eastAsia="Garamond" w:hAnsi="Garamond" w:cs="Garamond"/>
          <w:color w:val="2A2A2A"/>
          <w:sz w:val="22"/>
          <w:szCs w:val="22"/>
        </w:rPr>
        <w:t xml:space="preserve">— the civil service;</w:t>
      </w:r>
    </w:p>
    <w:p>
      <w:pPr>
        <w:spacing w:after="120"/>
        <w:ind w:left="720"/>
        <w:jc w:val="both"/>
      </w:pPr>
      <w:r>
        <w:rPr>
          <w:rFonts w:ascii="Garamond" w:eastAsia="Garamond" w:hAnsi="Garamond" w:cs="Garamond"/>
          <w:color w:val="2A2A2A"/>
          <w:sz w:val="22"/>
          <w:szCs w:val="22"/>
        </w:rPr>
        <w:t xml:space="preserve">— and administration of the social state under Article XII.</w:t>
      </w:r>
    </w:p>
    <w:p>
      <w:pPr>
        <w:spacing w:after="120"/>
        <w:ind w:left="431"/>
        <w:jc w:val="both"/>
      </w:pPr>
      <w:r>
        <w:rPr>
          <w:rFonts w:ascii="Garamond" w:eastAsia="Garamond" w:hAnsi="Garamond" w:cs="Garamond"/>
          <w:color w:val="2A2A2A"/>
          <w:sz w:val="22"/>
          <w:szCs w:val="22"/>
        </w:rPr>
        <w:t xml:space="preserve">(4) The Civic Consul may declare a domestic emergency in response to natural disaster, public health crisis, or infrastructure failure, subject to the constraints of Article I and renewable by Assembly approval at intervals defined by statute; in the absence of a statutory interval, the constitutional default is 30 days. The Legat Consul has no role in domestic emergencies.</w:t>
      </w:r>
    </w:p>
    <w:p>
      <w:pPr>
        <w:spacing w:after="120"/>
        <w:ind w:left="431"/>
        <w:jc w:val="both"/>
      </w:pPr>
      <w:r>
        <w:rPr>
          <w:rFonts w:ascii="Garamond" w:eastAsia="Garamond" w:hAnsi="Garamond" w:cs="Garamond"/>
          <w:color w:val="2A2A2A"/>
          <w:sz w:val="22"/>
          <w:szCs w:val="22"/>
        </w:rPr>
        <w:t xml:space="preserve">(5)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treaty and compact negotiations with recognized indigenous nations where their terms bear on domestic interests; the Civic Consul's response is advisory.</w:t>
      </w:r>
    </w:p>
    <w:p>
      <w:pPr>
        <w:spacing w:after="120"/>
        <w:ind w:left="431"/>
        <w:jc w:val="both"/>
      </w:pPr>
      <w:r>
        <w:rPr>
          <w:rFonts w:ascii="Garamond" w:eastAsia="Garamond" w:hAnsi="Garamond" w:cs="Garamond"/>
          <w:color w:val="2A2A2A"/>
          <w:sz w:val="22"/>
          <w:szCs w:val="22"/>
        </w:rPr>
        <w:t xml:space="preserve">(6) Where the Civic Consul is temporarily unable to exercise authority, the Assembly Speaker serves as Acting Civic Consul by constitutional operation from the moment the incapacity is published to the NRS, with authority limited to maintaining existing policy and emergency functions. While serving in an acting executive capacity, the Speaker may not exercise any legislative function; the Speaker retains their Assembly seat and the Speakership, and the Assembly provides for the exercise of the Speaker's functions during that period under its internal procedures. Acting service neither extends nor suspends the Speaker's electoral mandate; where the Speaker ceases to be a member of the Assembly, acting authority passes by constitutional operation to the Assembly Speaker then in office. Acting status ends when the Civic Consul resumes their duties or a new Civic Consul is elected under §2.6; the Speaker's legislative functions resume at that moment.</w:t>
      </w:r>
    </w:p>
    <w:p>
      <w:pPr>
        <w:spacing w:after="120"/>
        <w:ind w:left="431"/>
        <w:jc w:val="both"/>
      </w:pPr>
      <w:r>
        <w:rPr>
          <w:rFonts w:ascii="Garamond" w:eastAsia="Garamond" w:hAnsi="Garamond" w:cs="Garamond"/>
          <w:color w:val="2A2A2A"/>
          <w:sz w:val="22"/>
          <w:szCs w:val="22"/>
        </w:rPr>
        <w:t xml:space="preserve">(7) The Civic Consul appoints ministers to lead the departments of the civic domain; ministerial portfolios are defined by statute. Ministers serve at the pleasure of the Civic Consul and require no confirmation; appointments and dismissals are published to the NRS. A minister's service ends when the Civic Consul leaves office; ministers continue in a caretaker capacity, limited to maintaining existing policy, until the incoming Civic Consul's ministers are appointed.</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Constructive Vote of No Confidence</w:t>
      </w:r>
    </w:p>
    <w:p>
      <w:pPr>
        <w:spacing w:after="120"/>
        <w:ind w:left="431"/>
        <w:jc w:val="both"/>
      </w:pPr>
      <w:r>
        <w:rPr>
          <w:rFonts w:ascii="Garamond" w:eastAsia="Garamond" w:hAnsi="Garamond" w:cs="Garamond"/>
          <w:color w:val="2A2A2A"/>
          <w:sz w:val="22"/>
          <w:szCs w:val="22"/>
        </w:rPr>
        <w:t xml:space="preserve">(1) 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Grounds for the vote are published to the NRS; the vote is a political act and is not subject to judicial review.</w:t>
      </w:r>
    </w:p>
    <w:p>
      <w:pPr>
        <w:spacing w:after="120"/>
        <w:ind w:left="431"/>
        <w:jc w:val="both"/>
      </w:pPr>
      <w:r>
        <w:rPr>
          <w:rFonts w:ascii="Garamond" w:eastAsia="Garamond" w:hAnsi="Garamond" w:cs="Garamond"/>
          <w:color w:val="2A2A2A"/>
          <w:sz w:val="22"/>
          <w:szCs w:val="22"/>
        </w:rPr>
        <w:t xml:space="preserve">(2) A person must be a serving member of the Assembly to be elected Civic Consul. On election as Civic Consul the person vacates their Assembly seat, which is filled under §3.2 as a mid-term vacancy; that Assembly term is deemed fully served by the departing member for purposes of the consecutive-term limit under §3.2.</w:t>
      </w:r>
    </w:p>
    <w:p>
      <w:pPr>
        <w:spacing w:after="120"/>
        <w:ind w:left="431"/>
        <w:jc w:val="both"/>
      </w:pPr>
      <w:r>
        <w:rPr>
          <w:rFonts w:ascii="Garamond" w:eastAsia="Garamond" w:hAnsi="Garamond" w:cs="Garamond"/>
          <w:color w:val="2A2A2A"/>
          <w:sz w:val="22"/>
          <w:szCs w:val="22"/>
        </w:rPr>
        <w:t xml:space="preserve">(3) While in office the Civic Consul holds the ceremonial seat of the office of Civic Consul, which carries the right to sit, speak, and be held to account in the Assembly but carries no vote; the Civic Consul exercises no legislative vote while in office, consistent with §1.23. The ceremonial seat is not counted in the full seated membership of the Assembly for quorum or any voting threshold.</w:t>
      </w:r>
    </w:p>
    <w:p>
      <w:pPr>
        <w:spacing w:after="120"/>
        <w:ind w:left="431"/>
        <w:jc w:val="both"/>
      </w:pPr>
      <w:r>
        <w:rPr>
          <w:rFonts w:ascii="Garamond" w:eastAsia="Garamond" w:hAnsi="Garamond" w:cs="Garamond"/>
          <w:color w:val="2A2A2A"/>
          <w:sz w:val="22"/>
          <w:szCs w:val="22"/>
        </w:rPr>
        <w:t xml:space="preserve">(4) This section governs a person elected or installed to the office of Civic Consul; the Assembly Speaker serving as Acting Civic Consul under §2.5 or §2.6.a retains their own Assembly seat and does not vacate it.</w:t>
      </w:r>
    </w:p>
    <w:p>
      <w:pPr>
        <w:spacing w:after="120"/>
        <w:ind w:left="431"/>
        <w:jc w:val="both"/>
      </w:pPr>
      <w:r>
        <w:rPr>
          <w:rFonts w:ascii="Garamond" w:eastAsia="Garamond" w:hAnsi="Garamond" w:cs="Garamond"/>
          <w:color w:val="2A2A2A"/>
          <w:sz w:val="22"/>
          <w:szCs w:val="22"/>
        </w:rPr>
        <w:t xml:space="preserve">(5) The Civic Consul serves until removed under this section, until the expiration of the consecutive-service limit under §2.5, by resignation, or through the pathways of §3.10.</w:t>
      </w:r>
    </w:p>
    <w:p>
      <w:pPr>
        <w:spacing w:after="120"/>
        <w:ind w:left="431"/>
        <w:jc w:val="both"/>
      </w:pPr>
      <w:r>
        <w:rPr>
          <w:rFonts w:ascii="Garamond" w:eastAsia="Garamond" w:hAnsi="Garamond" w:cs="Garamond"/>
          <w:color w:val="2A2A2A"/>
          <w:sz w:val="22"/>
          <w:szCs w:val="22"/>
        </w:rPr>
        <w:t xml:space="preserve">(6) A person who leaves the office of Civic Consul holds no Assembly seat by virtue of having been Civic Consul; the seat vacated on taking office remains filled under §3.2. A former Civic Consul may run in an election for an Assembly seat, may hold any other constitutional office for which they meet the eligibility requirements, and may seek the office of Civic Consul again subject to the cooling-off period under §2.5.</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pPr>
        <w:spacing w:after="120"/>
        <w:ind w:left="431"/>
        <w:jc w:val="both"/>
      </w:pPr>
      <w:r>
        <w:rPr>
          <w:rFonts w:ascii="Garamond" w:eastAsia="Garamond" w:hAnsi="Garamond" w:cs="Garamond"/>
          <w:color w:val="2A2A2A"/>
          <w:sz w:val="22"/>
          <w:szCs w:val="22"/>
        </w:rPr>
        <w:t xml:space="preserve">(1) The Assembly elects the Civic Consul by absolute majority within the period defined by statute following any general election or vacancy; where no statutory period has been established, the constitutional default is 21 days.</w:t>
      </w:r>
    </w:p>
    <w:p>
      <w:pPr>
        <w:spacing w:after="120"/>
        <w:ind w:left="431"/>
        <w:jc w:val="both"/>
      </w:pPr>
      <w:r>
        <w:rPr>
          <w:rFonts w:ascii="Garamond" w:eastAsia="Garamond" w:hAnsi="Garamond" w:cs="Garamond"/>
          <w:color w:val="2A2A2A"/>
          <w:sz w:val="22"/>
          <w:szCs w:val="22"/>
        </w:rPr>
        <w:t xml:space="preserve">(2) If the Assembly does not elect a Civic Consul within that period, the acting role attaches automatically to the sitting Assembly Speaker, who serves as Acting Civic Consul by constitutional operation with authority limited to maintaining existing policy, and retains their Assembly seat. Where there is no sitting Speaker, the most senior Assembly member by continuous service serves in the acting role instead; where two or more members have equal continuous service, the tiebreaker is determined by statute. The acting service is published to the NRS. The Acting Civic Consul is not subject to removal under §2.6.</w:t>
      </w:r>
    </w:p>
    <w:p>
      <w:pPr>
        <w:spacing w:after="120"/>
        <w:ind w:left="431"/>
        <w:jc w:val="both"/>
      </w:pPr>
      <w:r>
        <w:rPr>
          <w:rFonts w:ascii="Garamond" w:eastAsia="Garamond" w:hAnsi="Garamond" w:cs="Garamond"/>
          <w:color w:val="2A2A2A"/>
          <w:sz w:val="22"/>
          <w:szCs w:val="22"/>
        </w:rPr>
        <w:t xml:space="preserve">(3) The Acting Civic Consul administers a nominating ballot of the Assembly to identify candidates for a national election. This administration is purely procedural and confers no discretion over the ballot's conduct or result. The ballot requires no quorum and produces its result regardless of participation. The candidates receiving the most votes advance, being no fewer than two and no more than four; where a tie would cause more than four candidates to advance, the tie is resolved in favor of the candidate with greater continuous service, with any remaining tie determined by statute. Where only one member receives votes, that member advances alone and is submitted to the national vote for ratification. Only members otherwise qualified for the office of Civic Consul under §2.5 and §7.4 may advance.</w:t>
      </w:r>
    </w:p>
    <w:p>
      <w:pPr>
        <w:spacing w:after="120"/>
        <w:ind w:left="431"/>
        <w:jc w:val="both"/>
      </w:pPr>
      <w:r>
        <w:rPr>
          <w:rFonts w:ascii="Garamond" w:eastAsia="Garamond" w:hAnsi="Garamond" w:cs="Garamond"/>
          <w:color w:val="2A2A2A"/>
          <w:sz w:val="22"/>
          <w:szCs w:val="22"/>
        </w:rPr>
        <w:t xml:space="preserve">(4) The Elections Panel administers a national ranked-choice election among the advancing candidates, to be held within the period defined by statute, with a constitutional default of 45 days and an absolute maximum of 90 days from the close of the nominating ballot. The Elections Panel may extend the period beyond the default only for cause published to the NRS, and in no case beyond 90 days. Where a single candidate stands for ratification, the national vote is a simple yes-or-no question. Should an advancing candidate become ineligible before the vote, the election proceeds among those who remain qualified.</w:t>
      </w:r>
    </w:p>
    <w:p>
      <w:pPr>
        <w:spacing w:after="120"/>
        <w:ind w:left="431"/>
        <w:jc w:val="both"/>
      </w:pPr>
      <w:r>
        <w:rPr>
          <w:rFonts w:ascii="Garamond" w:eastAsia="Garamond" w:hAnsi="Garamond" w:cs="Garamond"/>
          <w:color w:val="2A2A2A"/>
          <w:sz w:val="22"/>
          <w:szCs w:val="22"/>
        </w:rPr>
        <w:t xml:space="preserve">(5) The candidate winning the national election, whether by ranked-choice tabulation or by ratification, becomes Civic Consul with full authority, vacates their Assembly seat under §2.6, and is subject to removal only under §2.6. The Acting Civic Consul's service ends upon that installation.</w:t>
      </w:r>
    </w:p>
    <w:p>
      <w:pPr>
        <w:spacing w:after="120"/>
        <w:ind w:left="431"/>
        <w:jc w:val="both"/>
      </w:pPr>
      <w:r>
        <w:rPr>
          <w:rFonts w:ascii="Garamond" w:eastAsia="Garamond" w:hAnsi="Garamond" w:cs="Garamond"/>
          <w:color w:val="2A2A2A"/>
          <w:sz w:val="22"/>
          <w:szCs w:val="22"/>
        </w:rPr>
        <w:t xml:space="preserve">(6) At any time before the national election begins, the Assembly may elect a Civic Consul by absolute majority, which terminates the fallback and returns the office to the ordinary process. Once the national election has begun, it proceeds to conclusion.</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Legat Consul Succession and Incapacity</w:t>
      </w:r>
    </w:p>
    <w:p>
      <w:pPr>
        <w:spacing w:after="120"/>
        <w:ind w:left="431"/>
        <w:jc w:val="both"/>
      </w:pPr>
      <w:r>
        <w:rPr>
          <w:rFonts w:ascii="Garamond" w:eastAsia="Garamond" w:hAnsi="Garamond" w:cs="Garamond"/>
          <w:color w:val="2A2A2A"/>
          <w:sz w:val="22"/>
          <w:szCs w:val="22"/>
        </w:rPr>
        <w:t xml:space="preserve">(1) 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w:t>
      </w:r>
    </w:p>
    <w:p>
      <w:pPr>
        <w:spacing w:after="120"/>
        <w:ind w:left="431"/>
        <w:jc w:val="both"/>
      </w:pPr>
      <w:r>
        <w:rPr>
          <w:rFonts w:ascii="Garamond" w:eastAsia="Garamond" w:hAnsi="Garamond" w:cs="Garamond"/>
          <w:color w:val="2A2A2A"/>
          <w:sz w:val="22"/>
          <w:szCs w:val="22"/>
        </w:rPr>
        <w:t xml:space="preserve">(2) Full succession vacates the successor's Senate seat, which is filled through the ordinary vacancy process. Where the Senate Speaker is simultaneously unable to serve, the most senior Senator by continuous Senate service holds the office from that moment; where two or more Senators have equal continuous service, the oldest by age holds the office.</w:t>
      </w:r>
    </w:p>
    <w:p>
      <w:pPr>
        <w:spacing w:after="120"/>
        <w:ind w:left="431"/>
        <w:jc w:val="both"/>
      </w:pPr>
      <w:r>
        <w:rPr>
          <w:rFonts w:ascii="Garamond" w:eastAsia="Garamond" w:hAnsi="Garamond" w:cs="Garamond"/>
          <w:color w:val="2A2A2A"/>
          <w:sz w:val="22"/>
          <w:szCs w:val="22"/>
        </w:rPr>
        <w:t xml:space="preserve">(3) The Legislature or Senate may by statute or standing order designate a further succession line beyond this constitutional floor.</w:t>
      </w:r>
    </w:p>
    <w:p>
      <w:pPr>
        <w:spacing w:after="120"/>
        <w:ind w:left="431"/>
        <w:jc w:val="both"/>
      </w:pPr>
      <w:r>
        <w:rPr>
          <w:rFonts w:ascii="Garamond" w:eastAsia="Garamond" w:hAnsi="Garamond" w:cs="Garamond"/>
          <w:color w:val="2A2A2A"/>
          <w:sz w:val="22"/>
          <w:szCs w:val="22"/>
        </w:rPr>
        <w:t xml:space="preserve">(4) Upon NRS publication of any triggering event, the military chain of command recognizes the constitutional transfer immediately; any order issued in the name of the prior Legat Consul after that moment is constitutionally void.</w:t>
      </w:r>
    </w:p>
    <w:p>
      <w:pPr>
        <w:spacing w:after="120"/>
        <w:ind w:left="431"/>
        <w:jc w:val="both"/>
      </w:pPr>
      <w:r>
        <w:rPr>
          <w:rFonts w:ascii="Garamond" w:eastAsia="Garamond" w:hAnsi="Garamond" w:cs="Garamond"/>
          <w:color w:val="2A2A2A"/>
          <w:sz w:val="22"/>
          <w:szCs w:val="22"/>
        </w:rPr>
        <w:t xml:space="preserve">(5)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w:t>
      </w:r>
    </w:p>
    <w:p>
      <w:pPr>
        <w:spacing w:after="120"/>
        <w:ind w:left="431"/>
        <w:jc w:val="both"/>
      </w:pPr>
      <w:r>
        <w:rPr>
          <w:rFonts w:ascii="Garamond" w:eastAsia="Garamond" w:hAnsi="Garamond" w:cs="Garamond"/>
          <w:color w:val="2A2A2A"/>
          <w:sz w:val="22"/>
          <w:szCs w:val="22"/>
        </w:rPr>
        <w:t xml:space="preserve">(6) Where the Legat Consul is temporarily unable to exercise authority, a majority of the JMC assesses capacity and, on joint assessment published to the NRS, Acting Legat Consul authority transfers to the Senate Speaker by constitutional operation from that moment, without vacating the Speaker's Senate seat. While serving in an acting executive capacity, the Senate Speaker may not exercise any legislative function; the Speaker retains their Senate seat and the Speakership, and the Senate provides for the exercise of the Speaker's functions during that period under its internal procedures; acting service neither extends nor suspends the Speaker's electoral mandate, and where the Speaker ceases to be a Senator, acting authority passes by constitutional operation to the Senate Speaker then in office. Acting authority ends when the Legat Consul publishes a restoration declaration to the NRS.</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removal requires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§2.14.b  </w:t>
      </w:r>
      <w:r>
        <w:rPr>
          <w:rFonts w:ascii="Garamond" w:eastAsia="Garamond" w:hAnsi="Garamond" w:cs="Garamond"/>
          <w:i/>
          <w:iCs/>
          <w:color w:val="1B2A4A"/>
          <w:sz w:val="22"/>
          <w:szCs w:val="22"/>
        </w:rPr>
        <w:t>Cross-Domain Assistance</w:t>
      </w:r>
    </w:p>
    <w:p w14:paraId="70E13777" w14:textId="77777777" w:rsidR="00AF3D56" w:rsidRDefault="00000000">
      <w:pPr>
        <w:spacing w:after="120"/>
        <w:ind w:left="431"/>
        <w:jc w:val="both"/>
      </w:pPr>
      <w:r>
        <w:rPr>
          <w:rFonts w:ascii="Garamond" w:eastAsia="Garamond" w:hAnsi="Garamond" w:cs="Garamond"/>
          <w:color w:val="2A2A2A"/>
          <w:sz w:val="22"/>
          <w:szCs w:val="22"/>
        </w:rPr>
        <w:t xml:space="preserve">Either Consul may formally request that the other exercise specified authority within the other's domain in support of a need arising in the requesting Consul's domain. The request states the need, scope, and duration and is published to the NRS; the responding Consul determines whether and how to act within their own domain and publishes the response to the NRS. Neither Consul may compel the other. A request may specify a duration not to exceed 90 days; assistance may be renewed only by a fresh request and response, each published to the NRS. This section may provide only capability used in support of persons — including logistics, transport, materiel, technical, medical, disaster, and search-and-rescue capability. It may not provide capability used to compel, detain, or direct persons, to surveil, monitor, or collect intelligence on persons within the Republic, or to commandeer civilian resources; any such capability is available to the requesting Consul only under §1.19 or other express constitutional authority. Capability provided under this section operates under the responding Consul's command as to means and the requesting Consul's direction as to purpose and limits, and remains subject in full to Article I. A foreign invasion or comparable threat engaging both domains is governed by §2.14.a. A dispute arising under this section is resolved through the mechanism in §2.14.a.</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§2.15  </w:t>
      </w:r>
      <w:r>
        <w:rPr>
          <w:rFonts w:ascii="Garamond" w:eastAsia="Garamond" w:hAnsi="Garamond" w:cs="Garamond"/>
          <w:i/>
          <w:iCs/>
          <w:color w:val="1B2A4A"/>
          <w:sz w:val="22"/>
          <w:szCs w:val="22"/>
        </w:rPr>
        <w:t>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pPr>
        <w:spacing w:after="120"/>
        <w:ind w:left="431"/>
        <w:jc w:val="both"/>
      </w:pPr>
      <w:r>
        <w:rPr>
          <w:rFonts w:ascii="Garamond" w:eastAsia="Garamond" w:hAnsi="Garamond" w:cs="Garamond"/>
          <w:color w:val="2A2A2A"/>
          <w:sz w:val="22"/>
          <w:szCs w:val="22"/>
        </w:rPr>
        <w:t xml:space="preserve">(1) 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w:t>
      </w:r>
    </w:p>
    <w:p>
      <w:pPr>
        <w:spacing w:after="120"/>
        <w:ind w:left="431"/>
        <w:jc w:val="both"/>
      </w:pPr>
      <w:r>
        <w:rPr>
          <w:rFonts w:ascii="Garamond" w:eastAsia="Garamond" w:hAnsi="Garamond" w:cs="Garamond"/>
          <w:color w:val="2A2A2A"/>
          <w:sz w:val="22"/>
          <w:szCs w:val="22"/>
        </w:rPr>
        <w:t xml:space="preserve">(2) The census, conducted every ten years by a statutory independent agency, is the basis for reapportionment. The LM audits the census and allocation process.</w:t>
      </w:r>
    </w:p>
    <w:p>
      <w:pPr>
        <w:spacing w:after="120"/>
        <w:ind w:left="431"/>
        <w:jc w:val="both"/>
      </w:pPr>
      <w:r>
        <w:rPr>
          <w:rFonts w:ascii="Garamond" w:eastAsia="Garamond" w:hAnsi="Garamond" w:cs="Garamond"/>
          <w:color w:val="2A2A2A"/>
          <w:sz w:val="22"/>
          <w:szCs w:val="22"/>
        </w:rPr>
        <w:t xml:space="preserve">(3) The Assembly selects a Speaker from its own members by a method it establishes, provided the Speaker holds the support of a majority of full seated membership; the Speakership is a standing office, and its holder serves as Acting Civic Consul under §2.5 and §2.6.a. Quorum is a majority of full seated membership. The Assembly establishes its own internal procedures.</w:t>
      </w:r>
    </w:p>
    <w:p>
      <w:pPr>
        <w:spacing w:after="120"/>
        <w:ind w:left="431"/>
        <w:jc w:val="both"/>
      </w:pPr>
      <w:r>
        <w:rPr>
          <w:rFonts w:ascii="Garamond" w:eastAsia="Garamond" w:hAnsi="Garamond" w:cs="Garamond"/>
          <w:color w:val="2A2A2A"/>
          <w:sz w:val="22"/>
          <w:szCs w:val="22"/>
        </w:rPr>
        <w:t xml:space="preserve">(4) Members serve two-year terms. No member may serve more than six consecutive terms without sitting out one full electoral cycle; no cumulative lifetime restriction applies after the cooling-off period.</w:t>
      </w:r>
    </w:p>
    <w:p>
      <w:pPr>
        <w:spacing w:after="120"/>
        <w:ind w:left="431"/>
        <w:jc w:val="both"/>
      </w:pPr>
      <w:r>
        <w:rPr>
          <w:rFonts w:ascii="Garamond" w:eastAsia="Garamond" w:hAnsi="Garamond" w:cs="Garamond"/>
          <w:color w:val="2A2A2A"/>
          <w:sz w:val="22"/>
          <w:szCs w:val="22"/>
        </w:rPr>
        <w:t xml:space="preserve">(5) Any Assembly member who resigns, is expelled, or is removed by state recall at any point during a term shall be deemed to have served that full term for purposes of the consecutive-term limit.</w:t>
      </w:r>
    </w:p>
    <w:p>
      <w:pPr>
        <w:spacing w:after="120"/>
        <w:ind w:left="431"/>
        <w:jc w:val="both"/>
      </w:pPr>
      <w:r>
        <w:rPr>
          <w:rFonts w:ascii="Garamond" w:eastAsia="Garamond" w:hAnsi="Garamond" w:cs="Garamond"/>
          <w:color w:val="2A2A2A"/>
          <w:sz w:val="22"/>
          <w:szCs w:val="22"/>
        </w:rPr>
        <w:t xml:space="preserve">(6)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120"/>
        <w:ind w:left="431"/>
        <w:jc w:val="both"/>
      </w:pPr>
      <w:r>
        <w:rPr>
          <w:rFonts w:ascii="Garamond" w:eastAsia="Garamond" w:hAnsi="Garamond" w:cs="Garamond"/>
          <w:color w:val="2A2A2A"/>
          <w:sz w:val="22"/>
          <w:szCs w:val="22"/>
        </w:rPr>
        <w:t xml:space="preserve">(7) A State may establish by law a recall mechanism for its Assembly members;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w:t>
        <w:lastRenderedPageBreak/>
        <w:t>sanction and refer members; removal requires 2/3 of the relevant chamber; under §9.1, the chamber may request an EM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pPr>
        <w:spacing w:after="120"/>
        <w:ind w:left="431"/>
        <w:jc w:val="both"/>
      </w:pPr>
      <w:r>
        <w:rPr>
          <w:rFonts w:ascii="Garamond" w:eastAsia="Garamond" w:hAnsi="Garamond" w:cs="Garamond"/>
          <w:color w:val="2A2A2A"/>
          <w:sz w:val="22"/>
          <w:szCs w:val="22"/>
        </w:rPr>
        <w:t xml:space="preserve">(1) The Senate comprises two senators per State regardless of population, elected for six-year staggered terms.</w:t>
      </w:r>
    </w:p>
    <w:p>
      <w:pPr>
        <w:spacing w:after="120"/>
        <w:ind w:left="431"/>
        <w:jc w:val="both"/>
      </w:pPr>
      <w:r>
        <w:rPr>
          <w:rFonts w:ascii="Garamond" w:eastAsia="Garamond" w:hAnsi="Garamond" w:cs="Garamond"/>
          <w:color w:val="2A2A2A"/>
          <w:sz w:val="22"/>
          <w:szCs w:val="22"/>
        </w:rPr>
        <w:t xml:space="preserve">(2)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w:t>
      </w:r>
    </w:p>
    <w:p>
      <w:pPr>
        <w:spacing w:after="120"/>
        <w:ind w:left="431"/>
        <w:jc w:val="both"/>
      </w:pPr>
      <w:r>
        <w:rPr>
          <w:rFonts w:ascii="Garamond" w:eastAsia="Garamond" w:hAnsi="Garamond" w:cs="Garamond"/>
          <w:color w:val="2A2A2A"/>
          <w:sz w:val="22"/>
          <w:szCs w:val="22"/>
        </w:rPr>
        <w:t xml:space="preserve">(3) No senator may serve more than two consecutive terms without sitting out one full term; no cumulative lifetime restriction applies after the cooling-off period.</w:t>
      </w:r>
    </w:p>
    <w:p>
      <w:pPr>
        <w:spacing w:after="120"/>
        <w:ind w:left="431"/>
        <w:jc w:val="both"/>
      </w:pPr>
      <w:r>
        <w:rPr>
          <w:rFonts w:ascii="Garamond" w:eastAsia="Garamond" w:hAnsi="Garamond" w:cs="Garamond"/>
          <w:color w:val="2A2A2A"/>
          <w:sz w:val="22"/>
          <w:szCs w:val="22"/>
        </w:rPr>
        <w:t xml:space="preserve">(4) Any senator who resigns, is expelled, or is removed by state recall at any point during a term shall be deemed to have served that full term for purposes of the consecutive-term limit.</w:t>
      </w:r>
    </w:p>
    <w:p>
      <w:pPr>
        <w:spacing w:after="120"/>
        <w:ind w:left="431"/>
        <w:jc w:val="both"/>
      </w:pPr>
      <w:r>
        <w:rPr>
          <w:rFonts w:ascii="Garamond" w:eastAsia="Garamond" w:hAnsi="Garamond" w:cs="Garamond"/>
          <w:color w:val="2A2A2A"/>
          <w:sz w:val="22"/>
          <w:szCs w:val="22"/>
        </w:rPr>
        <w:t xml:space="preserve">(5) The Senate Speaker is elected by senators and may not serve more than two consecutive full Senate terms as Speaker without sitting out one full Senate term.</w:t>
      </w:r>
    </w:p>
    <w:p>
      <w:pPr>
        <w:spacing w:after="120"/>
        <w:ind w:left="431"/>
        <w:jc w:val="both"/>
      </w:pPr>
      <w:r>
        <w:rPr>
          <w:rFonts w:ascii="Garamond" w:eastAsia="Garamond" w:hAnsi="Garamond" w:cs="Garamond"/>
          <w:color w:val="2A2A2A"/>
          <w:sz w:val="22"/>
          <w:szCs w:val="22"/>
        </w:rPr>
        <w:t xml:space="preserve">(6) The Senate defines its own internal procedures. The Senate may expel a member by 2/3 vote of full seated membership; expulsion is published to the NRS and is effective immediately.</w:t>
      </w:r>
    </w:p>
    <w:p>
      <w:pPr>
        <w:spacing w:after="120"/>
        <w:ind w:left="431"/>
        <w:jc w:val="both"/>
      </w:pPr>
      <w:r>
        <w:rPr>
          <w:rFonts w:ascii="Garamond" w:eastAsia="Garamond" w:hAnsi="Garamond" w:cs="Garamond"/>
          <w:color w:val="2A2A2A"/>
          <w:sz w:val="22"/>
          <w:szCs w:val="22"/>
        </w:rPr>
        <w:t xml:space="preserve">(7) A State may establish by law a recall mechanism for its senators;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w:t>
      </w:r>
    </w:p>
    <w:p>
      <w:pPr>
        <w:spacing w:after="120"/>
        <w:ind w:left="431"/>
        <w:jc w:val="both"/>
      </w:pPr>
      <w:r>
        <w:rPr>
          <w:rFonts w:ascii="Garamond" w:eastAsia="Garamond" w:hAnsi="Garamond" w:cs="Garamond"/>
          <w:color w:val="2A2A2A"/>
          <w:sz w:val="22"/>
          <w:szCs w:val="22"/>
        </w:rPr>
        <w:t xml:space="preserve">(8) The Senate holds exclusive authority over:</w:t>
      </w:r>
    </w:p>
    <w:p>
      <w:pPr>
        <w:spacing w:after="120"/>
        <w:ind w:left="720"/>
        <w:jc w:val="both"/>
      </w:pPr>
      <w:r>
        <w:rPr>
          <w:rFonts w:ascii="Garamond" w:eastAsia="Garamond" w:hAnsi="Garamond" w:cs="Garamond"/>
          <w:color w:val="2A2A2A"/>
          <w:sz w:val="22"/>
          <w:szCs w:val="22"/>
        </w:rPr>
        <w:t xml:space="preserve">— judicial confirmation;</w:t>
      </w:r>
    </w:p>
    <w:p>
      <w:pPr>
        <w:spacing w:after="120"/>
        <w:ind w:left="720"/>
        <w:jc w:val="both"/>
      </w:pPr>
      <w:r>
        <w:rPr>
          <w:rFonts w:ascii="Garamond" w:eastAsia="Garamond" w:hAnsi="Garamond" w:cs="Garamond"/>
          <w:color w:val="2A2A2A"/>
          <w:sz w:val="22"/>
          <w:szCs w:val="22"/>
        </w:rPr>
        <w:t xml:space="preserve">— treaty ratification by 2/3 of full seated membership;</w:t>
      </w:r>
    </w:p>
    <w:p>
      <w:pPr>
        <w:spacing w:after="120"/>
        <w:ind w:left="720"/>
        <w:jc w:val="both"/>
      </w:pPr>
      <w:r>
        <w:rPr>
          <w:rFonts w:ascii="Garamond" w:eastAsia="Garamond" w:hAnsi="Garamond" w:cs="Garamond"/>
          <w:color w:val="2A2A2A"/>
          <w:sz w:val="22"/>
          <w:szCs w:val="22"/>
        </w:rPr>
        <w:t xml:space="preserve">— and, in the absence of a functioning Elections Panel, administration of the consular election.</w:t>
      </w:r>
    </w:p>
    <w:p>
      <w:pPr>
        <w:spacing w:after="120"/>
        <w:ind w:left="431"/>
        <w:jc w:val="both"/>
      </w:pPr>
      <w:r>
        <w:rPr>
          <w:rFonts w:ascii="Garamond" w:eastAsia="Garamond" w:hAnsi="Garamond" w:cs="Garamond"/>
          <w:color w:val="2A2A2A"/>
          <w:sz w:val="22"/>
          <w:szCs w:val="22"/>
        </w:rPr>
        <w:t xml:space="preserve">(9)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§3.8  </w:t>
      </w:r>
      <w:r>
        <w:rPr>
          <w:rFonts w:ascii="Garamond" w:eastAsia="Garamond" w:hAnsi="Garamond" w:cs="Garamond"/>
          <w:i/>
          <w:iCs/>
          <w:color w:val="1B2A4A"/>
          <w:sz w:val="22"/>
          <w:szCs w:val="22"/>
        </w:rPr>
        <w:t>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Removal Pathways</w:t>
      </w:r>
    </w:p>
    <w:p w:rsidR="00AF3D56" w:rsidRDefault="00000000">
      <w:pPr>
        <w:spacing w:after="120"/>
        <w:ind w:left="431"/>
        <w:jc w:val="both"/>
      </w:pPr>
      <w:r>
        <w:rPr>
          <w:rFonts w:ascii="Garamond" w:eastAsia="Garamond" w:hAnsi="Garamond" w:cs="Garamond"/>
          <w:color w:val="2A2A2A"/>
          <w:sz w:val="22"/>
          <w:szCs w:val="22"/>
        </w:rPr>
        <w:t>Removal of constitutional officers proceeds exclusively as this Constitution provides: the Legat Consul under §2.13; the Civic Consul under §2.6; Supreme Court justices under §4.3.a; inferior court judges under §4.2; members of the Legislature by their own chamber under §3.2 or §3.5, or by State recall as recognized there; Legat Consul domain officers by the Senate under §2.4; ministers at the pleasure of the Civic Consul under §2.5; and constitutionally confirmed independent officers under §9.9. Criminal liability remains separately pursuable. No removal mechanism not provided for in this Constitution may be created by statute.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removal under the provisions enumerated in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disqualifying offense is a ground for the removal of a person already holding office under the provisions that reference it; it does not govern eligibility to seek or hold federal office, which is governed exclusively by §7.4. A pardon granted under §2.12 does not clear the offense's status as a disqualifying offense unless the pardoning instrument expressly states that this status is cleared and the EM publishes to the NRS that the pardoning instrument expressly so states. Where a conviction is </w:t>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pPr>
        <w:spacing w:after="120"/>
        <w:ind w:left="431"/>
        <w:jc w:val="both"/>
      </w:pPr>
      <w:r>
        <w:rPr>
          <w:rFonts w:ascii="Garamond" w:eastAsia="Garamond" w:hAnsi="Garamond" w:cs="Garamond"/>
          <w:color w:val="2A2A2A"/>
          <w:sz w:val="22"/>
          <w:szCs w:val="22"/>
        </w:rPr>
        <w:t xml:space="preserve">(1) Any citizen meeting the eligibility criteria established in §9.4.a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w:t>
      </w:r>
    </w:p>
    <w:p>
      <w:pPr>
        <w:spacing w:after="120"/>
        <w:ind w:left="431"/>
        <w:jc w:val="both"/>
      </w:pPr>
      <w:r>
        <w:rPr>
          <w:rFonts w:ascii="Garamond" w:eastAsia="Garamond" w:hAnsi="Garamond" w:cs="Garamond"/>
          <w:color w:val="2A2A2A"/>
          <w:sz w:val="22"/>
          <w:szCs w:val="22"/>
        </w:rPr>
        <w:t xml:space="preserve">(2) The Civic Consul nominates inferior court judges from the Judicial Pool maintained by the Elections Panel under §9.8. The Civic Consul must nominate within the period defined by statute following a vacancy, not to exceed 90 days where no statutory period has been defined. The Senate confirms by 2/3.</w:t>
      </w:r>
    </w:p>
    <w:p>
      <w:pPr>
        <w:spacing w:after="120"/>
        <w:ind w:left="431"/>
        <w:jc w:val="both"/>
      </w:pPr>
      <w:r>
        <w:rPr>
          <w:rFonts w:ascii="Garamond" w:eastAsia="Garamond" w:hAnsi="Garamond" w:cs="Garamond"/>
          <w:color w:val="2A2A2A"/>
          <w:sz w:val="22"/>
          <w:szCs w:val="22"/>
        </w:rPr>
        <w:t xml:space="preserve">(3)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w:t>
      </w:r>
    </w:p>
    <w:p>
      <w:pPr>
        <w:spacing w:after="120"/>
        <w:ind w:left="431"/>
        <w:jc w:val="both"/>
      </w:pPr>
      <w:r>
        <w:rPr>
          <w:rFonts w:ascii="Garamond" w:eastAsia="Garamond" w:hAnsi="Garamond" w:cs="Garamond"/>
          <w:color w:val="2A2A2A"/>
          <w:sz w:val="22"/>
          <w:szCs w:val="22"/>
        </w:rPr>
        <w:t xml:space="preserve">(4) Judicial removal occurs through three tracks:</w:t>
      </w:r>
    </w:p>
    <w:p>
      <w:pPr>
        <w:spacing w:after="120"/>
        <w:ind w:left="720"/>
        <w:jc w:val="both"/>
      </w:pPr>
      <w:r>
        <w:rPr>
          <w:rFonts w:ascii="Garamond" w:eastAsia="Garamond" w:hAnsi="Garamond" w:cs="Garamond"/>
          <w:color w:val="2A2A2A"/>
          <w:sz w:val="22"/>
          <w:szCs w:val="22"/>
        </w:rPr>
        <w:t xml:space="preserve">— legislative removal by 2/3 of both chambers on grounds of constitutional breach or demonstrated incapacity; under §9.1, either chamber may request an EM assessment to inform the proceeding;</w:t>
      </w:r>
    </w:p>
    <w:p>
      <w:pPr>
        <w:spacing w:after="120"/>
        <w:ind w:left="720"/>
        <w:jc w:val="both"/>
      </w:pPr>
      <w:r>
        <w:rPr>
          <w:rFonts w:ascii="Garamond" w:eastAsia="Garamond" w:hAnsi="Garamond" w:cs="Garamond"/>
          <w:color w:val="2A2A2A"/>
          <w:sz w:val="22"/>
          <w:szCs w:val="22"/>
        </w:rPr>
        <w:t xml:space="preserve">— judicial discipline through a process established by statute under SC oversight;</w:t>
      </w:r>
    </w:p>
    <w:p>
      <w:pPr>
        <w:spacing w:after="120"/>
        <w:ind w:left="720"/>
        <w:jc w:val="both"/>
      </w:pPr>
      <w:r>
        <w:rPr>
          <w:rFonts w:ascii="Garamond" w:eastAsia="Garamond" w:hAnsi="Garamond" w:cs="Garamond"/>
          <w:color w:val="2A2A2A"/>
          <w:sz w:val="22"/>
          <w:szCs w:val="22"/>
        </w:rPr>
        <w:t xml:space="preserve">— or criminal conviction for a disqualifying offense.</w:t>
      </w:r>
    </w:p>
    <w:p>
      <w:pPr>
        <w:spacing w:after="120"/>
        <w:ind w:left="431"/>
        <w:jc w:val="both"/>
      </w:pPr>
      <w:r>
        <w:rPr>
          <w:rFonts w:ascii="Garamond" w:eastAsia="Garamond" w:hAnsi="Garamond" w:cs="Garamond"/>
          <w:color w:val="2A2A2A"/>
          <w:sz w:val="22"/>
          <w:szCs w:val="22"/>
        </w:rPr>
        <w:t xml:space="preserve">(5)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§4.3.a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pPr>
        <w:spacing w:after="120"/>
        <w:ind w:left="431"/>
        <w:jc w:val="both"/>
      </w:pPr>
      <w:r>
        <w:rPr>
          <w:rFonts w:ascii="Garamond" w:eastAsia="Garamond" w:hAnsi="Garamond" w:cs="Garamond"/>
          <w:color w:val="2A2A2A"/>
          <w:sz w:val="22"/>
          <w:szCs w:val="22"/>
        </w:rPr>
        <w:t xml:space="preserve">(1) SC justices are nominated by the Civic Consul from the Judicial Pool maintained by the Elections Panel under §9.8 — any pool member meeting the statutory qualifications for Supreme Court appointment is eligible for SC nomination.</w:t>
      </w:r>
    </w:p>
    <w:p>
      <w:pPr>
        <w:spacing w:after="120"/>
        <w:ind w:left="431"/>
        <w:jc w:val="both"/>
      </w:pPr>
      <w:r>
        <w:rPr>
          <w:rFonts w:ascii="Garamond" w:eastAsia="Garamond" w:hAnsi="Garamond" w:cs="Garamond"/>
          <w:color w:val="2A2A2A"/>
          <w:sz w:val="22"/>
          <w:szCs w:val="22"/>
        </w:rPr>
        <w:t xml:space="preserve">(2) The Civic Consul nominates within the period defined by statute following a vacancy (not to exceed 90 days for anticipated vacancies, 60 days for unanticipated vacancies).</w:t>
      </w:r>
    </w:p>
    <w:p>
      <w:pPr>
        <w:spacing w:after="120"/>
        <w:ind w:left="431"/>
        <w:jc w:val="both"/>
      </w:pPr>
      <w:r>
        <w:rPr>
          <w:rFonts w:ascii="Garamond" w:eastAsia="Garamond" w:hAnsi="Garamond" w:cs="Garamond"/>
          <w:color w:val="2A2A2A"/>
          <w:sz w:val="22"/>
          <w:szCs w:val="22"/>
        </w:rPr>
        <w:t xml:space="preserve">(3)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w:t>
      </w:r>
    </w:p>
    <w:p>
      <w:pPr>
        <w:spacing w:after="120"/>
        <w:ind w:left="431"/>
        <w:jc w:val="both"/>
      </w:pPr>
      <w:r>
        <w:rPr>
          <w:rFonts w:ascii="Garamond" w:eastAsia="Garamond" w:hAnsi="Garamond" w:cs="Garamond"/>
          <w:color w:val="2A2A2A"/>
          <w:sz w:val="22"/>
          <w:szCs w:val="22"/>
        </w:rPr>
        <w:t xml:space="preserve">(4) If the Senate declines, the Civic Consul nominates again within the period defined by statute. Where the Civic Consul fails to nominate within 30 days after the expiry of the applicable nomination period, the Senate may select a nominee directly from the Judicial Pool by 2/3 vote of full seated membership; a Senate selection under this provision requires no further Civic Consul nomination and proceeds directly to confirmation.</w:t>
      </w:r>
    </w:p>
    <w:p>
      <w:pPr>
        <w:spacing w:after="120"/>
        <w:ind w:left="431"/>
        <w:jc w:val="both"/>
      </w:pPr>
      <w:r>
        <w:rPr>
          <w:rFonts w:ascii="Garamond" w:eastAsia="Garamond" w:hAnsi="Garamond" w:cs="Garamond"/>
          <w:color w:val="2A2A2A"/>
          <w:sz w:val="22"/>
          <w:szCs w:val="22"/>
        </w:rPr>
        <w:t xml:space="preserve">(5) The confirmed justice serves a single non-renewable 12-year term from the date of confirmation. A mid-term replacement serves only the remainder of the original term.</w:t>
      </w:r>
    </w:p>
    <w:p>
      <w:pPr>
        <w:spacing w:after="120"/>
        <w:ind w:left="431"/>
        <w:jc w:val="both"/>
      </w:pPr>
      <w:r>
        <w:rPr>
          <w:rFonts w:ascii="Garamond" w:eastAsia="Garamond" w:hAnsi="Garamond" w:cs="Garamond"/>
          <w:color w:val="2A2A2A"/>
          <w:sz w:val="22"/>
          <w:szCs w:val="22"/>
        </w:rPr>
        <w:t xml:space="preserve">(6) At founding, the nine initial justices are confirmed simultaneously and assigned to their three classes by public lot.</w:t>
      </w:r>
    </w:p>
    <w:p>
      <w:pPr>
        <w:spacing w:after="120"/>
        <w:ind w:left="431"/>
        <w:jc w:val="both"/>
      </w:pPr>
      <w:r>
        <w:rPr>
          <w:rFonts w:ascii="Garamond" w:eastAsia="Garamond" w:hAnsi="Garamond" w:cs="Garamond"/>
          <w:color w:val="2A2A2A"/>
          <w:sz w:val="22"/>
          <w:szCs w:val="22"/>
        </w:rPr>
        <w:t xml:space="preserve">(7)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14:paraId="45C8A839" w14:textId="77777777" w:rsidR="00AF3D56" w:rsidRDefault="00000000">
      <w:pPr>
        <w:spacing w:after="120"/>
        <w:ind w:left="431"/>
        <w:jc w:val="both"/>
      </w:pPr>
      <w:r>
        <w:rPr>
          <w:rFonts w:ascii="Garamond" w:eastAsia="Garamond" w:hAnsi="Garamond" w:cs="Garamond"/>
          <w:color w:val="2A2A2A"/>
          <w:sz w:val="22"/>
          <w:szCs w:val="22"/>
        </w:rPr>
        <w:t>Where the Senate has failed to vote on a nomination within the period required under §4.4, the Civic Consul may — with 2/3 Assembly consent — place the serving Temporary Associate Justice on the next federal electoral period ballot for public confirmation. Confirmation requires 60% of votes cast under §7.3;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Judicial Review and Scope</w:t>
      </w:r>
    </w:p>
    <w:p>
      <w:pPr>
        <w:spacing w:after="120"/>
        <w:ind w:left="431"/>
        <w:jc w:val="both"/>
      </w:pPr>
      <w:r>
        <w:rPr>
          <w:rFonts w:ascii="Garamond" w:eastAsia="Garamond" w:hAnsi="Garamond" w:cs="Garamond"/>
          <w:color w:val="2A2A2A"/>
          <w:sz w:val="22"/>
          <w:szCs w:val="22"/>
        </w:rPr>
        <w:t xml:space="preserve">(1) 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w:t>
      </w:r>
    </w:p>
    <w:p>
      <w:pPr>
        <w:spacing w:after="120"/>
        <w:ind w:left="431"/>
        <w:jc w:val="both"/>
      </w:pPr>
      <w:r>
        <w:rPr>
          <w:rFonts w:ascii="Garamond" w:eastAsia="Garamond" w:hAnsi="Garamond" w:cs="Garamond"/>
          <w:color w:val="2A2A2A"/>
          <w:sz w:val="22"/>
          <w:szCs w:val="22"/>
        </w:rPr>
        <w:t xml:space="preserve">(2) Courts decide constitutional questions, not policy questions — Where a statute is ambiguous, courts apply the interpretation most consistent with this constitution. Courts may not rewrite clear statutory language.</w:t>
      </w:r>
    </w:p>
    <w:p>
      <w:pPr>
        <w:spacing w:after="120"/>
        <w:ind w:left="431"/>
        <w:jc w:val="both"/>
      </w:pPr>
      <w:r>
        <w:rPr>
          <w:rFonts w:ascii="Garamond" w:eastAsia="Garamond" w:hAnsi="Garamond" w:cs="Garamond"/>
          <w:color w:val="2A2A2A"/>
          <w:sz w:val="22"/>
          <w:szCs w:val="22"/>
        </w:rPr>
        <w:t xml:space="preserve">(3) Monitor findings published to the NRS are admissible and must be given due consideration; where a court's conclusions differ from a prior finding, the court must address the inconsistency in its written decision.</w:t>
      </w:r>
    </w:p>
    <w:p>
      <w:pPr>
        <w:spacing w:after="120"/>
        <w:ind w:left="431"/>
        <w:jc w:val="both"/>
      </w:pPr>
      <w:r>
        <w:rPr>
          <w:rFonts w:ascii="Garamond" w:eastAsia="Garamond" w:hAnsi="Garamond" w:cs="Garamond"/>
          <w:color w:val="2A2A2A"/>
          <w:sz w:val="22"/>
          <w:szCs w:val="22"/>
        </w:rPr>
        <w:t xml:space="preserve">(4) Any person with a concrete, articulable legal injury has the right to seek relief from a court of competent jurisdiction; the Legislature may not structure the judicial system in a manner that leaves any category of legal injury without a forum for relief.</w:t>
      </w:r>
    </w:p>
    <w:p>
      <w:pPr>
        <w:spacing w:after="120"/>
        <w:ind w:left="431"/>
        <w:jc w:val="both"/>
      </w:pPr>
      <w:r>
        <w:rPr>
          <w:rFonts w:ascii="Garamond" w:eastAsia="Garamond" w:hAnsi="Garamond" w:cs="Garamond"/>
          <w:color w:val="2A2A2A"/>
          <w:sz w:val="22"/>
          <w:szCs w:val="22"/>
        </w:rPr>
        <w:t xml:space="preserve">(5) The SC has original jurisdiction over:</w:t>
      </w:r>
    </w:p>
    <w:p>
      <w:pPr>
        <w:spacing w:after="120"/>
        <w:ind w:left="720"/>
        <w:jc w:val="both"/>
      </w:pPr>
      <w:r>
        <w:rPr>
          <w:rFonts w:ascii="Garamond" w:eastAsia="Garamond" w:hAnsi="Garamond" w:cs="Garamond"/>
          <w:color w:val="2A2A2A"/>
          <w:sz w:val="22"/>
          <w:szCs w:val="22"/>
        </w:rPr>
        <w:t xml:space="preserve">— constitutional disputes between States, between a State and the federal government, and constitutional challenges to federal statutes;</w:t>
      </w:r>
    </w:p>
    <w:p>
      <w:pPr>
        <w:spacing w:after="120"/>
        <w:ind w:left="720"/>
        <w:jc w:val="both"/>
      </w:pPr>
      <w:r>
        <w:rPr>
          <w:rFonts w:ascii="Garamond" w:eastAsia="Garamond" w:hAnsi="Garamond" w:cs="Garamond"/>
          <w:color w:val="2A2A2A"/>
          <w:sz w:val="22"/>
          <w:szCs w:val="22"/>
        </w:rPr>
        <w:t xml:space="preserve">— disputes between the Legat Consul and Civic Consul concerning their respective constitutional domains under §2.1;</w:t>
      </w:r>
    </w:p>
    <w:p>
      <w:pPr>
        <w:spacing w:after="120"/>
        <w:ind w:left="720"/>
        <w:jc w:val="both"/>
      </w:pPr>
      <w:r>
        <w:rPr>
          <w:rFonts w:ascii="Garamond" w:eastAsia="Garamond" w:hAnsi="Garamond" w:cs="Garamond"/>
          <w:color w:val="2A2A2A"/>
          <w:sz w:val="22"/>
          <w:szCs w:val="22"/>
        </w:rPr>
        <w:t xml:space="preserve">— constitutional challenges involving constitutionally independent institutions where their independence protections make inferior court review structurally inappropriate;</w:t>
      </w:r>
    </w:p>
    <w:p>
      <w:pPr>
        <w:spacing w:after="120"/>
        <w:ind w:left="720"/>
        <w:jc w:val="both"/>
      </w:pPr>
      <w:r>
        <w:rPr>
          <w:rFonts w:ascii="Garamond" w:eastAsia="Garamond" w:hAnsi="Garamond" w:cs="Garamond"/>
          <w:color w:val="2A2A2A"/>
          <w:sz w:val="22"/>
          <w:szCs w:val="22"/>
        </w:rPr>
        <w:t xml:space="preserve">— emergency rights claims brought directly under §16.2;</w:t>
      </w:r>
    </w:p>
    <w:p>
      <w:pPr>
        <w:spacing w:after="120"/>
        <w:ind w:left="720"/>
        <w:jc w:val="both"/>
      </w:pPr>
      <w:r>
        <w:rPr>
          <w:rFonts w:ascii="Garamond" w:eastAsia="Garamond" w:hAnsi="Garamond" w:cs="Garamond"/>
          <w:color w:val="2A2A2A"/>
          <w:sz w:val="22"/>
          <w:szCs w:val="22"/>
        </w:rPr>
        <w:t xml:space="preserve">— and disputes over the consistency of ratified amendments with entrenched provisions under §17.3.</w:t>
      </w:r>
    </w:p>
    <w:p>
      <w:pPr>
        <w:spacing w:after="120"/>
        <w:ind w:left="431"/>
        <w:jc w:val="both"/>
      </w:pPr>
      <w:r>
        <w:rPr>
          <w:rFonts w:ascii="Garamond" w:eastAsia="Garamond" w:hAnsi="Garamond" w:cs="Garamond"/>
          <w:color w:val="2A2A2A"/>
          <w:sz w:val="22"/>
          <w:szCs w:val="22"/>
        </w:rPr>
        <w:t xml:space="preserve">(6)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120"/>
        <w:ind w:left="431"/>
        <w:jc w:val="both"/>
      </w:pPr>
      <w:r>
        <w:rPr>
          <w:rFonts w:ascii="Garamond" w:eastAsia="Garamond" w:hAnsi="Garamond" w:cs="Garamond"/>
          <w:color w:val="2A2A2A"/>
          <w:sz w:val="22"/>
          <w:szCs w:val="22"/>
        </w:rPr>
        <w:t xml:space="preserve">(7)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w:t>
      </w:r>
    </w:p>
    <w:p>
      <w:pPr>
        <w:spacing w:after="120"/>
        <w:ind w:left="431"/>
        <w:jc w:val="both"/>
      </w:pPr>
      <w:r>
        <w:rPr>
          <w:rFonts w:ascii="Garamond" w:eastAsia="Garamond" w:hAnsi="Garamond" w:cs="Garamond"/>
          <w:color w:val="2A2A2A"/>
          <w:sz w:val="22"/>
          <w:szCs w:val="22"/>
        </w:rPr>
        <w:t xml:space="preserve">(8)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w:t>
      </w:r>
    </w:p>
    <w:p>
      <w:pPr>
        <w:spacing w:after="120"/>
        <w:ind w:left="431"/>
        <w:jc w:val="both"/>
      </w:pPr>
      <w:r>
        <w:rPr>
          <w:rFonts w:ascii="Garamond" w:eastAsia="Garamond" w:hAnsi="Garamond" w:cs="Garamond"/>
          <w:color w:val="2A2A2A"/>
          <w:sz w:val="22"/>
          <w:szCs w:val="22"/>
        </w:rPr>
        <w:t xml:space="preserve">(9)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Civic Consul must ministerially issue residency credentials; interference with credential issuance by either executive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pPr>
        <w:spacing w:after="120"/>
        <w:ind w:left="431"/>
        <w:jc w:val="both"/>
      </w:pPr>
      <w:r>
        <w:rPr>
          <w:rFonts w:ascii="Garamond" w:eastAsia="Garamond" w:hAnsi="Garamond" w:cs="Garamond"/>
          <w:color w:val="2A2A2A"/>
          <w:sz w:val="22"/>
          <w:szCs w:val="22"/>
        </w:rPr>
        <w:t xml:space="preserve">(1) Only the federal government may remove individuals from the Republic. Removal occurs only for violations of laws the Legislature has defined — executive detention without statutory basis is unlawful detention subject to habeas corpus.</w:t>
      </w:r>
    </w:p>
    <w:p>
      <w:pPr>
        <w:spacing w:after="120"/>
        <w:ind w:left="431"/>
        <w:jc w:val="both"/>
      </w:pPr>
      <w:r>
        <w:rPr>
          <w:rFonts w:ascii="Garamond" w:eastAsia="Garamond" w:hAnsi="Garamond" w:cs="Garamond"/>
          <w:color w:val="2A2A2A"/>
          <w:sz w:val="22"/>
          <w:szCs w:val="22"/>
        </w:rPr>
        <w:t xml:space="preserve">(2) Federal certification denials are judicially challengeable on three grounds:</w:t>
      </w:r>
    </w:p>
    <w:p>
      <w:pPr>
        <w:spacing w:after="120"/>
        <w:ind w:left="720"/>
        <w:jc w:val="both"/>
      </w:pPr>
      <w:r>
        <w:rPr>
          <w:rFonts w:ascii="Garamond" w:eastAsia="Garamond" w:hAnsi="Garamond" w:cs="Garamond"/>
          <w:color w:val="2A2A2A"/>
          <w:sz w:val="22"/>
          <w:szCs w:val="22"/>
        </w:rPr>
        <w:t xml:space="preserve">— criterion not established under the federal certification mandate;</w:t>
      </w:r>
    </w:p>
    <w:p>
      <w:pPr>
        <w:spacing w:after="120"/>
        <w:ind w:left="720"/>
        <w:jc w:val="both"/>
      </w:pPr>
      <w:r>
        <w:rPr>
          <w:rFonts w:ascii="Garamond" w:eastAsia="Garamond" w:hAnsi="Garamond" w:cs="Garamond"/>
          <w:color w:val="2A2A2A"/>
          <w:sz w:val="22"/>
          <w:szCs w:val="22"/>
        </w:rPr>
        <w:t xml:space="preserve">— discriminatory grounds contrary to §1.6;</w:t>
      </w:r>
    </w:p>
    <w:p>
      <w:pPr>
        <w:spacing w:after="120"/>
        <w:ind w:left="720"/>
        <w:jc w:val="both"/>
      </w:pPr>
      <w:r>
        <w:rPr>
          <w:rFonts w:ascii="Garamond" w:eastAsia="Garamond" w:hAnsi="Garamond" w:cs="Garamond"/>
          <w:color w:val="2A2A2A"/>
          <w:sz w:val="22"/>
          <w:szCs w:val="22"/>
        </w:rPr>
        <w:t xml:space="preserve">— or procedural violation affecting the outcome.</w:t>
      </w:r>
    </w:p>
    <w:p>
      <w:pPr>
        <w:spacing w:after="120"/>
        <w:ind w:left="431"/>
        <w:jc w:val="both"/>
      </w:pPr>
      <w:r>
        <w:rPr>
          <w:rFonts w:ascii="Garamond" w:eastAsia="Garamond" w:hAnsi="Garamond" w:cs="Garamond"/>
          <w:color w:val="2A2A2A"/>
          <w:sz w:val="22"/>
          <w:szCs w:val="22"/>
        </w:rPr>
        <w:t xml:space="preserve">(3)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w:t>
      </w:r>
    </w:p>
    <w:p>
      <w:pPr>
        <w:spacing w:after="120"/>
        <w:ind w:left="431"/>
        <w:jc w:val="both"/>
      </w:pPr>
      <w:r>
        <w:rPr>
          <w:rFonts w:ascii="Garamond" w:eastAsia="Garamond" w:hAnsi="Garamond" w:cs="Garamond"/>
          <w:color w:val="2A2A2A"/>
          <w:sz w:val="22"/>
          <w:szCs w:val="22"/>
        </w:rPr>
        <w:t xml:space="preserve">(4) Court decisions on State sponsorship challenges brought on §1.6 grounds are published to the NRS; personally identifying information of applicants who are not public figures as defined by statute is protected consistent with §1.7.</w:t>
      </w:r>
    </w:p>
    <w:p>
      <w:pPr>
        <w:spacing w:after="120"/>
        <w:ind w:left="431"/>
        <w:jc w:val="both"/>
      </w:pPr>
      <w:r>
        <w:rPr>
          <w:rFonts w:ascii="Garamond" w:eastAsia="Garamond" w:hAnsi="Garamond" w:cs="Garamond"/>
          <w:color w:val="2A2A2A"/>
          <w:sz w:val="22"/>
          <w:szCs w:val="22"/>
        </w:rPr>
        <w:t xml:space="preserve">(5)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w:t>
      </w:r>
    </w:p>
    <w:p>
      <w:pPr>
        <w:spacing w:after="120"/>
        <w:ind w:left="431"/>
        <w:jc w:val="both"/>
      </w:pPr>
      <w:r>
        <w:rPr>
          <w:rFonts w:ascii="Garamond" w:eastAsia="Garamond" w:hAnsi="Garamond" w:cs="Garamond"/>
          <w:color w:val="2A2A2A"/>
          <w:sz w:val="22"/>
          <w:szCs w:val="22"/>
        </w:rPr>
        <w:t xml:space="preserve">(6)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pPr>
        <w:spacing w:after="120"/>
        <w:ind w:left="431"/>
        <w:jc w:val="both"/>
      </w:pPr>
      <w:r>
        <w:rPr>
          <w:rFonts w:ascii="Garamond" w:eastAsia="Garamond" w:hAnsi="Garamond" w:cs="Garamond"/>
          <w:color w:val="2A2A2A"/>
          <w:sz w:val="22"/>
          <w:szCs w:val="22"/>
        </w:rPr>
        <w:t xml:space="preserve">(1) Asylum proceedings operate on a separate constitutional track from the dual-gate system. Any person who files an asylum claim under §1.21 is an Inhabitant from the date of filing — entitled to Article I protections and social state access.</w:t>
      </w:r>
    </w:p>
    <w:p>
      <w:pPr>
        <w:spacing w:after="120"/>
        <w:ind w:left="431"/>
        <w:jc w:val="both"/>
      </w:pPr>
      <w:r>
        <w:rPr>
          <w:rFonts w:ascii="Garamond" w:eastAsia="Garamond" w:hAnsi="Garamond" w:cs="Garamond"/>
          <w:color w:val="2A2A2A"/>
          <w:sz w:val="22"/>
          <w:szCs w:val="22"/>
        </w:rPr>
        <w:t xml:space="preserve">(2) Claims must be determined before any removal order takes effect. A claim filed solely to delay a final removal order may be expedited under procedures the Legislature defines, consistent with the right to a fair hearing.</w:t>
      </w:r>
    </w:p>
    <w:p>
      <w:pPr>
        <w:spacing w:after="120"/>
        <w:ind w:left="431"/>
        <w:jc w:val="both"/>
      </w:pPr>
      <w:r>
        <w:rPr>
          <w:rFonts w:ascii="Garamond" w:eastAsia="Garamond" w:hAnsi="Garamond" w:cs="Garamond"/>
          <w:color w:val="2A2A2A"/>
          <w:sz w:val="22"/>
          <w:szCs w:val="22"/>
        </w:rPr>
        <w:t xml:space="preserve">(3) Where the Asylum Court grants protection, the person receives federal residency credentials by operation of that grant; State sponsorship and federal certification are not required conditions.</w:t>
      </w:r>
    </w:p>
    <w:p>
      <w:pPr>
        <w:spacing w:after="120"/>
        <w:ind w:left="431"/>
        <w:jc w:val="both"/>
      </w:pPr>
      <w:r>
        <w:rPr>
          <w:rFonts w:ascii="Garamond" w:eastAsia="Garamond" w:hAnsi="Garamond" w:cs="Garamond"/>
          <w:color w:val="2A2A2A"/>
          <w:sz w:val="22"/>
          <w:szCs w:val="22"/>
        </w:rPr>
        <w:t xml:space="preserve">(4) The manner of entry does not affect the right to claim asylum or have that claim determined. No penalty arising solely from irregular entry may be imposed on a person whose claim is pending or has been granted.</w:t>
      </w:r>
    </w:p>
    <w:p>
      <w:pPr>
        <w:spacing w:after="120"/>
        <w:ind w:left="431"/>
        <w:jc w:val="both"/>
      </w:pPr>
      <w:r>
        <w:rPr>
          <w:rFonts w:ascii="Garamond" w:eastAsia="Garamond" w:hAnsi="Garamond" w:cs="Garamond"/>
          <w:color w:val="2A2A2A"/>
          <w:sz w:val="22"/>
          <w:szCs w:val="22"/>
        </w:rPr>
        <w:t xml:space="preserve">(5) Asylum proceedings must provide:</w:t>
      </w:r>
    </w:p>
    <w:p>
      <w:pPr>
        <w:spacing w:after="120"/>
        <w:ind w:left="720"/>
        <w:jc w:val="both"/>
      </w:pPr>
      <w:r>
        <w:rPr>
          <w:rFonts w:ascii="Garamond" w:eastAsia="Garamond" w:hAnsi="Garamond" w:cs="Garamond"/>
          <w:color w:val="2A2A2A"/>
          <w:sz w:val="22"/>
          <w:szCs w:val="22"/>
        </w:rPr>
        <w:t xml:space="preserve">— a qualified adjudicator,</w:t>
      </w:r>
    </w:p>
    <w:p>
      <w:pPr>
        <w:spacing w:after="120"/>
        <w:ind w:left="720"/>
        <w:jc w:val="both"/>
      </w:pPr>
      <w:r>
        <w:rPr>
          <w:rFonts w:ascii="Garamond" w:eastAsia="Garamond" w:hAnsi="Garamond" w:cs="Garamond"/>
          <w:color w:val="2A2A2A"/>
          <w:sz w:val="22"/>
          <w:szCs w:val="22"/>
        </w:rPr>
        <w:t xml:space="preserve">— interpreter access,</w:t>
      </w:r>
    </w:p>
    <w:p>
      <w:pPr>
        <w:spacing w:after="120"/>
        <w:ind w:left="720"/>
        <w:jc w:val="both"/>
      </w:pPr>
      <w:r>
        <w:rPr>
          <w:rFonts w:ascii="Garamond" w:eastAsia="Garamond" w:hAnsi="Garamond" w:cs="Garamond"/>
          <w:color w:val="2A2A2A"/>
          <w:sz w:val="22"/>
          <w:szCs w:val="22"/>
        </w:rPr>
        <w:t xml:space="preserve">— the right to present evidence and witnesses,</w:t>
      </w:r>
    </w:p>
    <w:p>
      <w:pPr>
        <w:spacing w:after="120"/>
        <w:ind w:left="720"/>
        <w:jc w:val="both"/>
      </w:pPr>
      <w:r>
        <w:rPr>
          <w:rFonts w:ascii="Garamond" w:eastAsia="Garamond" w:hAnsi="Garamond" w:cs="Garamond"/>
          <w:color w:val="2A2A2A"/>
          <w:sz w:val="22"/>
          <w:szCs w:val="22"/>
        </w:rPr>
        <w:t xml:space="preserve">— the right to legal representation with appointed counsel at public expense where the applicant cannot afford representation,</w:t>
      </w:r>
    </w:p>
    <w:p>
      <w:pPr>
        <w:spacing w:after="120"/>
        <w:ind w:left="720"/>
        <w:jc w:val="both"/>
      </w:pPr>
      <w:r>
        <w:rPr>
          <w:rFonts w:ascii="Garamond" w:eastAsia="Garamond" w:hAnsi="Garamond" w:cs="Garamond"/>
          <w:color w:val="2A2A2A"/>
          <w:sz w:val="22"/>
          <w:szCs w:val="22"/>
        </w:rPr>
        <w:t xml:space="preserve">— a written decision with grounds,</w:t>
      </w:r>
    </w:p>
    <w:p>
      <w:pPr>
        <w:spacing w:after="120"/>
        <w:ind w:left="720"/>
        <w:jc w:val="both"/>
      </w:pPr>
      <w:r>
        <w:rPr>
          <w:rFonts w:ascii="Garamond" w:eastAsia="Garamond" w:hAnsi="Garamond" w:cs="Garamond"/>
          <w:color w:val="2A2A2A"/>
          <w:sz w:val="22"/>
          <w:szCs w:val="22"/>
        </w:rPr>
        <w:t xml:space="preserve">— and a right of appeal — regardless of point of entry.</w:t>
      </w:r>
    </w:p>
    <w:p>
      <w:pPr>
        <w:spacing w:after="120"/>
        <w:ind w:left="431"/>
        <w:jc w:val="both"/>
      </w:pPr>
      <w:r>
        <w:rPr>
          <w:rFonts w:ascii="Garamond" w:eastAsia="Garamond" w:hAnsi="Garamond" w:cs="Garamond"/>
          <w:color w:val="2A2A2A"/>
          <w:sz w:val="22"/>
          <w:szCs w:val="22"/>
        </w:rPr>
        <w:t xml:space="preserve">The asylum proceedings statute must ensure accessibility to persons in Territories and geographically remote areas.</w:t>
      </w:r>
    </w:p>
    <w:p>
      <w:pPr>
        <w:spacing w:after="120"/>
        <w:ind w:left="431"/>
        <w:jc w:val="both"/>
      </w:pPr>
      <w:r>
        <w:rPr>
          <w:rFonts w:ascii="Garamond" w:eastAsia="Garamond" w:hAnsi="Garamond" w:cs="Garamond"/>
          <w:color w:val="2A2A2A"/>
          <w:sz w:val="22"/>
          <w:szCs w:val="22"/>
        </w:rPr>
        <w:t xml:space="preserve">(6)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120"/>
        <w:ind w:left="431"/>
        <w:jc w:val="both"/>
      </w:pPr>
      <w:r>
        <w:rPr>
          <w:rFonts w:ascii="Garamond" w:eastAsia="Garamond" w:hAnsi="Garamond" w:cs="Garamond"/>
          <w:color w:val="2A2A2A"/>
          <w:sz w:val="22"/>
          <w:szCs w:val="22"/>
        </w:rPr>
        <w:t xml:space="preserve">(7) An unaccompanied minor arriving in the Republic is an Inhabitant from the moment of contact and holds full §1.21 protection. A federal legal guardian must be appointed by the federal court with jurisdiction over the point of contact within 72 hours.</w:t>
      </w:r>
    </w:p>
    <w:p>
      <w:pPr>
        <w:spacing w:after="120"/>
        <w:ind w:left="431"/>
        <w:jc w:val="both"/>
      </w:pPr>
      <w:r>
        <w:rPr>
          <w:rFonts w:ascii="Garamond" w:eastAsia="Garamond" w:hAnsi="Garamond" w:cs="Garamond"/>
          <w:color w:val="2A2A2A"/>
          <w:sz w:val="22"/>
          <w:szCs w:val="22"/>
        </w:rPr>
        <w:t xml:space="preserve">(8)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§6.3.a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for detention beyond 5 years, an affirmative judicial finding at each subsequent review that no less restrictive alternative exists; absent that finding, the person is released to the statutory minimum-status conditions defined under this section.</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554BB3C4"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The Right to Vote</w:t>
      </w:r>
    </w:p>
    <w:p w14:paraId="543C528C"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Consular Election System</w:t>
      </w:r>
    </w:p>
    <w:p>
      <w:pPr>
        <w:spacing w:after="120"/>
        <w:ind w:left="431"/>
        <w:jc w:val="both"/>
      </w:pPr>
      <w:r>
        <w:rPr>
          <w:rFonts w:ascii="Garamond" w:eastAsia="Garamond" w:hAnsi="Garamond" w:cs="Garamond"/>
          <w:color w:val="2A2A2A"/>
          <w:sz w:val="22"/>
          <w:szCs w:val="22"/>
        </w:rPr>
        <w:t xml:space="preserve">(1) The Legat Consul is elected through two concurrent requirements: a national RCV majority and a State plurality qualification. A candidate wins outright by satisfying both.</w:t>
      </w:r>
    </w:p>
    <w:p>
      <w:pPr>
        <w:spacing w:after="120"/>
        <w:ind w:left="431"/>
        <w:jc w:val="both"/>
      </w:pPr>
      <w:r>
        <w:rPr>
          <w:rFonts w:ascii="Garamond" w:eastAsia="Garamond" w:hAnsi="Garamond" w:cs="Garamond"/>
          <w:color w:val="2A2A2A"/>
          <w:sz w:val="22"/>
          <w:szCs w:val="22"/>
        </w:rPr>
        <w:t xml:space="preserve">(2) Where a candidate's national RCV majority reaches or exceeds 60% of votes cast, the State plurality requirement is waived.</w:t>
      </w:r>
    </w:p>
    <w:p>
      <w:pPr>
        <w:spacing w:after="120"/>
        <w:ind w:left="431"/>
        <w:jc w:val="both"/>
      </w:pPr>
      <w:r>
        <w:rPr>
          <w:rFonts w:ascii="Garamond" w:eastAsia="Garamond" w:hAnsi="Garamond" w:cs="Garamond"/>
          <w:color w:val="2A2A2A"/>
          <w:sz w:val="22"/>
          <w:szCs w:val="22"/>
        </w:rPr>
        <w:t xml:space="preserve">(3)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w:t>
      </w:r>
    </w:p>
    <w:p>
      <w:pPr>
        <w:spacing w:after="120"/>
        <w:ind w:left="431"/>
        <w:jc w:val="both"/>
      </w:pPr>
      <w:r>
        <w:rPr>
          <w:rFonts w:ascii="Garamond" w:eastAsia="Garamond" w:hAnsi="Garamond" w:cs="Garamond"/>
          <w:color w:val="2A2A2A"/>
          <w:sz w:val="22"/>
          <w:szCs w:val="22"/>
        </w:rPr>
        <w:t xml:space="preserve">(4) Where the runoff itself produces a tied result, the Elections Panel determines the winner by lot in a public session; the result is published to the NRS and is final. The Elections Panel administers and certifies all consular elections.</w:t>
      </w:r>
    </w:p>
    <w:p>
      <w:pPr>
        <w:spacing w:after="120"/>
        <w:ind w:left="431"/>
        <w:jc w:val="both"/>
      </w:pPr>
      <w:r>
        <w:rPr>
          <w:rFonts w:ascii="Garamond" w:eastAsia="Garamond" w:hAnsi="Garamond" w:cs="Garamond"/>
          <w:color w:val="2A2A2A"/>
          <w:sz w:val="22"/>
          <w:szCs w:val="22"/>
        </w:rPr>
        <w:t xml:space="preserve">(5) Territory citizens vote in consular elections and their votes count in the national RCV total; Territories are not included in the State plurality calculation.</w:t>
      </w:r>
    </w:p>
    <w:p>
      <w:pPr>
        <w:spacing w:after="120"/>
        <w:ind w:left="431"/>
        <w:jc w:val="both"/>
      </w:pPr>
      <w:r>
        <w:rPr>
          <w:rFonts w:ascii="Garamond" w:eastAsia="Garamond" w:hAnsi="Garamond" w:cs="Garamond"/>
          <w:color w:val="2A2A2A"/>
          <w:sz w:val="22"/>
          <w:szCs w:val="22"/>
        </w:rPr>
        <w:t xml:space="preserve">(6) A candidate satisfies the State plurality requirement by receiving more first-preference votes than any other candidate in a majority of the Republic's States. The Elections Panel certifies State-by-State first-preference results as part of overall election certification.</w:t>
      </w:r>
    </w:p>
    <w:p>
      <w:pPr>
        <w:spacing w:after="120"/>
        <w:ind w:left="431"/>
        <w:jc w:val="both"/>
      </w:pPr>
      <w:r>
        <w:rPr>
          <w:rFonts w:ascii="Garamond" w:eastAsia="Garamond" w:hAnsi="Garamond" w:cs="Garamond"/>
          <w:color w:val="2A2A2A"/>
          <w:sz w:val="22"/>
          <w:szCs w:val="22"/>
        </w:rPr>
        <w:t xml:space="preserve">(7)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Federal Elections</w:t>
      </w:r>
    </w:p>
    <w:p>
      <w:pPr>
        <w:spacing w:after="120"/>
        <w:ind w:left="431"/>
        <w:jc w:val="both"/>
      </w:pPr>
      <w:r>
        <w:rPr>
          <w:rFonts w:ascii="Garamond" w:eastAsia="Garamond" w:hAnsi="Garamond" w:cs="Garamond"/>
          <w:color w:val="2A2A2A"/>
          <w:sz w:val="22"/>
          <w:szCs w:val="22"/>
        </w:rPr>
        <w:t xml:space="preserve">(1) Federal elections are held at regular intervals: Assembly elections every two years; Senate elections on the staggered six-year cycle; Consular elections every six years.</w:t>
      </w:r>
    </w:p>
    <w:p>
      <w:pPr>
        <w:spacing w:after="120"/>
        <w:ind w:left="431"/>
        <w:jc w:val="both"/>
      </w:pPr>
      <w:r>
        <w:rPr>
          <w:rFonts w:ascii="Garamond" w:eastAsia="Garamond" w:hAnsi="Garamond" w:cs="Garamond"/>
          <w:color w:val="2A2A2A"/>
          <w:sz w:val="22"/>
          <w:szCs w:val="22"/>
        </w:rPr>
        <w:t xml:space="preserve">(2) All federal elections use Ranked Choice Voting — majority required, not plurality; Consular elections use RCV within the framework of §7.1, which adds the State plurality requirement.</w:t>
      </w:r>
    </w:p>
    <w:p>
      <w:pPr>
        <w:spacing w:after="120"/>
        <w:ind w:left="431"/>
        <w:jc w:val="both"/>
      </w:pPr>
      <w:r>
        <w:rPr>
          <w:rFonts w:ascii="Garamond" w:eastAsia="Garamond" w:hAnsi="Garamond" w:cs="Garamond"/>
          <w:color w:val="2A2A2A"/>
          <w:sz w:val="22"/>
          <w:szCs w:val="22"/>
        </w:rPr>
        <w:t xml:space="preserve">(3) The Legislature defines by statute the specific timing, duration, and structure of the federal electoral period within these constitutional floors.</w:t>
      </w:r>
    </w:p>
    <w:p>
      <w:pPr>
        <w:spacing w:after="120"/>
        <w:ind w:left="431"/>
        <w:jc w:val="both"/>
      </w:pPr>
      <w:r>
        <w:rPr>
          <w:rFonts w:ascii="Garamond" w:eastAsia="Garamond" w:hAnsi="Garamond" w:cs="Garamond"/>
          <w:color w:val="2A2A2A"/>
          <w:sz w:val="22"/>
          <w:szCs w:val="22"/>
        </w:rPr>
        <w:t xml:space="preserve">(4) Federal elections are administered by the States within standards established and enforced by the Elections Panel; all state election systems must connect to and operate through the National Voting System, free from executive interference.</w:t>
      </w:r>
    </w:p>
    <w:p>
      <w:pPr>
        <w:spacing w:after="120"/>
        <w:ind w:left="431"/>
        <w:jc w:val="both"/>
      </w:pPr>
      <w:r>
        <w:rPr>
          <w:rFonts w:ascii="Garamond" w:eastAsia="Garamond" w:hAnsi="Garamond" w:cs="Garamond"/>
          <w:color w:val="2A2A2A"/>
          <w:sz w:val="22"/>
          <w:szCs w:val="22"/>
        </w:rPr>
        <w:t xml:space="preserve">(5)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w:t>
      </w:r>
    </w:p>
    <w:p>
      <w:pPr>
        <w:spacing w:after="120"/>
        <w:ind w:left="431"/>
        <w:jc w:val="both"/>
      </w:pPr>
      <w:r>
        <w:rPr>
          <w:rFonts w:ascii="Garamond" w:eastAsia="Garamond" w:hAnsi="Garamond" w:cs="Garamond"/>
          <w:color w:val="2A2A2A"/>
          <w:sz w:val="22"/>
          <w:szCs w:val="22"/>
        </w:rPr>
        <w:t xml:space="preserve">(6)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§7.2.a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lastRenderedPageBreak/>
        <w:t>publishing the determination to the NRS; the mandates of sitting members extend automatically until certification of the postponed election.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 The Elections Panel publishes findings of violation of the prohibitions enumerated in this section to the NRS; the Legislature shall define sanctions for such violations by statute. This enforcement authority does not extend to the truthfulness or content of campaign communications, which remain subject only to private civil litigation as provided above.</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Funding for the system must be set at no less than the average total campaign expenditure recorded in the National Record System for that office — or, where no prior cycle exists, a comparable office — across the preceding election cycle.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treaty obligations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§9.8 from the JM Candidate Pool under §9.4. A Monitor General confirmed following an unscheduled vacancy serves only the remainder of the original term. No two Monitor General full terms may be scheduled to begin within 18 months of each other; service for the remainder of a predecessor's term does not commence a new term for the purposes of this spacing requirement.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pPr>
        <w:spacing w:after="120"/>
        <w:ind w:left="431"/>
        <w:jc w:val="both"/>
      </w:pPr>
      <w:r>
        <w:rPr>
          <w:rFonts w:ascii="Garamond" w:eastAsia="Garamond" w:hAnsi="Garamond" w:cs="Garamond"/>
          <w:color w:val="2A2A2A"/>
          <w:sz w:val="22"/>
          <w:szCs w:val="22"/>
        </w:rPr>
        <w:t xml:space="preserve">(1) 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w:t>
      </w:r>
    </w:p>
    <w:p>
      <w:pPr>
        <w:spacing w:after="120"/>
        <w:ind w:left="431"/>
        <w:jc w:val="both"/>
      </w:pPr>
      <w:r>
        <w:rPr>
          <w:rFonts w:ascii="Garamond" w:eastAsia="Garamond" w:hAnsi="Garamond" w:cs="Garamond"/>
          <w:color w:val="2A2A2A"/>
          <w:sz w:val="22"/>
          <w:szCs w:val="22"/>
        </w:rPr>
        <w:t xml:space="preserve">(2) The audit mandate is information-only; the lottery administration mandate is ministerial — the JM administers the process and certifies the result, but cannot influence the outcome.</w:t>
      </w:r>
    </w:p>
    <w:p>
      <w:pPr>
        <w:spacing w:after="120"/>
        <w:ind w:left="431"/>
        <w:jc w:val="both"/>
      </w:pPr>
      <w:r>
        <w:rPr>
          <w:rFonts w:ascii="Garamond" w:eastAsia="Garamond" w:hAnsi="Garamond" w:cs="Garamond"/>
          <w:color w:val="2A2A2A"/>
          <w:sz w:val="22"/>
          <w:szCs w:val="22"/>
        </w:rPr>
        <w:t xml:space="preserve">(3) Annual audit responsibilities include: court operations for scope compliance and independence; the Elections Panel for electoral integrity; SC independence; inferior court compliance with jurisdictional limits; and compliance under Article XIV, Article XIX, Article XVI treaty obligations, and Article XX compacts.</w:t>
      </w:r>
    </w:p>
    <w:p>
      <w:pPr>
        <w:spacing w:after="120"/>
        <w:ind w:left="431"/>
        <w:jc w:val="both"/>
      </w:pPr>
      <w:r>
        <w:rPr>
          <w:rFonts w:ascii="Garamond" w:eastAsia="Garamond" w:hAnsi="Garamond" w:cs="Garamond"/>
          <w:color w:val="2A2A2A"/>
          <w:sz w:val="22"/>
          <w:szCs w:val="22"/>
        </w:rPr>
        <w:t xml:space="preserve">(4) Any candidate removed from a ballot by the Elections Panel may appeal to the Appellate Court within 14 days; the Court reviews only whether eligibility criteria were correctly applied and must rule within 21 days.</w:t>
      </w:r>
    </w:p>
    <w:p>
      <w:pPr>
        <w:spacing w:after="120"/>
        <w:ind w:left="431"/>
        <w:jc w:val="both"/>
      </w:pPr>
      <w:r>
        <w:rPr>
          <w:rFonts w:ascii="Garamond" w:eastAsia="Garamond" w:hAnsi="Garamond" w:cs="Garamond"/>
          <w:color w:val="2A2A2A"/>
          <w:sz w:val="22"/>
          <w:szCs w:val="22"/>
        </w:rPr>
        <w:t xml:space="preserve">(5)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w:t>
      </w:r>
    </w:p>
    <w:p>
      <w:pPr>
        <w:spacing w:after="120"/>
        <w:ind w:left="431"/>
        <w:jc w:val="both"/>
      </w:pPr>
      <w:r>
        <w:rPr>
          <w:rFonts w:ascii="Garamond" w:eastAsia="Garamond" w:hAnsi="Garamond" w:cs="Garamond"/>
          <w:color w:val="2A2A2A"/>
          <w:sz w:val="22"/>
          <w:szCs w:val="22"/>
        </w:rPr>
        <w:t xml:space="preserve">(6) The JM holds no role in constituting or certifying its own candidate pool. The Elections Panel applies the eligibility criteria and enters qualifying applicants into the pool.</w:t>
      </w:r>
    </w:p>
    <w:p>
      <w:pPr>
        <w:spacing w:after="120"/>
        <w:ind w:left="431"/>
        <w:jc w:val="both"/>
      </w:pPr>
      <w:r>
        <w:rPr>
          <w:rFonts w:ascii="Garamond" w:eastAsia="Garamond" w:hAnsi="Garamond" w:cs="Garamond"/>
          <w:color w:val="2A2A2A"/>
          <w:sz w:val="22"/>
          <w:szCs w:val="22"/>
        </w:rPr>
        <w:t xml:space="preserve">(7) The LM's ongoing audit encompasses verification of judicial service records; the EM's ongoing audit encompasses financial disclosure review; both publish findings to the NRS.</w:t>
      </w:r>
    </w:p>
    <w:p>
      <w:pPr>
        <w:spacing w:after="120"/>
        <w:ind w:left="431"/>
        <w:jc w:val="both"/>
      </w:pPr>
      <w:r>
        <w:rPr>
          <w:rFonts w:ascii="Garamond" w:eastAsia="Garamond" w:hAnsi="Garamond" w:cs="Garamond"/>
          <w:color w:val="2A2A2A"/>
          <w:sz w:val="22"/>
          <w:szCs w:val="22"/>
        </w:rPr>
        <w:t xml:space="preserve">(8)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§9.4.a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§9.5  </w:t>
      </w:r>
      <w:r>
        <w:rPr>
          <w:rFonts w:ascii="Garamond" w:eastAsia="Garamond" w:hAnsi="Garamond" w:cs="Garamond"/>
          <w:i/>
          <w:iCs/>
          <w:color w:val="1B2A4A"/>
          <w:sz w:val="22"/>
          <w:szCs w:val="22"/>
        </w:rPr>
        <w:t>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6A6B7C01" w14:textId="77777777" w:rsidR="00AF3D56" w:rsidRDefault="00000000">
      <w:pPr>
        <w:spacing w:before="200" w:after="60"/>
        <w:ind w:left="431"/>
      </w:pPr>
      <w:r>
        <w:rPr>
          <w:rFonts w:ascii="Courier New" w:eastAsia="Courier New" w:hAnsi="Courier New" w:cs="Courier New"/>
          <w:b/>
          <w:bCs/>
          <w:color w:val="2A2A2A"/>
          <w:sz w:val="18"/>
          <w:szCs w:val="18"/>
        </w:rPr>
        <w:t xml:space="preserve">§9.5.a  </w:t>
      </w:r>
      <w:r>
        <w:rPr>
          <w:rFonts w:ascii="Garamond" w:eastAsia="Garamond" w:hAnsi="Garamond" w:cs="Garamond"/>
          <w:i/>
          <w:iCs/>
          <w:color w:val="1B2A4A"/>
          <w:sz w:val="22"/>
          <w:szCs w:val="22"/>
        </w:rPr>
        <w:t>Compliance Standards and Findings</w:t>
      </w:r>
    </w:p>
    <w:p w14:paraId="6A6B7C02" w14:textId="77777777" w:rsidR="00AF3D56" w:rsidRDefault="00000000">
      <w:pPr>
        <w:spacing w:after="120"/>
        <w:ind w:left="431"/>
        <w:jc w:val="both"/>
      </w:pPr>
      <w:r>
        <w:rPr>
          <w:rFonts w:ascii="Garamond" w:eastAsia="Garamond" w:hAnsi="Garamond" w:cs="Garamond"/>
          <w:color w:val="2A2A2A"/>
          <w:sz w:val="22"/>
          <w:szCs w:val="22"/>
        </w:rPr>
        <w:t>The JMC defines and publishes to the NRS the compliance standard for each category of audit — the criteria by which each aspect of a finding is determined Pass or Fail, evaluated separately rather than as a single whole-entity judgment. No Monitor may issue a Pass or Fail finding for a category of audit for which the JMC has not yet published a standard; the underlying audit function continues, but produces no Pass or Fail determination until a standard exists. The JMC may adopt a single standard or separate standards tailored to distinct categories of audit. For each standard, the JMC publishes both the criteria and the methodology by which the criteria were developed. Where more than one standard exists, every published finding identifies which standard was applied. Each Fail is reported to the body responsible for that aspect, which publishes its own account of the matter for the public record. A change to any standard takes effect only for findings arising after the change is published. This prospective-only protection applies equally to the adoption of a new category of standard for any audit subject with a finding already pending at the time of publication. Where the JMC cannot reach consensus, each Monitor General’s proposed standard and methodology are published individually under §9.7’s dissent procedure.</w:t>
      </w:r>
    </w:p>
    <w:p w14:paraId="1C2D3E01" w14:textId="77777777" w:rsidR="00AF3D56" w:rsidRDefault="00000000">
      <w:pPr>
        <w:spacing w:before="200" w:after="60"/>
        <w:ind w:left="431"/>
      </w:pPr>
      <w:r>
        <w:rPr>
          <w:rFonts w:ascii="Courier New" w:eastAsia="Courier New" w:hAnsi="Courier New" w:cs="Courier New"/>
          <w:b/>
          <w:bCs/>
          <w:color w:val="2A2A2A"/>
          <w:sz w:val="18"/>
          <w:szCs w:val="18"/>
        </w:rPr>
        <w:t xml:space="preserve">§9.5.b  </w:t>
      </w:r>
      <w:r>
        <w:rPr>
          <w:rFonts w:ascii="Garamond" w:eastAsia="Garamond" w:hAnsi="Garamond" w:cs="Garamond"/>
          <w:i/>
          <w:iCs/>
          <w:color w:val="1B2A4A"/>
          <w:sz w:val="22"/>
          <w:szCs w:val="22"/>
        </w:rPr>
        <w:t>Agency Accountability</w:t>
      </w:r>
    </w:p>
    <w:p w14:paraId="1C2D3E02" w14:textId="77777777" w:rsidR="00AF3D56" w:rsidRDefault="00000000">
      <w:pPr>
        <w:spacing w:after="120"/>
        <w:ind w:left="431"/>
        <w:jc w:val="both"/>
      </w:pPr>
      <w:r>
        <w:rPr>
          <w:rFonts w:ascii="Garamond" w:eastAsia="Garamond" w:hAnsi="Garamond" w:cs="Garamond"/>
          <w:color w:val="2A2A2A"/>
          <w:sz w:val="22"/>
          <w:szCs w:val="22"/>
        </w:rPr>
        <w:t>Every agency the Legislature establishes is bound both by whatever this constitution specifies for it and by whatever mandate the Legislature has assigned to it by statute. A Fail reported under §9.5.a does not substitute for the responsible body’s own independent obligation to act on matters within its operational control.</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§9.7  </w:t>
      </w:r>
      <w:r>
        <w:rPr>
          <w:rFonts w:ascii="Garamond" w:eastAsia="Garamond" w:hAnsi="Garamond" w:cs="Garamond"/>
          <w:i/>
          <w:iCs/>
          <w:color w:val="1B2A4A"/>
          <w:sz w:val="22"/>
          <w:szCs w:val="22"/>
        </w:rPr>
        <w:t>Joint Monitor Council</w:t>
      </w:r>
    </w:p>
    <w:p>
      <w:pPr>
        <w:spacing w:after="120"/>
        <w:ind w:left="431"/>
        <w:jc w:val="both"/>
      </w:pPr>
      <w:r>
        <w:rPr>
          <w:rFonts w:ascii="Garamond" w:eastAsia="Garamond" w:hAnsi="Garamond" w:cs="Garamond"/>
          <w:color w:val="2A2A2A"/>
          <w:sz w:val="22"/>
          <w:szCs w:val="22"/>
        </w:rPr>
        <w:t xml:space="preserve">(1) The three Monitor Generals jointly constitute the JMC as the standing coordination body for matters crossing Monitor jurisdictions.</w:t>
      </w:r>
    </w:p>
    <w:p>
      <w:pPr>
        <w:spacing w:after="120"/>
        <w:ind w:left="431"/>
        <w:jc w:val="both"/>
      </w:pPr>
      <w:r>
        <w:rPr>
          <w:rFonts w:ascii="Garamond" w:eastAsia="Garamond" w:hAnsi="Garamond" w:cs="Garamond"/>
          <w:color w:val="2A2A2A"/>
          <w:sz w:val="22"/>
          <w:szCs w:val="22"/>
        </w:rPr>
        <w:t xml:space="preserve">(2) The JMC formally houses all jointly administered constitutional functions — including lottery draws and selection processes throughout the constitution.</w:t>
      </w:r>
    </w:p>
    <w:p>
      <w:pPr>
        <w:spacing w:after="120"/>
        <w:ind w:left="431"/>
        <w:jc w:val="both"/>
      </w:pPr>
      <w:r>
        <w:rPr>
          <w:rFonts w:ascii="Garamond" w:eastAsia="Garamond" w:hAnsi="Garamond" w:cs="Garamond"/>
          <w:color w:val="2A2A2A"/>
          <w:sz w:val="22"/>
          <w:szCs w:val="22"/>
        </w:rPr>
        <w:t xml:space="preserve">(3) The chair of any joint session is the Monitor General whose domain covers the primary subject matter; where all domains are equally engaged, the chair rotates annually.</w:t>
      </w:r>
    </w:p>
    <w:p>
      <w:pPr>
        <w:spacing w:after="120"/>
        <w:ind w:left="431"/>
        <w:jc w:val="both"/>
      </w:pPr>
      <w:r>
        <w:rPr>
          <w:rFonts w:ascii="Garamond" w:eastAsia="Garamond" w:hAnsi="Garamond" w:cs="Garamond"/>
          <w:color w:val="2A2A2A"/>
          <w:sz w:val="22"/>
          <w:szCs w:val="22"/>
        </w:rPr>
        <w:t xml:space="preserve">(4)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w:t>
      </w:r>
    </w:p>
    <w:p>
      <w:pPr>
        <w:spacing w:after="120"/>
        <w:ind w:left="431"/>
        <w:jc w:val="both"/>
      </w:pPr>
      <w:r>
        <w:rPr>
          <w:rFonts w:ascii="Garamond" w:eastAsia="Garamond" w:hAnsi="Garamond" w:cs="Garamond"/>
          <w:color w:val="2A2A2A"/>
          <w:sz w:val="22"/>
          <w:szCs w:val="22"/>
        </w:rPr>
        <w:t xml:space="preserve">(5) Where the Monitor Generals cannot reach consensus on a joint matter, each publishes their individual assessment and the disagreement is noted in the permanent NRS record. Sustained non-participation by a single Monitor General is subject to the §9.7.a Institutional Compromise Protocol.</w:t>
      </w:r>
    </w:p>
    <w:p>
      <w:pPr>
        <w:spacing w:after="120"/>
        <w:ind w:left="431"/>
        <w:jc w:val="both"/>
      </w:pPr>
      <w:r>
        <w:rPr>
          <w:rFonts w:ascii="Garamond" w:eastAsia="Garamond" w:hAnsi="Garamond" w:cs="Garamond"/>
          <w:color w:val="2A2A2A"/>
          <w:sz w:val="22"/>
          <w:szCs w:val="22"/>
        </w:rPr>
        <w:t xml:space="preserve">(6)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w:t>
      </w:r>
    </w:p>
    <w:p>
      <w:pPr>
        <w:spacing w:after="120"/>
        <w:ind w:left="431"/>
        <w:jc w:val="both"/>
      </w:pPr>
      <w:r>
        <w:rPr>
          <w:rFonts w:ascii="Garamond" w:eastAsia="Garamond" w:hAnsi="Garamond" w:cs="Garamond"/>
          <w:color w:val="2A2A2A"/>
          <w:sz w:val="22"/>
          <w:szCs w:val="22"/>
        </w:rPr>
        <w:t xml:space="preserve">(7) The JMC has no authority to override the individual mandate of any Monitor. Where this Constitution assigns a function to the JMC, the JMC exercises that function collectively by majority vote of participating Monitor Generals and publishes its determinations to the NRS; a dissenting Monitor General's position is published alongside.</w:t>
      </w:r>
    </w:p>
    <w:p>
      <w:pPr>
        <w:spacing w:after="120"/>
        <w:ind w:left="431"/>
        <w:jc w:val="both"/>
      </w:pPr>
      <w:r>
        <w:rPr>
          <w:rFonts w:ascii="Garamond" w:eastAsia="Garamond" w:hAnsi="Garamond" w:cs="Garamond"/>
          <w:color w:val="2A2A2A"/>
          <w:sz w:val="22"/>
          <w:szCs w:val="22"/>
        </w:rPr>
        <w:t xml:space="preserve">(8) The JMC may delegate operational responsibility for any assigned function to one or more individual Monitor Generals without transferring constitutional accountability for the function; it may also coordinate resource allocation across Monitor offices as needed to fulfill assigned functions, provided no Monitor's capacity to fulfill their individual mandate is diminished.</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§9.7.a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§9.8  </w:t>
      </w:r>
      <w:r>
        <w:rPr>
          <w:rFonts w:ascii="Garamond" w:eastAsia="Garamond" w:hAnsi="Garamond" w:cs="Garamond"/>
          <w:i/>
          <w:iCs/>
          <w:color w:val="1B2A4A"/>
          <w:sz w:val="22"/>
          <w:szCs w:val="22"/>
        </w:rPr>
        <w:t>Constitutional Pool Framework</w:t>
      </w:r>
    </w:p>
    <w:p>
      <w:pPr>
        <w:spacing w:after="120"/>
        <w:ind w:left="431"/>
        <w:jc w:val="both"/>
      </w:pPr>
      <w:r>
        <w:rPr>
          <w:rFonts w:ascii="Garamond" w:eastAsia="Garamond" w:hAnsi="Garamond" w:cs="Garamond"/>
          <w:color w:val="2A2A2A"/>
          <w:sz w:val="22"/>
          <w:szCs w:val="22"/>
        </w:rPr>
        <w:t xml:space="preserve">(1) The Elections Panel maintains all constitutional candidate registries and pools, including the Judicial Pool, and administers public access to their records via the NRS.</w:t>
      </w:r>
    </w:p>
    <w:p>
      <w:pPr>
        <w:spacing w:after="120"/>
        <w:ind w:left="431"/>
        <w:jc w:val="both"/>
      </w:pPr>
      <w:r>
        <w:rPr>
          <w:rFonts w:ascii="Garamond" w:eastAsia="Garamond" w:hAnsi="Garamond" w:cs="Garamond"/>
          <w:color w:val="2A2A2A"/>
          <w:sz w:val="22"/>
          <w:szCs w:val="22"/>
        </w:rPr>
        <w:t xml:space="preserve">(2) Each pool is subject to ongoing Monitor audit; findings are published to the NRS.</w:t>
      </w:r>
    </w:p>
    <w:p>
      <w:pPr>
        <w:spacing w:after="120"/>
        <w:ind w:left="431"/>
        <w:jc w:val="both"/>
      </w:pPr>
      <w:r>
        <w:rPr>
          <w:rFonts w:ascii="Garamond" w:eastAsia="Garamond" w:hAnsi="Garamond" w:cs="Garamond"/>
          <w:color w:val="2A2A2A"/>
          <w:sz w:val="22"/>
          <w:szCs w:val="22"/>
        </w:rPr>
        <w:t xml:space="preserve">(3) Lottery draws are conducted by the JMC in a public session and published to the NRS.</w:t>
      </w:r>
    </w:p>
    <w:p>
      <w:pPr>
        <w:spacing w:after="120"/>
        <w:ind w:left="431"/>
        <w:jc w:val="both"/>
      </w:pPr>
      <w:r>
        <w:rPr>
          <w:rFonts w:ascii="Garamond" w:eastAsia="Garamond" w:hAnsi="Garamond" w:cs="Garamond"/>
          <w:color w:val="2A2A2A"/>
          <w:sz w:val="22"/>
          <w:szCs w:val="22"/>
        </w:rPr>
        <w:t xml:space="preserve">(4) The constitutional minimum for all pools is five eligible members; where a pool falls below five, the JM publishes a compliance breach and the relevant nominating bodies must act to restore the minimum within the period defined by statute.</w:t>
      </w:r>
    </w:p>
    <w:p>
      <w:pPr>
        <w:spacing w:after="120"/>
        <w:ind w:left="431"/>
        <w:jc w:val="both"/>
      </w:pPr>
      <w:r>
        <w:rPr>
          <w:rFonts w:ascii="Garamond" w:eastAsia="Garamond" w:hAnsi="Garamond" w:cs="Garamond"/>
          <w:color w:val="2A2A2A"/>
          <w:sz w:val="22"/>
          <w:szCs w:val="22"/>
        </w:rPr>
        <w:t xml:space="preserve">(5) Where a pool reaches zero before an acting designation is made, the most senior sitting State court judge by continuous service on a court of record who accepts the designation serves as Acting officer until the pool is restored; where two or more judges have equal continuous service, the oldest by age is designated first; a designee may not exercise State judicial functions while serving, and their State office is otherwise unaffected; this fallback applies only to judicial and Monitor pools.</w:t>
      </w:r>
    </w:p>
    <w:p>
      <w:pPr>
        <w:spacing w:after="120"/>
        <w:ind w:left="431"/>
        <w:jc w:val="both"/>
      </w:pPr>
      <w:r>
        <w:rPr>
          <w:rFonts w:ascii="Garamond" w:eastAsia="Garamond" w:hAnsi="Garamond" w:cs="Garamond"/>
          <w:color w:val="2A2A2A"/>
          <w:sz w:val="22"/>
          <w:szCs w:val="22"/>
        </w:rPr>
        <w:t xml:space="preserve">(6)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w:t>
      </w:r>
    </w:p>
    <w:p>
      <w:pPr>
        <w:spacing w:after="120"/>
        <w:ind w:left="431"/>
        <w:jc w:val="both"/>
      </w:pPr>
      <w:r>
        <w:rPr>
          <w:rFonts w:ascii="Garamond" w:eastAsia="Garamond" w:hAnsi="Garamond" w:cs="Garamond"/>
          <w:color w:val="2A2A2A"/>
          <w:sz w:val="22"/>
          <w:szCs w:val="22"/>
        </w:rPr>
        <w:t xml:space="preserve">(7) Where an applicant is excluded or removed, the administering body must publish the specific grounds to the NRS within 14 days; the applicant may appeal to the SC within 14 days of that publication on the sole ground that the eligibility criteria were misapplied.</w:t>
      </w:r>
    </w:p>
    <w:p>
      <w:pPr>
        <w:spacing w:after="120"/>
        <w:ind w:left="431"/>
        <w:jc w:val="both"/>
      </w:pPr>
      <w:r>
        <w:rPr>
          <w:rFonts w:ascii="Garamond" w:eastAsia="Garamond" w:hAnsi="Garamond" w:cs="Garamond"/>
          <w:color w:val="2A2A2A"/>
          <w:sz w:val="22"/>
          <w:szCs w:val="22"/>
        </w:rPr>
        <w:t xml:space="preserve">(8)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§9.9  </w:t>
      </w:r>
      <w:r>
        <w:rPr>
          <w:rFonts w:ascii="Garamond" w:eastAsia="Garamond" w:hAnsi="Garamond" w:cs="Garamond"/>
          <w:i/>
          <w:iCs/>
          <w:color w:val="1B2A4A"/>
          <w:sz w:val="22"/>
          <w:szCs w:val="22"/>
        </w:rPr>
        <w:t>Constitutional Officer Removal — Standard Track</w:t>
      </w:r>
    </w:p>
    <w:p>
      <w:pPr>
        <w:spacing w:after="120"/>
        <w:ind w:left="431"/>
        <w:jc w:val="both"/>
      </w:pPr>
      <w:r>
        <w:rPr>
          <w:rFonts w:ascii="Garamond" w:eastAsia="Garamond" w:hAnsi="Garamond" w:cs="Garamond"/>
          <w:color w:val="2A2A2A"/>
          <w:sz w:val="22"/>
          <w:szCs w:val="22"/>
        </w:rPr>
        <w:t xml:space="preserve">(1) This section governs for-cause removal of all constitutionally confirmed independent officers except Supreme Court justices under §4.3.a and elected executives. Monitor Generals are subject to for-cause removal under this section.</w:t>
      </w:r>
    </w:p>
    <w:p>
      <w:pPr>
        <w:spacing w:after="120"/>
        <w:ind w:left="431"/>
        <w:jc w:val="both"/>
      </w:pPr>
      <w:r>
        <w:rPr>
          <w:rFonts w:ascii="Garamond" w:eastAsia="Garamond" w:hAnsi="Garamond" w:cs="Garamond"/>
          <w:color w:val="2A2A2A"/>
          <w:sz w:val="22"/>
          <w:szCs w:val="22"/>
        </w:rPr>
        <w:t xml:space="preserve">(2) A concurrent resolution of 1/3 of either chamber, or two of the three Monitors jointly, may initiate removal by filing stated grounds with the SC.</w:t>
      </w:r>
    </w:p>
    <w:p>
      <w:pPr>
        <w:spacing w:after="120"/>
        <w:ind w:left="431"/>
        <w:jc w:val="both"/>
      </w:pPr>
      <w:r>
        <w:rPr>
          <w:rFonts w:ascii="Garamond" w:eastAsia="Garamond" w:hAnsi="Garamond" w:cs="Garamond"/>
          <w:color w:val="2A2A2A"/>
          <w:sz w:val="22"/>
          <w:szCs w:val="22"/>
        </w:rPr>
        <w:t xml:space="preserve">(3) The SC determines within 14 days whether the stated grounds constitute at least one statutory removal category for the subject office; the SC reviews constitutional category only, not factual merits.</w:t>
      </w:r>
    </w:p>
    <w:p>
      <w:pPr>
        <w:spacing w:after="120"/>
        <w:ind w:left="431"/>
        <w:jc w:val="both"/>
      </w:pPr>
      <w:r>
        <w:rPr>
          <w:rFonts w:ascii="Garamond" w:eastAsia="Garamond" w:hAnsi="Garamond" w:cs="Garamond"/>
          <w:color w:val="2A2A2A"/>
          <w:sz w:val="22"/>
          <w:szCs w:val="22"/>
        </w:rPr>
        <w:t xml:space="preserve">(4) If grounds are confirmed, duty suspension activates immediately and removal requires a 2/3 concurrent vote of both chambers; no removal vote may be held within 180 days of a major national election without prior SC review within 48 hours.</w:t>
      </w:r>
    </w:p>
    <w:p>
      <w:pPr>
        <w:spacing w:after="120"/>
        <w:ind w:left="431"/>
        <w:jc w:val="both"/>
      </w:pPr>
      <w:r>
        <w:rPr>
          <w:rFonts w:ascii="Garamond" w:eastAsia="Garamond" w:hAnsi="Garamond" w:cs="Garamond"/>
          <w:color w:val="2A2A2A"/>
          <w:sz w:val="22"/>
          <w:szCs w:val="22"/>
        </w:rPr>
        <w:t xml:space="preserve">(5) If grounds are not confirmed, the process closes and may not be reinitiated on the same or substantially similar grounds within six months.</w:t>
      </w:r>
    </w:p>
    <w:p>
      <w:pPr>
        <w:spacing w:after="120"/>
        <w:ind w:left="431"/>
        <w:jc w:val="both"/>
      </w:pPr>
      <w:r>
        <w:rPr>
          <w:rFonts w:ascii="Garamond" w:eastAsia="Garamond" w:hAnsi="Garamond" w:cs="Garamond"/>
          <w:color w:val="2A2A2A"/>
          <w:sz w:val="22"/>
          <w:szCs w:val="22"/>
        </w:rPr>
        <w:t xml:space="preserve">(6)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applicable period, the removal proceeding lapses for that session and may be reinitiated under this section.</w:t>
      </w:r>
    </w:p>
    <w:p>
      <w:pPr>
        <w:spacing w:after="120"/>
        <w:ind w:left="431"/>
        <w:jc w:val="both"/>
      </w:pPr>
      <w:r>
        <w:rPr>
          <w:rFonts w:ascii="Garamond" w:eastAsia="Garamond" w:hAnsi="Garamond" w:cs="Garamond"/>
          <w:color w:val="2A2A2A"/>
          <w:sz w:val="22"/>
          <w:szCs w:val="22"/>
        </w:rPr>
        <w:t xml:space="preserve">(7)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pPr>
        <w:spacing w:after="120"/>
        <w:ind w:left="431"/>
        <w:jc w:val="both"/>
      </w:pPr>
      <w:r>
        <w:rPr>
          <w:rFonts w:ascii="Garamond" w:eastAsia="Garamond" w:hAnsi="Garamond" w:cs="Garamond"/>
          <w:color w:val="2A2A2A"/>
          <w:sz w:val="22"/>
          <w:szCs w:val="22"/>
        </w:rPr>
        <w:t xml:space="preserve">(1) The National Record System is the permanent, tamper-evident public record of the Republic — freely accessible to every Inhabitant at no cost.</w:t>
      </w:r>
    </w:p>
    <w:p>
      <w:pPr>
        <w:spacing w:after="120"/>
        <w:ind w:left="431"/>
        <w:jc w:val="both"/>
      </w:pPr>
      <w:r>
        <w:rPr>
          <w:rFonts w:ascii="Garamond" w:eastAsia="Garamond" w:hAnsi="Garamond" w:cs="Garamond"/>
          <w:color w:val="2A2A2A"/>
          <w:sz w:val="22"/>
          <w:szCs w:val="22"/>
        </w:rPr>
        <w:t xml:space="preserve">(2) Every constitutional act, order, finding, certification, designation, declaration, and determination made under this Constitution is published to the NRS as a permanent record; no provision need state this obligation individually.</w:t>
      </w:r>
    </w:p>
    <w:p>
      <w:pPr>
        <w:spacing w:after="120"/>
        <w:ind w:left="431"/>
        <w:jc w:val="both"/>
      </w:pPr>
      <w:r>
        <w:rPr>
          <w:rFonts w:ascii="Garamond" w:eastAsia="Garamond" w:hAnsi="Garamond" w:cs="Garamond"/>
          <w:color w:val="2A2A2A"/>
          <w:sz w:val="22"/>
          <w:szCs w:val="22"/>
        </w:rPr>
        <w:t xml:space="preserve">(3)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w:t>
      </w:r>
    </w:p>
    <w:p>
      <w:pPr>
        <w:spacing w:after="120"/>
        <w:ind w:left="431"/>
        <w:jc w:val="both"/>
      </w:pPr>
      <w:r>
        <w:rPr>
          <w:rFonts w:ascii="Garamond" w:eastAsia="Garamond" w:hAnsi="Garamond" w:cs="Garamond"/>
          <w:color w:val="2A2A2A"/>
          <w:sz w:val="22"/>
          <w:szCs w:val="22"/>
        </w:rPr>
        <w:t xml:space="preserve">(4) Where a specific publication timeline is provided it governs; otherwise publication occurs at or before the effective moment of the act.</w:t>
      </w:r>
    </w:p>
    <w:p>
      <w:pPr>
        <w:spacing w:after="120"/>
        <w:ind w:left="431"/>
        <w:jc w:val="both"/>
      </w:pPr>
      <w:r>
        <w:rPr>
          <w:rFonts w:ascii="Garamond" w:eastAsia="Garamond" w:hAnsi="Garamond" w:cs="Garamond"/>
          <w:color w:val="2A2A2A"/>
          <w:sz w:val="22"/>
          <w:szCs w:val="22"/>
        </w:rPr>
        <w:t xml:space="preserve">(5) Records may not be deleted, altered, or reclassified after publication; corrections are published as new entries alongside the original.</w:t>
      </w:r>
    </w:p>
    <w:p>
      <w:pPr>
        <w:spacing w:after="120"/>
        <w:ind w:left="431"/>
        <w:jc w:val="both"/>
      </w:pPr>
      <w:r>
        <w:rPr>
          <w:rFonts w:ascii="Garamond" w:eastAsia="Garamond" w:hAnsi="Garamond" w:cs="Garamond"/>
          <w:color w:val="2A2A2A"/>
          <w:sz w:val="22"/>
          <w:szCs w:val="22"/>
        </w:rPr>
        <w:t xml:space="preserve">(6)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w:t>
      </w:r>
    </w:p>
    <w:p>
      <w:pPr>
        <w:spacing w:after="120"/>
        <w:ind w:left="431"/>
        <w:jc w:val="both"/>
      </w:pPr>
      <w:r>
        <w:rPr>
          <w:rFonts w:ascii="Garamond" w:eastAsia="Garamond" w:hAnsi="Garamond" w:cs="Garamond"/>
          <w:color w:val="2A2A2A"/>
          <w:sz w:val="22"/>
          <w:szCs w:val="22"/>
        </w:rPr>
        <w:t xml:space="preserve">(7) Government acts take legal effect from the moment of issuance regardless of NRS status — the NRS is the record of government, not a condition of it.</w:t>
      </w:r>
    </w:p>
    <w:p>
      <w:pPr>
        <w:spacing w:after="120"/>
        <w:ind w:left="431"/>
        <w:jc w:val="both"/>
      </w:pPr>
      <w:r>
        <w:rPr>
          <w:rFonts w:ascii="Garamond" w:eastAsia="Garamond" w:hAnsi="Garamond" w:cs="Garamond"/>
          <w:color w:val="2A2A2A"/>
          <w:sz w:val="22"/>
          <w:szCs w:val="22"/>
        </w:rPr>
        <w:t xml:space="preserve">(8)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w:t>
      </w:r>
    </w:p>
    <w:p>
      <w:pPr>
        <w:spacing w:after="120"/>
        <w:ind w:left="431"/>
        <w:jc w:val="both"/>
      </w:pPr>
      <w:r>
        <w:rPr>
          <w:rFonts w:ascii="Garamond" w:eastAsia="Garamond" w:hAnsi="Garamond" w:cs="Garamond"/>
          <w:color w:val="2A2A2A"/>
          <w:sz w:val="22"/>
          <w:szCs w:val="22"/>
        </w:rPr>
        <w:t xml:space="preserve">(9)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§10.2  </w:t>
      </w:r>
      <w:r>
        <w:rPr>
          <w:rFonts w:ascii="Garamond" w:eastAsia="Garamond" w:hAnsi="Garamond" w:cs="Garamond"/>
          <w:i/>
          <w:iCs/>
          <w:color w:val="1B2A4A"/>
          <w:sz w:val="22"/>
          <w:szCs w:val="22"/>
        </w:rPr>
        <w:t>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pPr>
        <w:spacing w:after="120"/>
        <w:ind w:left="431"/>
        <w:jc w:val="both"/>
      </w:pPr>
      <w:r>
        <w:rPr>
          <w:rFonts w:ascii="Garamond" w:eastAsia="Garamond" w:hAnsi="Garamond" w:cs="Garamond"/>
          <w:color w:val="2A2A2A"/>
          <w:sz w:val="22"/>
          <w:szCs w:val="22"/>
        </w:rPr>
        <w:t xml:space="preserve">(1) Two constitutionally independent panels — the NRS Panel and the Elections Panel — operate the Republic's permanent record infrastructure and electoral systems respectively.</w:t>
      </w:r>
    </w:p>
    <w:p>
      <w:pPr>
        <w:spacing w:after="120"/>
        <w:ind w:left="431"/>
        <w:jc w:val="both"/>
      </w:pPr>
      <w:r>
        <w:rPr>
          <w:rFonts w:ascii="Garamond" w:eastAsia="Garamond" w:hAnsi="Garamond" w:cs="Garamond"/>
          <w:color w:val="2A2A2A"/>
          <w:sz w:val="22"/>
          <w:szCs w:val="22"/>
        </w:rPr>
        <w:t xml:space="preserve">(2) The NRS Panel operates the National Record System.</w:t>
      </w:r>
    </w:p>
    <w:p>
      <w:pPr>
        <w:spacing w:after="120"/>
        <w:ind w:left="431"/>
        <w:jc w:val="both"/>
      </w:pPr>
      <w:r>
        <w:rPr>
          <w:rFonts w:ascii="Garamond" w:eastAsia="Garamond" w:hAnsi="Garamond" w:cs="Garamond"/>
          <w:color w:val="2A2A2A"/>
          <w:sz w:val="22"/>
          <w:szCs w:val="22"/>
        </w:rPr>
        <w:t xml:space="preserve">(3)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w:t>
      </w:r>
    </w:p>
    <w:p>
      <w:pPr>
        <w:spacing w:after="120"/>
        <w:ind w:left="431"/>
        <w:jc w:val="both"/>
      </w:pPr>
      <w:r>
        <w:rPr>
          <w:rFonts w:ascii="Garamond" w:eastAsia="Garamond" w:hAnsi="Garamond" w:cs="Garamond"/>
          <w:color w:val="2A2A2A"/>
          <w:sz w:val="22"/>
          <w:szCs w:val="22"/>
        </w:rPr>
        <w:t xml:space="preserve">(4) Where the Elections Panel certifies a State's election system as non-compliant before an election, the Panel may withhold result certification for affected districts pending compliance or a special election under §7.2.a.</w:t>
      </w:r>
    </w:p>
    <w:p>
      <w:pPr>
        <w:spacing w:after="120"/>
        <w:ind w:left="431"/>
        <w:jc w:val="both"/>
      </w:pPr>
      <w:r>
        <w:rPr>
          <w:rFonts w:ascii="Garamond" w:eastAsia="Garamond" w:hAnsi="Garamond" w:cs="Garamond"/>
          <w:color w:val="2A2A2A"/>
          <w:sz w:val="22"/>
          <w:szCs w:val="22"/>
        </w:rPr>
        <w:t xml:space="preserve">(5) Each panel is operationally independent of the other, of both executives, and of the Legislature in the exercise of its functions.</w:t>
      </w:r>
    </w:p>
    <w:p>
      <w:pPr>
        <w:spacing w:after="120"/>
        <w:ind w:left="431"/>
        <w:jc w:val="both"/>
      </w:pPr>
      <w:r>
        <w:rPr>
          <w:rFonts w:ascii="Garamond" w:eastAsia="Garamond" w:hAnsi="Garamond" w:cs="Garamond"/>
          <w:color w:val="2A2A2A"/>
          <w:sz w:val="22"/>
          <w:szCs w:val="22"/>
        </w:rPr>
        <w:t xml:space="preserve">(6)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w:t>
      </w:r>
    </w:p>
    <w:p>
      <w:pPr>
        <w:spacing w:after="120"/>
        <w:ind w:left="431"/>
        <w:jc w:val="both"/>
      </w:pPr>
      <w:r>
        <w:rPr>
          <w:rFonts w:ascii="Garamond" w:eastAsia="Garamond" w:hAnsi="Garamond" w:cs="Garamond"/>
          <w:color w:val="2A2A2A"/>
          <w:sz w:val="22"/>
          <w:szCs w:val="22"/>
        </w:rPr>
        <w:t xml:space="preserve">(7) The Chair of each panel is its most senior member by continuous service; where two or more members have equal continuous service, the Chair is determined by lot conducted by the JMC.</w:t>
      </w:r>
    </w:p>
    <w:p>
      <w:pPr>
        <w:spacing w:after="120"/>
        <w:ind w:left="431"/>
        <w:jc w:val="both"/>
      </w:pPr>
      <w:r>
        <w:rPr>
          <w:rFonts w:ascii="Garamond" w:eastAsia="Garamond" w:hAnsi="Garamond" w:cs="Garamond"/>
          <w:color w:val="2A2A2A"/>
          <w:sz w:val="22"/>
          <w:szCs w:val="22"/>
        </w:rPr>
        <w:t xml:space="preserve">(8)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w:t>
      </w:r>
    </w:p>
    <w:p>
      <w:pPr>
        <w:spacing w:after="120"/>
        <w:ind w:left="431"/>
        <w:jc w:val="both"/>
      </w:pPr>
      <w:r>
        <w:rPr>
          <w:rFonts w:ascii="Garamond" w:eastAsia="Garamond" w:hAnsi="Garamond" w:cs="Garamond"/>
          <w:color w:val="2A2A2A"/>
          <w:sz w:val="22"/>
          <w:szCs w:val="22"/>
        </w:rPr>
        <w:t xml:space="preserve">(9)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lastRenderedPageBreak/>
        <w:t>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B1C2D01" w14:textId="77777777" w:rsidR="00AF3D56" w:rsidRDefault="00000000">
      <w:pPr>
        <w:spacing w:before="200" w:after="60"/>
        <w:ind w:left="431"/>
      </w:pPr>
      <w:r>
        <w:rPr>
          <w:rFonts w:ascii="Courier New" w:eastAsia="Courier New" w:hAnsi="Courier New" w:cs="Courier New"/>
          <w:b/>
          <w:bCs/>
          <w:color w:val="2A2A2A"/>
          <w:sz w:val="18"/>
          <w:szCs w:val="18"/>
        </w:rPr>
        <w:t xml:space="preserve">§12.1.b  </w:t>
      </w:r>
      <w:r>
        <w:rPr>
          <w:rFonts w:ascii="Garamond" w:eastAsia="Garamond" w:hAnsi="Garamond" w:cs="Garamond"/>
          <w:i/>
          <w:iCs/>
          <w:color w:val="1B2A4A"/>
          <w:sz w:val="22"/>
          <w:szCs w:val="22"/>
        </w:rPr>
        <w:t>Monetary Authority Reporting</w:t>
      </w:r>
    </w:p>
    <w:p w14:paraId="7B1C2D02" w14:textId="77777777" w:rsidR="00AF3D56" w:rsidRDefault="00000000">
      <w:pPr>
        <w:spacing w:after="120"/>
        <w:ind w:left="431"/>
        <w:jc w:val="both"/>
      </w:pPr>
      <w:r>
        <w:rPr>
          <w:rFonts w:ascii="Garamond" w:eastAsia="Garamond" w:hAnsi="Garamond" w:cs="Garamond"/>
          <w:color w:val="2A2A2A"/>
          <w:sz w:val="22"/>
          <w:szCs w:val="22"/>
        </w:rPr>
        <w:t>The Monetary Authority publishes a State of the Economy report to the Assembly, the Legat Consul, and the Civic Consul no less than semi-annually; the Legislature may by statute require a more frequent cycle. Each report includes the Monetary Authority’s account of relevant findings from the preceding period under §9.1.b and any applicable §9.5.a compliance findings. The Monetary Authority may publish additional reports at any time circumstances warrant, addressed to the same recipients. Where a Monitor publishes a Fail the publishing Monitor identifies as relevant to the Monetary Authority’s mandate, the Monetary Authority must, within 30 days, submit a report addressing the finding to the Assembly, the Legat Consul, and the Civic Consul, published to the NRS. Submission of that report discharges the Monetary Authority’s obligation under this provision; further action is a matter for the Legislature.</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pPr>
        <w:spacing w:after="120"/>
        <w:ind w:left="431"/>
        <w:jc w:val="both"/>
      </w:pPr>
      <w:r>
        <w:rPr>
          <w:rFonts w:ascii="Garamond" w:eastAsia="Garamond" w:hAnsi="Garamond" w:cs="Garamond"/>
          <w:color w:val="2A2A2A"/>
          <w:sz w:val="22"/>
          <w:szCs w:val="22"/>
        </w:rPr>
        <w:t xml:space="preserve">(1) 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w:t>
      </w:r>
    </w:p>
    <w:p>
      <w:pPr>
        <w:spacing w:after="120"/>
        <w:ind w:left="431"/>
        <w:jc w:val="both"/>
      </w:pPr>
      <w:r>
        <w:rPr>
          <w:rFonts w:ascii="Garamond" w:eastAsia="Garamond" w:hAnsi="Garamond" w:cs="Garamond"/>
          <w:color w:val="2A2A2A"/>
          <w:sz w:val="22"/>
          <w:szCs w:val="22"/>
        </w:rPr>
        <w:t xml:space="preserve">(2) The Assembly gives the Consuls' proposals due consideration in preparing the annual budget and is not bound by them.</w:t>
      </w:r>
    </w:p>
    <w:p>
      <w:pPr>
        <w:spacing w:after="120"/>
        <w:ind w:left="431"/>
        <w:jc w:val="both"/>
      </w:pPr>
      <w:r>
        <w:rPr>
          <w:rFonts w:ascii="Garamond" w:eastAsia="Garamond" w:hAnsi="Garamond" w:cs="Garamond"/>
          <w:color w:val="2A2A2A"/>
          <w:sz w:val="22"/>
          <w:szCs w:val="22"/>
        </w:rPr>
        <w:t xml:space="preserve">(3) A Consul's failure to submit a domain proposal does not delay or bar the budget process; the failure is published to the NRS and the Assembly proceeds.</w:t>
      </w:r>
    </w:p>
    <w:p>
      <w:pPr>
        <w:spacing w:after="120"/>
        <w:ind w:left="431"/>
        <w:jc w:val="both"/>
      </w:pPr>
      <w:r>
        <w:rPr>
          <w:rFonts w:ascii="Garamond" w:eastAsia="Garamond" w:hAnsi="Garamond" w:cs="Garamond"/>
          <w:color w:val="2A2A2A"/>
          <w:sz w:val="22"/>
          <w:szCs w:val="22"/>
        </w:rPr>
        <w:t xml:space="preserve">(4) The Legislature must pass a balanced budget or publish a structural deficit justification reviewed by the MA for fiscal accuracy.</w:t>
      </w:r>
    </w:p>
    <w:p>
      <w:pPr>
        <w:spacing w:after="120"/>
        <w:ind w:left="431"/>
        <w:jc w:val="both"/>
      </w:pPr>
      <w:r>
        <w:rPr>
          <w:rFonts w:ascii="Garamond" w:eastAsia="Garamond" w:hAnsi="Garamond" w:cs="Garamond"/>
          <w:color w:val="2A2A2A"/>
          <w:sz w:val="22"/>
          <w:szCs w:val="22"/>
        </w:rPr>
        <w:t xml:space="preserve">(5) Structural deficits above the threshold defined by the MA require a published plan for return to balance.</w:t>
      </w:r>
    </w:p>
    <w:p>
      <w:pPr>
        <w:spacing w:after="120"/>
        <w:ind w:left="431"/>
        <w:jc w:val="both"/>
      </w:pPr>
      <w:r>
        <w:rPr>
          <w:rFonts w:ascii="Garamond" w:eastAsia="Garamond" w:hAnsi="Garamond" w:cs="Garamond"/>
          <w:color w:val="2A2A2A"/>
          <w:sz w:val="22"/>
          <w:szCs w:val="22"/>
        </w:rPr>
        <w:t xml:space="preserve">(6) Where the Legislature fails to enact a budget by the constitutional deadline defined by statute, an interim automatic appropriation takes effect by constitutional operation covering:</w:t>
      </w:r>
    </w:p>
    <w:p>
      <w:pPr>
        <w:spacing w:after="120"/>
        <w:ind w:left="720"/>
        <w:jc w:val="both"/>
      </w:pPr>
      <w:r>
        <w:rPr>
          <w:rFonts w:ascii="Garamond" w:eastAsia="Garamond" w:hAnsi="Garamond" w:cs="Garamond"/>
          <w:color w:val="2A2A2A"/>
          <w:sz w:val="22"/>
          <w:szCs w:val="22"/>
        </w:rPr>
        <w:t xml:space="preserve">— judicial operations, active defense authorizations under §14.2, and social state continuity under §12.1;</w:t>
      </w:r>
    </w:p>
    <w:p>
      <w:pPr>
        <w:spacing w:after="120"/>
        <w:ind w:left="720"/>
        <w:jc w:val="both"/>
      </w:pPr>
      <w:r>
        <w:rPr>
          <w:rFonts w:ascii="Garamond" w:eastAsia="Garamond" w:hAnsi="Garamond" w:cs="Garamond"/>
          <w:color w:val="2A2A2A"/>
          <w:sz w:val="22"/>
          <w:szCs w:val="22"/>
        </w:rPr>
        <w:t xml:space="preserve">— civil service compensation;</w:t>
      </w:r>
    </w:p>
    <w:p>
      <w:pPr>
        <w:spacing w:after="120"/>
        <w:ind w:left="720"/>
        <w:jc w:val="both"/>
      </w:pPr>
      <w:r>
        <w:rPr>
          <w:rFonts w:ascii="Garamond" w:eastAsia="Garamond" w:hAnsi="Garamond" w:cs="Garamond"/>
          <w:color w:val="2A2A2A"/>
          <w:sz w:val="22"/>
          <w:szCs w:val="22"/>
        </w:rPr>
        <w:t xml:space="preserve">— and debt service obligations.</w:t>
      </w:r>
    </w:p>
    <w:p>
      <w:pPr>
        <w:spacing w:after="120"/>
        <w:ind w:left="431"/>
        <w:jc w:val="both"/>
      </w:pPr>
      <w:r>
        <w:rPr>
          <w:rFonts w:ascii="Garamond" w:eastAsia="Garamond" w:hAnsi="Garamond" w:cs="Garamond"/>
          <w:color w:val="2A2A2A"/>
          <w:sz w:val="22"/>
          <w:szCs w:val="22"/>
        </w:rPr>
        <w:t xml:space="preserve">(7) The interim appropriation continues at the prior fiscal year's inflation-adjusted level until a budget is enacted; no new programs may be initiated or expanded under the interim appropriation.</w:t>
      </w:r>
    </w:p>
    <w:p>
      <w:pPr>
        <w:spacing w:after="120"/>
        <w:ind w:left="431"/>
        <w:jc w:val="both"/>
      </w:pPr>
      <w:r>
        <w:rPr>
          <w:rFonts w:ascii="Garamond" w:eastAsia="Garamond" w:hAnsi="Garamond" w:cs="Garamond"/>
          <w:color w:val="2A2A2A"/>
          <w:sz w:val="22"/>
          <w:szCs w:val="22"/>
        </w:rPr>
        <w:t xml:space="preserve">(8)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federal body may impose a tax, duty, or levy of any kind. States, Territories, and local governments retain authority to tax within their own jurisdictions, subject to §12.7 and the non-discrimination requirements of §1.6.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pPr>
        <w:spacing w:after="120"/>
        <w:ind w:left="431"/>
        <w:jc w:val="both"/>
      </w:pPr>
      <w:r>
        <w:rPr>
          <w:rFonts w:ascii="Garamond" w:eastAsia="Garamond" w:hAnsi="Garamond" w:cs="Garamond"/>
          <w:color w:val="2A2A2A"/>
          <w:sz w:val="22"/>
          <w:szCs w:val="22"/>
        </w:rPr>
        <w:t xml:space="preserve">(1) A financial interest includes any holding, income source, liability, business relationship, or similar economic interest; a financial interest is disqualifying where it creates a direct and material conflict between an officer's personal economic interest and the impartial exercise of their official duties, with statute permitted to further specify categories and thresholds consistent with this standard.</w:t>
      </w:r>
    </w:p>
    <w:p>
      <w:pPr>
        <w:spacing w:after="120"/>
        <w:ind w:left="431"/>
        <w:jc w:val="both"/>
      </w:pPr>
      <w:r>
        <w:rPr>
          <w:rFonts w:ascii="Garamond" w:eastAsia="Garamond" w:hAnsi="Garamond" w:cs="Garamond"/>
          <w:color w:val="2A2A2A"/>
          <w:sz w:val="22"/>
          <w:szCs w:val="22"/>
        </w:rPr>
        <w:t xml:space="preserve">(2)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w:t>
      </w:r>
    </w:p>
    <w:p>
      <w:pPr>
        <w:spacing w:after="120"/>
        <w:ind w:left="431"/>
        <w:jc w:val="both"/>
      </w:pPr>
      <w:r>
        <w:rPr>
          <w:rFonts w:ascii="Garamond" w:eastAsia="Garamond" w:hAnsi="Garamond" w:cs="Garamond"/>
          <w:color w:val="2A2A2A"/>
          <w:sz w:val="22"/>
          <w:szCs w:val="22"/>
        </w:rPr>
        <w:t xml:space="preserve">(3) Candidates for a Monitor General's own candidate pool are audited for financial disclosure by the other two Monitors jointly rather than by the Monitor whose pool they would join, as provided in §9.3 and §9.4.</w:t>
      </w:r>
    </w:p>
    <w:p>
      <w:pPr>
        <w:spacing w:after="120"/>
        <w:ind w:left="431"/>
        <w:jc w:val="both"/>
      </w:pPr>
      <w:r>
        <w:rPr>
          <w:rFonts w:ascii="Garamond" w:eastAsia="Garamond" w:hAnsi="Garamond" w:cs="Garamond"/>
          <w:color w:val="2A2A2A"/>
          <w:sz w:val="22"/>
          <w:szCs w:val="22"/>
        </w:rPr>
        <w:t xml:space="preserve">(4) Any officer with a direct financial interest in a decision within their authority must recuse themselves; recusal is self-executing.</w:t>
      </w:r>
    </w:p>
    <w:p>
      <w:pPr>
        <w:spacing w:after="120"/>
        <w:ind w:left="431"/>
        <w:jc w:val="both"/>
      </w:pPr>
      <w:r>
        <w:rPr>
          <w:rFonts w:ascii="Garamond" w:eastAsia="Garamond" w:hAnsi="Garamond" w:cs="Garamond"/>
          <w:color w:val="2A2A2A"/>
          <w:sz w:val="22"/>
          <w:szCs w:val="22"/>
        </w:rPr>
        <w:t xml:space="preserve">(5) Any decision made without required recusal is voidable; the relevant chamber may void the decision by simple majority within 90 days of the conflict becoming a matter of public record on the NRS.</w:t>
      </w:r>
    </w:p>
    <w:p>
      <w:pPr>
        <w:spacing w:after="120"/>
        <w:ind w:left="431"/>
        <w:jc w:val="both"/>
      </w:pPr>
      <w:r>
        <w:rPr>
          <w:rFonts w:ascii="Garamond" w:eastAsia="Garamond" w:hAnsi="Garamond" w:cs="Garamond"/>
          <w:color w:val="2A2A2A"/>
          <w:sz w:val="22"/>
          <w:szCs w:val="22"/>
        </w:rPr>
        <w:t xml:space="preserve">(6)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w:t>
      </w:r>
    </w:p>
    <w:p>
      <w:pPr>
        <w:spacing w:after="120"/>
        <w:ind w:left="431"/>
        <w:jc w:val="both"/>
      </w:pPr>
      <w:r>
        <w:rPr>
          <w:rFonts w:ascii="Garamond" w:eastAsia="Garamond" w:hAnsi="Garamond" w:cs="Garamond"/>
          <w:color w:val="2A2A2A"/>
          <w:sz w:val="22"/>
          <w:szCs w:val="22"/>
        </w:rPr>
        <w:t xml:space="preserve">(7) Officers may not accept gifts above a de minimis threshold; all gifts above the threshold must be disclosed to their respective Monitor and deposited with the relevant treasury.</w:t>
      </w:r>
    </w:p>
    <w:p>
      <w:pPr>
        <w:spacing w:after="120"/>
        <w:ind w:left="431"/>
        <w:jc w:val="both"/>
      </w:pPr>
      <w:r>
        <w:rPr>
          <w:rFonts w:ascii="Garamond" w:eastAsia="Garamond" w:hAnsi="Garamond" w:cs="Garamond"/>
          <w:color w:val="2A2A2A"/>
          <w:sz w:val="22"/>
          <w:szCs w:val="22"/>
        </w:rPr>
        <w:t xml:space="preserve">(8) All records created in the exercise of official functions are public records and may not be retained, destroyed, or removed by departing officers.</w:t>
      </w:r>
    </w:p>
    <w:p>
      <w:pPr>
        <w:spacing w:after="120"/>
        <w:ind w:left="431"/>
        <w:jc w:val="both"/>
      </w:pPr>
      <w:r>
        <w:rPr>
          <w:rFonts w:ascii="Garamond" w:eastAsia="Garamond" w:hAnsi="Garamond" w:cs="Garamond"/>
          <w:color w:val="2A2A2A"/>
          <w:sz w:val="22"/>
          <w:szCs w:val="22"/>
        </w:rPr>
        <w:t xml:space="preserve">(9)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§9.9.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§9.9.</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 Where a certified Severe Revenue Contraction continues beyond 12 months, continued Endowment disbursement requires authorization by statute, enacted through the ordinary legislative process and renewed at intervals not to exceed 12 months for the duration of the contraction. Where authorization is not renewed, disbursements cease and any adequacy-standard reduction under §1.16 or §1.17 lapses with them. The Monetary Authority's certification of the contraction's end terminates disbursements and any such reduction regardless of authorization status.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publishes its response to the NRS within 90 days.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14:paraId="20757F55" w14:textId="77777777" w:rsidR="00AF3D56" w:rsidRDefault="00000000">
      <w:pPr>
        <w:spacing w:after="120"/>
        <w:ind w:left="431"/>
        <w:jc w:val="both"/>
      </w:pPr>
      <w:r>
        <w:rPr>
          <w:rFonts w:ascii="Garamond" w:eastAsia="Garamond" w:hAnsi="Garamond" w:cs="Garamond"/>
          <w:color w:val="2A2A2A"/>
          <w:sz w:val="22"/>
          <w:szCs w:val="22"/>
        </w:rPr>
        <w:t>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(§7.1); public confirmation of a Supreme Court justice under the Senate bypass mechanism (§4.4.a); public recall of the Legat Consul under §2.13; and the national independence referendum under §15.9.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Eligibility and Disclosure for Federal Office</w:t>
      </w:r>
    </w:p>
    <w:p>
      <w:pPr>
        <w:spacing w:after="120"/>
        <w:ind w:left="431"/>
        <w:jc w:val="both"/>
      </w:pPr>
      <w:r>
        <w:rPr>
          <w:rFonts w:ascii="Garamond" w:eastAsia="Garamond" w:hAnsi="Garamond" w:cs="Garamond"/>
          <w:color w:val="2A2A2A"/>
          <w:sz w:val="22"/>
          <w:szCs w:val="22"/>
        </w:rPr>
        <w:t xml:space="preserve">(1) Every candidate for federal office, and every person selected or elevated to a federal office without standing for election, shall disclose their criminal history on the official candidacy or acceptance filing, under penalty of perjury; the disclosure is published to the NRS and is available to voters and to any body that selects the officeholder.</w:t>
      </w:r>
    </w:p>
    <w:p>
      <w:pPr>
        <w:spacing w:after="120"/>
        <w:ind w:left="431"/>
        <w:jc w:val="both"/>
      </w:pPr>
      <w:r>
        <w:rPr>
          <w:rFonts w:ascii="Garamond" w:eastAsia="Garamond" w:hAnsi="Garamond" w:cs="Garamond"/>
          <w:color w:val="2A2A2A"/>
          <w:sz w:val="22"/>
          <w:szCs w:val="22"/>
        </w:rPr>
        <w:t xml:space="preserve">(2) A person who has made a current disclosure for one federal office satisfies this requirement for elevation to another so long as the disclosure remains accurate.</w:t>
      </w:r>
    </w:p>
    <w:p>
      <w:pPr>
        <w:spacing w:after="120"/>
        <w:ind w:left="431"/>
        <w:jc w:val="both"/>
      </w:pPr>
      <w:r>
        <w:rPr>
          <w:rFonts w:ascii="Garamond" w:eastAsia="Garamond" w:hAnsi="Garamond" w:cs="Garamond"/>
          <w:color w:val="2A2A2A"/>
          <w:sz w:val="22"/>
          <w:szCs w:val="22"/>
        </w:rPr>
        <w:t xml:space="preserve">(3) A false or incomplete disclosure is itself a federal offense.</w:t>
      </w:r>
    </w:p>
    <w:p>
      <w:pPr>
        <w:spacing w:after="120"/>
        <w:ind w:left="431"/>
        <w:jc w:val="both"/>
      </w:pPr>
      <w:r>
        <w:rPr>
          <w:rFonts w:ascii="Garamond" w:eastAsia="Garamond" w:hAnsi="Garamond" w:cs="Garamond"/>
          <w:color w:val="2A2A2A"/>
          <w:sz w:val="22"/>
          <w:szCs w:val="22"/>
        </w:rPr>
        <w:t xml:space="preserve">(4) No criminal conviction bars a person from federal office except as provided in this section; the weight of a disclosed history is for the voters, or for the selecting body, to judge.</w:t>
      </w:r>
    </w:p>
    <w:p>
      <w:pPr>
        <w:spacing w:after="120"/>
        <w:ind w:left="431"/>
        <w:jc w:val="both"/>
      </w:pPr>
      <w:r>
        <w:rPr>
          <w:rFonts w:ascii="Garamond" w:eastAsia="Garamond" w:hAnsi="Garamond" w:cs="Garamond"/>
          <w:color w:val="2A2A2A"/>
          <w:sz w:val="22"/>
          <w:szCs w:val="22"/>
        </w:rPr>
        <w:t xml:space="preserve">(5) A person convicted of insurrection against the Republic, rebellion against the Republic, treason against the Republic, or subversion of a federal election is barred from holding any federal office. These grounds are exhaustive; no other conviction bars a person from federal office, and any change to these grounds requires constitutional amendment.</w:t>
      </w:r>
    </w:p>
    <w:p>
      <w:pPr>
        <w:spacing w:after="120"/>
        <w:ind w:left="431"/>
        <w:jc w:val="both"/>
      </w:pPr>
      <w:r>
        <w:rPr>
          <w:rFonts w:ascii="Garamond" w:eastAsia="Garamond" w:hAnsi="Garamond" w:cs="Garamond"/>
          <w:color w:val="2A2A2A"/>
          <w:sz w:val="22"/>
          <w:szCs w:val="22"/>
        </w:rPr>
        <w:t xml:space="preserve">(6) This bar requires a conviction, not an accusation or a pending charge.</w:t>
      </w:r>
    </w:p>
    <w:p>
      <w:pPr>
        <w:spacing w:after="120"/>
        <w:ind w:left="431"/>
        <w:jc w:val="both"/>
      </w:pPr>
      <w:r>
        <w:rPr>
          <w:rFonts w:ascii="Garamond" w:eastAsia="Garamond" w:hAnsi="Garamond" w:cs="Garamond"/>
          <w:color w:val="2A2A2A"/>
          <w:sz w:val="22"/>
          <w:szCs w:val="22"/>
        </w:rPr>
        <w:t xml:space="preserve">(7) A person removed from a federal office by an affirmative removal process -- including impeachment, a for-cause removal, a constructive vote of no confidence, or recall -- may not hold or seek that office until the remainder of the electoral cycle in which the removal occurred and one full electoral cycle thereafter have passed. The ordinary expiration of a term, and loss of office through an election, are not removals for purposes of this section.</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2D3E4F01" w14:textId="77777777" w:rsidR="00AF3D56" w:rsidRDefault="00000000">
      <w:pPr>
        <w:spacing w:before="200" w:after="60"/>
        <w:ind w:left="431"/>
      </w:pPr>
      <w:r>
        <w:rPr>
          <w:rFonts w:ascii="Courier New" w:eastAsia="Courier New" w:hAnsi="Courier New" w:cs="Courier New"/>
          <w:b/>
          <w:bCs/>
          <w:color w:val="2A2A2A"/>
          <w:sz w:val="18"/>
          <w:szCs w:val="18"/>
        </w:rPr>
        <w:t xml:space="preserve">§15.1.a  </w:t>
      </w:r>
      <w:r>
        <w:rPr>
          <w:rFonts w:ascii="Garamond" w:eastAsia="Garamond" w:hAnsi="Garamond" w:cs="Garamond"/>
          <w:i/>
          <w:iCs/>
          <w:color w:val="1B2A4A"/>
          <w:sz w:val="22"/>
          <w:szCs w:val="22"/>
        </w:rPr>
        <w:t>Provisional Status</w:t>
      </w:r>
    </w:p>
    <w:p w14:paraId="2D3E4F02" w14:textId="77777777" w:rsidR="00AF3D56" w:rsidRDefault="00000000">
      <w:pPr>
        <w:spacing w:after="120"/>
        <w:ind w:left="431"/>
        <w:jc w:val="both"/>
      </w:pPr>
      <w:r>
        <w:rPr>
          <w:rFonts w:ascii="Garamond" w:eastAsia="Garamond" w:hAnsi="Garamond" w:cs="Garamond"/>
          <w:color w:val="2A2A2A"/>
          <w:sz w:val="22"/>
          <w:szCs w:val="22"/>
        </w:rPr>
        <w:t>Provisional status is the intermediate constitutional stage between Territory and full State. A jurisdiction in Provisional status retains full self-governing authority — its legislature, executive, courts, administrative functions, State-level electoral processes, social state access, and Article I protections continue without interruption. No federal Senate elections may be held for a jurisdiction in Provisional status; sitting senators complete their current terms; Senate seats are not filled upon expiry during Provisional status. Full Statehood takes effect automatically and immediately upon publication of a second consecutive clean Statehood Audit finding while in Provisional status to the NRS; no additional vote, legislative act, or executive confirmation is required. Further rules governing transition support, fiscal coordination, and administrative assistance during Provisional status are defined by statute.</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proceeds through Provisional status under §15.1.a upon passing the Statehood Audit — no political vote is required. The JMC administers the Statehood Audit; the Legislature defines audit components, methodology, and resubmission timelines by statute, subject to 2/3 majority of both chambers. A jurisdiction that fails receives specific published findings and may resubmit after addressing the failures. Upon passing, the Territory enters Provisional status immediately. Every State must maintain three ongoing conditions: functioning electoral processes, basic rule of law and judicial function, and Article I rights compliance; annual audit verifies continued compliance.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14:paraId="367A91B9" w14:textId="77777777" w:rsidR="00AF3D56" w:rsidRDefault="00000000">
      <w:pPr>
        <w:spacing w:after="120"/>
        <w:ind w:left="431"/>
        <w:jc w:val="both"/>
      </w:pPr>
      <w:r>
        <w:rPr>
          <w:rFonts w:ascii="Garamond" w:eastAsia="Garamond" w:hAnsi="Garamond" w:cs="Garamond"/>
          <w:color w:val="2A2A2A"/>
          <w:sz w:val="22"/>
          <w:szCs w:val="22"/>
        </w:rPr>
        <w:t>A State enters Mandatory Devolution upon three consecutive annual Statehood Audit findings of failure published by the JMC. After each failing audit, the JMC publishes an Early Warning specifying compliance requirements; the State must publish a Remediation Plan within the period defined by statute. Upon three consecutive failures, the State enters Provisional status under §15.1.a. A Provisional Audit Council activates upon a State entering Provisional status under this section. The Council comprises two officers appointed by the Civic Consul through the standard executive officer appointment process and two delegates appointed by the State legislature; appointments may be changed through the same process by which they were made. The Council reviews audit findings, proposes remediation plans, and publishes its findings and recommendations to the NRS; the State must publish a formal response within the period defined by statute; the form of response and preparation process are defined by statute. The Council is advisory only — the State legislature retains full legislative authority over all remediation decisions. The Council dissolves automatically upon Statehood restoration. Upon entering Provisional status under this section, the Elections Panel administers a citizen vote on the principle of pursuing devolution on the same terms as §15.4’s voluntary process; upon each subsequent annual audit failure while in Provisional status and no §15.4 negotiation is actively underway following a prior affirmative vote under this section, the Elections Panel administers another citizen vote on the same terms. An affirmative vote proceeds through negotiation and Senate ratification under §15.4; the State remains in Provisional status throughout that process; absent an affirmative vote, the State continues in Provisional status under this section. Within 30 days of entering Provisional status under this section, the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Where devolution is initiated under this section without prior entry into Provisional status under §15.3, the State retains full State status — including Senate representation — throughout; State status is unchanged unless and until the restructuring agreement takes effect upon Senate ratification.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§15.2 pathway immediately upon the effective date of devolution — no additional political vote is required. Where a defined geographic subdivision of the Territory separately achieves Statehood under §15.2 or merges with an existing State under §15.4, the remainder continues as Territory without interruption.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§1.19.a before that ratification vote; published JM findings must be given due consideration. Any person with standing may challenge the incorporation before the SC on the ground that the entity systematically violates §1.19.a. No constitutional officer may condition treaty obligations, trade relations, military cooperation, or foreign aid on any entity's decision to initiate or advance this process. During the Transition Window, a recognized indigenous nation proceeds under §16.2; thereafter, a recognized indigenous nation holding Associated Community status petitions under this provision as a sovereign entity.</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founding status election under §16.2 constitutes the consent mechanism required by this section for indigenous territorial transitions effected during the Transition Window; no additional Popular Ratification is required. Recognition under §16.4 effects no territorial change; post-founding indigenous territorial transitions proceed under Article XVII. A completed process under §15.9, including its national referendum, constitutes the consent mechanism required by this section; no additional amendment or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rsidR="00AF3D56" w:rsidRDefault="00000000">
      <w:pPr>
        <w:spacing w:after="120"/>
        <w:ind w:left="431"/>
        <w:jc w:val="both"/>
      </w:pPr>
      <w:r>
        <w:rPr>
          <w:rFonts w:ascii="Garamond" w:eastAsia="Garamond" w:hAnsi="Garamond" w:cs="Garamond"/>
          <w:color w:val="2A2A2A"/>
          <w:sz w:val="22"/>
          <w:szCs w:val="22"/>
        </w:rPr>
        <w:t>A State may seek independence from the Republic through a three-stage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petition may not be withdrawn by the State while the process continues.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elected from the petitioning State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 Stage Three requires a national referendum administered by the Elections Panel within 180 days of the Stage Two vote, in which all eligible voters of the Republic — including those of the petitioning State — participate; independence is approved by 60% of votes cast under §7.3 with a minimum 50% citizen participation. Where the referendum fails, the petition lapses and the State may reinitiate Stage One without restriction. Upon certification of an affirmative Stage Three result, the State and the Legislature negotiate a separation agreement specifying asset and liability allocation, borders, transition timeline, fiscal obligations, and continuing obligations, ratified by the Senate by 2/3 of full seated membership and published to the NRS; independence takes effect on the date the agreement specifies.</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 and Recognition</w:t>
      </w:r>
    </w:p>
    <w:p w:rsidR="00AF3D56" w:rsidRDefault="00000000">
      <w:pPr>
        <w:spacing w:after="120"/>
        <w:ind w:left="431"/>
        <w:jc w:val="both"/>
      </w:pPr>
      <w:r>
        <w:rPr>
          <w:rFonts w:ascii="Garamond" w:eastAsia="Garamond" w:hAnsi="Garamond" w:cs="Garamond"/>
          <w:color w:val="2A2A2A"/>
          <w:sz w:val="22"/>
          <w:szCs w:val="22"/>
        </w:rPr>
        <w:t>Indigenous Nations hold sovereignty that precedes the Republic. This sovereignty is acknowledged, not granted — the Republic's constitutional framework does not create it and may not extinguish it. The Republic deals with recognized indigenous nations as sovereign nations. A recognized indigenous nation, wherever that term appears in this Constitution, means a nation that, as of Day Zero, held a treaty with, a compact with, or formal recognition from a predecessor government, or a nation recognized under §16.4. The joint Monitor panel under §19.3 compiles the founding register of recognized nations from the predecessor record and publishes it to the NRS before the close of Phase 1; compilation is ministerial and applies the predecessor record as it stands. A nation omitted from the founding register may appeal to the SC within the period defined by statute on the sole ground that the predecessor record was misapplied. Recognition confers no territorial rights of itself; no act of recognition alters the Article I rights, citizenship, property, or residency of any person.</w:t>
      </w:r>
    </w:p>
    <w:p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Founding Status Election</w:t>
      </w:r>
    </w:p>
    <w:p w:rsidR="00AF3D56" w:rsidRDefault="00000000">
      <w:pPr>
        <w:spacing w:after="120"/>
        <w:ind w:left="431"/>
        <w:jc w:val="both"/>
      </w:pPr>
      <w:r>
        <w:rPr>
          <w:rFonts w:ascii="Garamond" w:eastAsia="Garamond" w:hAnsi="Garamond" w:cs="Garamond"/>
          <w:color w:val="2A2A2A"/>
          <w:sz w:val="22"/>
          <w:szCs w:val="22"/>
        </w:rPr>
        <w:t>At ratification, the Republic formally notifies every nation on the founding register of its rights under this section; notification is published to the NRS. From Day Zero until the close of the Transition Window under §19.2, each recognized nation may elect, by its own democratic or traditional governance process meeting the standards the nation itself defines for major governance decisions, one of the following statuses, published to the NRS: (a) Associated Community — the nation proceeds as a sovereign nation in a compact relationship with the Republic under Article XX; (b) Territorial Integration — the nation enters the Republic as a Territory under §15.1, with the standard §15.2 Statehood pathway available; the published election constitutes the petition and confirmation required by §15.6, and the nation and the Legislature proceed directly to negotiation of the incorporation agreement, ratified by 2/3 of both chambers. Associated Community status is the default: a nation that makes no election holds Associated Community status by constitutional operation at the close of the Transition Window. The Republic may not prefer, discourage, or offer inducements toward any status; it must provide factual information about each status upon request. Article I applies within the territory of each recognized nation throughout the Transition Window unless the nation, by its own governance process, positively rejects that application, published to the NRS; rejection constitutes an early assertion of the default status. While Article I so applies, any resident of the nation's territory who believes an Article I right has been violated may bring an Emergency Rights Writ directly to the SC under its original jurisdiction in §4.5; the SC must rule within 7 days; the extension and interim protective order provisions of §4.5 apply. Indigenous nation membership and Republic citizenship are compatible and independent statuses; no status under this section diminishes the Republic citizenship of any person, consistent with §5.1.</w:t>
      </w:r>
    </w:p>
    <w:p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Treaty Supremacy and Continuity</w:t>
      </w:r>
    </w:p>
    <w:p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regardless of the nation's status under this Constitution. Treaty rights cannot be diminished by legislation — they must be honored, renegotiated with consent, or formally superseded by mutual agreement through negotiation between the Legat Consul and the nation, ratified by the Senate under §3.6.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a ministerial counterpart designated by the Legat Consul and published to the NRS administers the treaty's institutional functions on an interim basis. The EM audits the Republic's compliance with its treaty obligations under this section annually and publishes findings to the NRS.</w:t>
      </w:r>
    </w:p>
    <w:p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Post-Founding Recognition</w:t>
      </w:r>
    </w:p>
    <w:p w:rsidR="00AF3D56" w:rsidRDefault="00000000">
      <w:pPr>
        <w:spacing w:after="120"/>
        <w:ind w:left="431"/>
        <w:jc w:val="both"/>
      </w:pPr>
      <w:r>
        <w:rPr>
          <w:rFonts w:ascii="Garamond" w:eastAsia="Garamond" w:hAnsi="Garamond" w:cs="Garamond"/>
          <w:color w:val="2A2A2A"/>
          <w:sz w:val="22"/>
          <w:szCs w:val="22"/>
        </w:rPr>
        <w:t>A people asserting sovereignty preceding the Republic may submit a claim of prior sovereignty to the JMC at any time after the close of the Transition Window; the claim is published to the NRS. The JMC investigates the claim against the predecessor record and the criteria of §16.1 and publishes its findings to the NRS. The investigation is information-only: the JMC's findings bind no constitutional actor and compel no governmental act. Claimants may present the published findings in a petition for recognition to the Legat Consul, or pursue any legal remedy available under Article I. Where a petition for recognition is submitted, the Legat Consul determines it within the period defined by statute, not to exceed 180 days, with written grounds published to the NRS whether recognition is granted or declined. Recognition under this section activates the Republic's obligations under §16.3, establishes the nation as a collective legal person capable of negotiating with the Republic and entering arrangements under statute and §18.4, and constitutes the factual predicate for any subsequent constitutional amendment under Article XVII concerning the nation's territorial or sovereign status. Recognition under this section confers no territorial rights and effects no change to the Republic's territorial extent; any such change proceeds only under Article XVII, consistent with §15.7. A declined petition may be resubmitted after 5 years or upon a material change in the available record.</w:t>
      </w:r>
    </w:p>
    <w:p w:rsidR="00AF3D56" w:rsidRDefault="00000000">
      <w:pPr>
        <w:spacing w:before="200" w:after="60"/>
        <w:ind w:left="431"/>
      </w:pPr>
      <w:r>
        <w:rPr>
          <w:rFonts w:ascii="Courier New" w:eastAsia="Courier New" w:hAnsi="Courier New" w:cs="Courier New"/>
          <w:b/>
          <w:bCs/>
          <w:color w:val="2A2A2A"/>
          <w:sz w:val="18"/>
          <w:szCs w:val="18"/>
        </w:rPr>
        <w:t xml:space="preserve">§16.5  </w:t>
      </w:r>
      <w:r>
        <w:rPr>
          <w:rFonts w:ascii="Garamond" w:eastAsia="Garamond" w:hAnsi="Garamond" w:cs="Garamond"/>
          <w:i/>
          <w:iCs/>
          <w:color w:val="1B2A4A"/>
          <w:sz w:val="22"/>
          <w:szCs w:val="22"/>
        </w:rPr>
        <w:t>Transition of Existing Arrangements</w:t>
      </w:r>
    </w:p>
    <w:p w:rsidR="00AF3D56" w:rsidRDefault="00000000">
      <w:pPr>
        <w:spacing w:after="120"/>
        <w:ind w:left="431"/>
        <w:jc w:val="both"/>
      </w:pPr>
      <w:r>
        <w:rPr>
          <w:rFonts w:ascii="Garamond" w:eastAsia="Garamond" w:hAnsi="Garamond" w:cs="Garamond"/>
          <w:color w:val="2A2A2A"/>
          <w:sz w:val="22"/>
          <w:szCs w:val="22"/>
        </w:rPr>
        <w:t>Existing arrangements between a recognized nation and the predecessor government — governance, services, land use, borders, trade, and infrastructure — continue provisionally from Day Zero until replaced by an Article XX compact, an incorporation agreement under §16.2, or a treaty instrument under §16.3. For a nation holding Associated Community status, the Republic must open compact negotiations under Article XX within 90 days of the status taking effect and negotiate in good faith; either party may propose terms at any time. Citizenship arrangements follow §5.1 throughout. Either party may petition the SC to resolve specific disputes arising within the provisional framework; nothing in this section delays or conditions the obligations under §16.3.</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14:paraId="670077DD"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2/3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(§9.6),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14:paraId="3C9DFF51" w14:textId="77777777" w:rsidR="00AF3D56" w:rsidRDefault="00000000">
      <w:pPr>
        <w:spacing w:after="120"/>
        <w:ind w:left="431"/>
        <w:jc w:val="both"/>
      </w:pPr>
      <w:r>
        <w:rPr>
          <w:rFonts w:ascii="Garamond" w:eastAsia="Garamond" w:hAnsi="Garamond" w:cs="Garamond"/>
          <w:color w:val="2A2A2A"/>
          <w:sz w:val="22"/>
          <w:szCs w:val="22"/>
        </w:rPr>
        <w:t>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§1.19.a;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recognized indigenous nations,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14:paraId="1D0BC0F9" w14:textId="77777777" w:rsidR="00AF3D56" w:rsidRDefault="00000000">
      <w:pPr>
        <w:spacing w:after="120"/>
        <w:ind w:left="431"/>
        <w:jc w:val="both"/>
      </w:pPr>
      <w:r>
        <w:rPr>
          <w:rFonts w:ascii="Garamond" w:eastAsia="Garamond" w:hAnsi="Garamond" w:cs="Garamond"/>
          <w:color w:val="2A2A2A"/>
          <w:sz w:val="22"/>
          <w:szCs w:val="22"/>
        </w:rPr>
        <w:t>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§1.19.a.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14:paraId="25B0238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Statehood Audit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 Political entities that held recognized State or equivalent status immediately prior to ratification and choose to enter the Republic as States do so as full States from Day Zero for the purpose of constituting the Senate and seating their legislators. The annual Statehood Audit under §15.2 applies to all States from the first full audit cycle following Phase 4 activation; no founding status confers exemption from ongoing audit obligations or the consequences of audit failure. All other status determinations — Territory entry, Statehood qualification during the transition window, and post-founding pathways — follow §15.2.</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the panel compiles the founding register of recognized indigenous nations under §16.1 and publishes it to the NRS before the close of Phase 1;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the MA Director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agency under §3.2, within 18 months; the Monetary Authority under §12.1.a,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recognized indigenous nations holding Associated Community status under §16.2, to sovereign nations that have achieved full sovereignty through the constitutional amendment process, and to independent nations outside the Republic seeking a defined relationship.</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14:paraId="4BDB366C" w14:textId="77777777" w:rsidR="00AF3D56" w:rsidRDefault="00000000">
      <w:pPr>
        <w:spacing w:after="120"/>
        <w:ind w:left="431"/>
        <w:jc w:val="both"/>
      </w:pPr>
      <w:r>
        <w:rPr>
          <w:rFonts w:ascii="Garamond" w:eastAsia="Garamond" w:hAnsi="Garamond" w:cs="Garamond"/>
          <w:color w:val="2A2A2A"/>
          <w:sz w:val="22"/>
          <w:szCs w:val="22"/>
        </w:rPr>
        <w:t>No compact may be entered or ratified with any entity whose governance practices include, authorize, or systematically permit violations of any of the non-derogable rights established in §1.19.a, committed against any person within its jurisdiction. The JM conducts annual compliance reviews and publishes findings to the NRS. Where the JM finds systematic violations of §1.19.a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arbitration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arbitration panel's final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123DDD"/>
    <w:rsid w:val="005F487F"/>
    <w:rsid w:val="0088569E"/>
    <w:rsid w:val="00940D3B"/>
    <w:rsid w:val="00AD76A6"/>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24570</Words>
  <Characters>140050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4</cp:revision>
  <dcterms:created xsi:type="dcterms:W3CDTF">2026-07-06T19:02:00Z</dcterms:created>
  <dcterms:modified xsi:type="dcterms:W3CDTF">2026-07-07T12:40:00Z</dcterms:modified>
</cp:coreProperties>
</file>