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circumstances of ratification require a transitional citizenship grant for those who held voting rights at the moment of founding.</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2026-05-21T11:39:26.401Z</dcterms:created>
  <dcterms:modified xsi:type="dcterms:W3CDTF">2026-05-21T11:39:26.401Z</dcterms:modified>
</cp:coreProperties>
</file>

<file path=docProps/custom.xml><?xml version="1.0" encoding="utf-8"?>
<Properties xmlns="http://schemas.openxmlformats.org/officeDocument/2006/custom-properties" xmlns:vt="http://schemas.openxmlformats.org/officeDocument/2006/docPropsVTypes"/>
</file>