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Same offence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request an EM assessment of whether the veto falls within the Legat Consul's defined domain; the EM publishes its finding to the NRS within 48 hours. Where the EM publishes a finding that the veto falls outside the Legat Consul's defined domain, either Speaker may petition the SC for an expedited domain determination; the SC must rule within 48 hours of such petition. Where the SC confirms the veto falls outside the Legat Consul's defined domain, the veto is void and the bill proceeds to ordinary enactment without Legat Consul assent. Where the SC confirms the veto is within domain, the ordinary 2/3 override threshold applies.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The Civic Consul must respond to any request for concurrence within the period defined by statute; where no statutory period has been established, the constitutional default is 30 days. Where the Civic Consul does not respond within the applicable period, concurrence is deemed given for provisions that do not require new domestic legislation; silence on provisions that require new domestic legislation is deemed withheld.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 No person may serve more than 8 years in total as Civic Consul across all periods of service; this limit is cumulative and permanent regardless of interruption. 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Civic Consul designates a serving Assembly member;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Acting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simultaneously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coordination authority governs the cross-domain interaction until either the executives reach agreement or the Legislature acts; the Legat Consul retains full authority within the Consular domain throughout and the default applies to how the two domains interact, not to the substance of matters within either domain.</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within 90 days of the JM publishing the nominee’s pool certification to the NRS; failure to act within that period is a constitutional compliance breach reported by the LM. Where the Senate has not acted within 30 days of the LM compliance breach report, the Senate may select a nominee directly from the certified pool by 2/3 vote of full seated membership; a Senate selection under this provision requires no further Civic Consul nomination and proceeds directly to confirmation.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Legat Consul must ministerially issue residency credentials; Interference with credential issuance by the Legat Consul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simultaneously postpone the affected election for a period not to exceed 90 days, publishing the determination to the NRS; the mandates of sitting members extend automatically for that period only. Only the Elections Panel may certify that conditions have normalized sufficiently for elections to proceed; the postponement lapses and elections must be held immediately upon that certification. No further postponement may be granted without a new Elections Panel certification of impossibility and a new 2/3 legislative determination.</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JM-certified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the Elections Panel, and the NRS Panel may not fall below the inflation-adjusted equivalent of the prior fiscal year's funding level without a 2/3 vote of both chambers simultaneously.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The constitutional minimum for all pools is five eligible members; where a pool falls below five, the JM publishes a compliance breach and the relevant nominating bodies must act to restore the minimum within 60 days. Where a pool reaches zero before an acting designation is made, the most senior eligible federal judge by continuous service who is not currently serving in any constitutional office serves as Acting officer until the pool is restored and a designation is made under the ordinary acting mechanism; this fallback applies only to judicial and Monitor pools.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LM;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the Monetary Authority as an independent agency under §3.9,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the functions protected under §2.15;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The Endowment operates independently of the annual budget process. The Legislature must establish an Endowment Administrator as an independent agency under §3.9; failure to do so is a constitutional compliance breach reported by the LM. The Administrator’s sole mandate is to preserve and grow the Endowment for social state backstop purposes; it may not be directed to any other goal. Disbursements are activated on Monetary Authority certification of Severe Revenue Contraction and continue until the Monetary Authority certifies the contraction has ended. The EM audits the Administrator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60 days.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appointed by their respective Monitor Generals;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