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pending SC determination.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Legat Consul may veto legislation that raises a genuine constitutional concern within the Legat Consul's security domain — military operations, intelligence, treaty obligations, or border security. A general or speculative security connection is insufficient. Either Speaker may petition the SC for an expedited domain determination of any disputed veto; the SC must rule within 7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Where the executives dispute whether a provision requires new domestic legislation for purposes of the concurrence default, either executive may refer the classification question to the SC for expedited determination within the concurrence period.</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A solvency objection requires an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 Judicial review of any lead designation must be initiated within 90 days of the lead designation taking effect regardless of whether the emergency is characterized as ongoing; the SC holds expedited jurisdiction over such review.</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existing scope of government functions continues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 The Republic provides standard residential accommodation at the Seat of Government to every serving member of both chambers during their period of service. The standard is defined by statute and applies equally to all members regardless of tenure, seniority, or political affiliation. Legislative compensation and accommodation standards may not be set by the Legislature itself.</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Elections Panel applies those qualifications and enters qualifying applicants into the pool; the JM’s ongoing audit of the Elections Panel encompasses the administration of the inferior court judge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The Legislature establishes by statute the procedure for filling any remaining Temporary Associate Justice positions.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under §9.4.b — any eligible citizen who applies and meets the qualification criteria is entered.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SC Candidate Registry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No citizenship may be stripped from a natural-born citizen. Where a child born on Republic territory would hold no other citizenship, or would otherwise be stateless regardless of birthplace, citizenship is granted from birth.</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promptly report them and either return them to the contributor or remit them to the public campaign financing fund; the Legislature defines reporting timelines and procedures by statute.</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 Failure of a Monitor to act does not extinguish constitutional authority or suspend any constitutional obligation, unless this Constitution explicitly provides otherwise. The Monitors are the Republic's independent auditors. Their mandate is to observe constitutional processes, verify factual and legal compliance, and publish expert findings to the NRS. Monitor findings carry the authority of expert analysis — available to any party, given due weight, and not binding on any constitutional actor. No Monitor finding or assessment is a prerequisite for any legal proceeding, constitutional mechanism, or governmental function. Any constitutional officer, chamber, or body may request a focused assessment from any Monitor within that Monitor’s audit mandate, specifying a date by which the assessment is required. The Monitor publishes the assessment by the requested date where practicable; where this is not practicable, the Monitor publishes the reason and an estimated completion date within five days of receiving the request. Persistent non-responsiveness to reasonable requests may be published by the other two Monitors as a non-responsiveness finding to the NRS. A requesting party may proceed with any constitutional process whether or not a requested assessment has been published.</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and conducts annual audits of the Elections Panel for electoral integrity compliance, including the administration of the SC Candidate Registry and all constitutional pools. The JM reviews accommodation compact compliance, Associated Community compact compliance under Article XX, and Article XVI indigenous compact obligations. The JM's mandate is procedural neutrality: ensuring that all functions requiring independence from political bias are conducted under an impartial constitutional authority.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audit findings on the nominee’s disclosure record published to the NRS before the vote — the executives are excluded and neither Speaker can act alone. The JM Monitor General is selected by public lottery from a pool of former judges audited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audited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audited jointly by the LM and JM, sufficiently in advance under the timeline defined by statute under §3.13; confirmed by national popular vote at the next federal electoral period following nomination, by simple majority of votes cast, with JM audit findings on the nominee’s disclosure record published to the NRS before the vote. The same timing and failed-vote provisions apply. Where the Assembly Speaker and Senate Speaker fail to jointly nominate within 60 days of a vacancy being published to the NRS, the Senate selects a nominee from the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audits the Elections Panel’s administration of the SC Candidate Registry,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SC Candidate Registry;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120" w:before="0"/>
        <w:ind w:left="431"/>
        <w:jc w:val="both"/>
      </w:pPr>
      <w:r>
        <w:rPr>
          <w:rFonts w:ascii="Garamond" w:cs="Garamond" w:eastAsia="Garamond" w:hAnsi="Garamond"/>
          <w:b w:val="false"/>
          <w:bCs w:val="false"/>
          <w:i w:val="false"/>
          <w:iCs w:val="false"/>
          <w:color w:val="2a2520"/>
          <w:sz w:val="22"/>
          <w:szCs w:val="22"/>
        </w:rPr>
        <w:t xml:space="preserve"/>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qualifying applicants into the relevant registry or pool by applying the published qualification requirements. The relevant Monitor’s ongoing audit encompasses the Elections Panel’s administration of each pool and registry; audit findings are published to the NRS. Any applicant excluded may appeal to the SC within 14 days on the sole ground that the qualification requirements were misapplied. Pool records and audit findings are public NRS records at all times. The Joint Monitor Council conducts the draw in a public session, certifies the result jointly, and publishes it to the NRS. Where selection is by deliberate nomination, the named officer nominates from pool members. Where confirmation is required, the Senate must act within the period defined by the establishing provision; failure to confirm within that period is a constitutional compliance breach.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in a concurrent vote;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Where the NRS Panel determines by unanimous vote that a record was published in error and its continued availability poses an imminent, specific, and documented threat to individual safety, the NRS Panel may temporarily restrict access for a period not to exceed 30 days while the SC reviews the restriction; the SC must rule within 14 days; the record is permanently restored unless the SC confirms the restriction on the narrowest possible grounds. The original record timestamp and the restriction record both remain as permanent NRS entries.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neither panel holds legislative, executive, judicial, or policy authority.</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120" w:before="0"/>
        <w:ind w:left="431"/>
        <w:jc w:val="both"/>
      </w:pPr>
      <w:r>
        <w:rPr>
          <w:rFonts w:ascii="Garamond" w:cs="Garamond" w:eastAsia="Garamond" w:hAnsi="Garamond"/>
          <w:b w:val="false"/>
          <w:bCs w:val="false"/>
          <w:i w:val="false"/>
          <w:iCs w:val="false"/>
          <w:color w:val="2a2520"/>
          <w:sz w:val="22"/>
          <w:szCs w:val="22"/>
        </w:rPr>
        <w:t xml:space="preserve"/>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has exclusive authority to levy taxes by statute; no other body may impose a tax or levy. All public money received by the Republic — including tax revenue, fees, and other receipts — is deposited into the National Revenue Fund. No money may be withdrawn from the National Revenue Fund except by legislative appropriation under §12.2; the EM audits the Fund’s receipts and disbursements as part of its annual fiscal mandate. No tax may discriminate on the basis of the characteristics listed in §1.6. The Legislature sets tax rates for all jurisdictions within the Republic, including States, Territories, and Associated Communities.</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documented and published to the NRS,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not to exceed 50%,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60% of votes cast with at least 50% citizen participation.</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that failure is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three paths: a two-year federal remediation commission; a State-managed remediation plan subject to LM quarterly assessment of progress against the published compliance requirements; or devolution to Territory status.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and acceptance by the Legislature by 2/3 of both chambers. Under §9.1, either chamber may request a JM assessment of the entity's compliance with §1.19.b before the incorporation vote; published JM findings must be given due consideration. Any person with standing may challenge the incorporation before the SC on the ground that the entity systematically violates §1.19.b.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Elections Panel,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Elections Panel petition verification. Citizen initiative amendments are subject to §17.3 consistency analysis by the LM, advisory only. Amendment of the following provisions requires Popular Ratification regardless of the amendment’s origin: the Monitor selection mechanisms and independence protections (§9.2–§9.5), the Monitor information-only mandate and non-dependency principle (§9.1), the Monitor funding guarantee (§9.10), the NRS architecture and permanence requirements (§10.1), and the Elections Panel and NRS Panel independence (§11.1). These provisions may not be amended by State Ratification alone.</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§5.1.a,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sovereign nations — those that have achieved full sovereignty through a status election under §16.7, through the constitutional amendment process, or recognized as pre-existing sovereigns under Article XVI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SC review; the SC may terminate the compact on confirmed violations without remediation within the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Under §9.1, either chamber may request a JM assessment of compact compliance before proceeding to ratification.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