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 Where two or more Assembly members have equal continuous service, the tiebreaker is determined by statute.</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The Civic Consul may not nominate a serving Temporary Associate Justice for the seat they are temporarily filling through the ordinary appointment process under this section; this bar does not affect placement on a public confirmation ballot under §4.4.a.</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under §7.4;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the Acting member may exercise all authorities of a full member during that period and the appointment does not affect the ordinary process for filling the vacancy permanently.</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