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Seat Allocation — Webster Method</w:t>
      </w:r>
    </w:p>
    <w:p>
      <w:pPr>
        <w:spacing w:after="120" w:before="0"/>
        <w:ind w:left="863"/>
        <w:jc w:val="both"/>
      </w:pPr>
      <w:r>
        <w:rPr>
          <w:rFonts w:ascii="Garamond" w:cs="Garamond" w:eastAsia="Garamond" w:hAnsi="Garamond"/>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863"/>
      </w:pPr>
      <w:r>
        <w:rPr>
          <w:rFonts w:ascii="Courier New" w:cs="Courier New" w:eastAsia="Courier New" w:hAnsi="Courier New"/>
          <w:b/>
          <w:bCs/>
          <w:color w:val="1B2A4A"/>
          <w:sz w:val="18"/>
          <w:szCs w:val="18"/>
        </w:rPr>
        <w:t xml:space="preserve">§3.3.e  </w:t>
      </w:r>
      <w:r>
        <w:rPr>
          <w:rFonts w:ascii="Garamond" w:cs="Garamond" w:eastAsia="Garamond" w:hAnsi="Garamond"/>
          <w:b/>
          <w:bCs/>
          <w:color w:val="1B2A4A"/>
          <w:sz w:val="22"/>
          <w:szCs w:val="22"/>
        </w:rPr>
        <w:t xml:space="preserve">Presidential Review Condition</w:t>
      </w:r>
    </w:p>
    <w:p>
      <w:pPr>
        <w:spacing w:after="120" w:before="0"/>
        <w:ind w:left="863"/>
        <w:jc w:val="both"/>
      </w:pPr>
      <w:r>
        <w:rPr>
          <w:rFonts w:ascii="Garamond" w:cs="Garamond" w:eastAsia="Garamond" w:hAnsi="Garamond"/>
          <w:color w:val="2a2520"/>
          <w:sz w:val="22"/>
          <w:szCs w:val="22"/>
        </w:rPr>
        <w:t xml:space="preserve">The Senate may adopt a bill that includes a Presidential Review condition. The condition must state a review period of no more than 30 days; if no period is stated, the default is 14 days. The review period runs within the Senate's legislative timeline and does not extend the overall session clock. A bill adopted with a Presidential Review condition is transmitted to the President rather than proceeding directly to PM assent. If the President approves the bill within the stated period, it proceeds to PM assent under the standard process. If the President does not respond within the stated period, the bill is treated as approved and proceeds to PM assent; the EI records the failure to respond as a constitutional lapse and publishes a notice to the NRS. If the President rejects the bill within the stated period, the rejection is treated as a Senate rejection — the bill is returned to the House for reconsideration as if the Senate had not passed it. A bill returned to the House under this provision and subsequently repassed by the House may not, when resubmitted to the Senate, be adopted with a Presidential Review condition on that same bill. It proceeds through the Senate under the standard process.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Territorial District Drawing</w:t>
      </w:r>
    </w:p>
    <w:p>
      <w:pPr>
        <w:spacing w:after="120" w:before="0"/>
        <w:ind w:left="863"/>
        <w:jc w:val="both"/>
      </w:pPr>
      <w:r>
        <w:rPr>
          <w:rFonts w:ascii="Garamond" w:cs="Garamond" w:eastAsia="Garamond" w:hAnsi="Garamond"/>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pPr>
      <w:r>
        <w:rPr>
          <w:rFonts w:ascii="Courier New" w:cs="Courier New" w:eastAsia="Courier New" w:hAnsi="Courier New"/>
          <w:b/>
          <w:bCs/>
          <w:color w:val="1B2A4A"/>
          <w:sz w:val="18"/>
          <w:szCs w:val="18"/>
        </w:rPr>
        <w:t xml:space="preserve">§4.5  </w:t>
      </w:r>
      <w:r>
        <w:rPr>
          <w:rFonts w:ascii="Garamond" w:cs="Garamond" w:eastAsia="Garamond" w:hAnsi="Garamond"/>
          <w:b/>
          <w:bCs/>
          <w:color w:val="1B2A4A"/>
          <w:sz w:val="22"/>
          <w:szCs w:val="22"/>
        </w:rPr>
        <w:t xml:space="preserve">Jury Service</w:t>
      </w:r>
    </w:p>
    <w:p>
      <w:pPr>
        <w:spacing w:after="120" w:before="0"/>
        <w:ind w:left="431"/>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Election and Board Composition</w:t>
      </w:r>
    </w:p>
    <w:p>
      <w:pPr>
        <w:spacing w:after="120" w:before="0"/>
        <w:ind w:left="863"/>
        <w:jc w:val="both"/>
      </w:pPr>
      <w:r>
        <w:rPr>
          <w:rFonts w:ascii="Garamond" w:cs="Garamond" w:eastAsia="Garamond" w:hAnsi="Garamond"/>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1296"/>
      </w:pPr>
      <w:r>
        <w:rPr>
          <w:rFonts w:ascii="Courier New" w:cs="Courier New" w:eastAsia="Courier New" w:hAnsi="Courier New"/>
          <w:b/>
          <w:bCs/>
          <w:color w:val="1B2A4A"/>
          <w:sz w:val="18"/>
          <w:szCs w:val="18"/>
        </w:rPr>
        <w:t xml:space="preserve">§10.4.b.ii  </w:t>
      </w:r>
      <w:r>
        <w:rPr>
          <w:rFonts w:ascii="Garamond" w:cs="Garamond" w:eastAsia="Garamond" w:hAnsi="Garamond"/>
          <w:b/>
          <w:bCs/>
          <w:color w:val="1B2A4A"/>
          <w:sz w:val="22"/>
          <w:szCs w:val="22"/>
        </w:rPr>
        <w:t xml:space="preserve">Acting MA Director</w:t>
      </w:r>
    </w:p>
    <w:p>
      <w:pPr>
        <w:spacing w:after="120" w:before="0"/>
        <w:ind w:left="1296"/>
        <w:jc w:val="both"/>
      </w:pPr>
      <w:r>
        <w:rPr>
          <w:rFonts w:ascii="Garamond" w:cs="Garamond" w:eastAsia="Garamond" w:hAnsi="Garamond"/>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and Revolving Door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 see §10.5.c</w:t>
      </w:r>
    </w:p>
    <w:p>
      <w:pPr>
        <w:spacing w:after="120" w:before="0"/>
        <w:ind w:left="863"/>
        <w:jc w:val="both"/>
      </w:pPr>
      <w:r>
        <w:rPr>
          <w:rFonts w:ascii="Garamond" w:cs="Garamond" w:eastAsia="Garamond" w:hAnsi="Garamond"/>
          <w:color w:val="2a2520"/>
          <w:sz w:val="22"/>
          <w:szCs w:val="22"/>
        </w:rPr>
        <w:t xml:space="preserve">Post-service restrictions including the revolving door prohibition are consolidated in §10.5.c.</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Trustee Pool</w:t>
      </w:r>
    </w:p>
    <w:p>
      <w:pPr>
        <w:spacing w:after="120" w:before="0"/>
        <w:ind w:left="863"/>
        <w:jc w:val="both"/>
      </w:pPr>
      <w:r>
        <w:rPr>
          <w:rFonts w:ascii="Garamond" w:cs="Garamond" w:eastAsia="Garamond" w:hAnsi="Garamond"/>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1296"/>
      </w:pPr>
      <w:r>
        <w:rPr>
          <w:rFonts w:ascii="Courier New" w:cs="Courier New" w:eastAsia="Courier New" w:hAnsi="Courier New"/>
          <w:b/>
          <w:bCs/>
          <w:color w:val="1B2A4A"/>
          <w:sz w:val="18"/>
          <w:szCs w:val="18"/>
        </w:rPr>
        <w:t xml:space="preserve">§10.6.a.i  </w:t>
      </w:r>
      <w:r>
        <w:rPr>
          <w:rFonts w:ascii="Garamond" w:cs="Garamond" w:eastAsia="Garamond" w:hAnsi="Garamond"/>
          <w:b/>
          <w:bCs/>
          <w:color w:val="1B2A4A"/>
          <w:sz w:val="22"/>
          <w:szCs w:val="22"/>
        </w:rPr>
        <w:t xml:space="preserve">Trustee Draw and Terms</w:t>
      </w:r>
    </w:p>
    <w:p>
      <w:pPr>
        <w:spacing w:after="120" w:before="0"/>
        <w:ind w:left="1296"/>
        <w:jc w:val="both"/>
      </w:pPr>
      <w:r>
        <w:rPr>
          <w:rFonts w:ascii="Garamond" w:cs="Garamond" w:eastAsia="Garamond" w:hAnsi="Garamond"/>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1296"/>
      </w:pPr>
      <w:r>
        <w:rPr>
          <w:rFonts w:ascii="Courier New" w:cs="Courier New" w:eastAsia="Courier New" w:hAnsi="Courier New"/>
          <w:b/>
          <w:bCs/>
          <w:color w:val="1B2A4A"/>
          <w:sz w:val="18"/>
          <w:szCs w:val="18"/>
        </w:rPr>
        <w:t xml:space="preserve">§10.6.a.ii  </w:t>
      </w:r>
      <w:r>
        <w:rPr>
          <w:rFonts w:ascii="Garamond" w:cs="Garamond" w:eastAsia="Garamond" w:hAnsi="Garamond"/>
          <w:b/>
          <w:bCs/>
          <w:color w:val="1B2A4A"/>
          <w:sz w:val="22"/>
          <w:szCs w:val="22"/>
        </w:rPr>
        <w:t xml:space="preserve">Trustee Mandate and Accountability</w:t>
      </w:r>
    </w:p>
    <w:p>
      <w:pPr>
        <w:spacing w:after="120" w:before="0"/>
        <w:ind w:left="1296"/>
        <w:jc w:val="both"/>
      </w:pPr>
      <w:r>
        <w:rPr>
          <w:rFonts w:ascii="Garamond" w:cs="Garamond" w:eastAsia="Garamond" w:hAnsi="Garamond"/>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 — see §4.5</w:t>
      </w:r>
    </w:p>
    <w:p>
      <w:pPr>
        <w:spacing w:after="120" w:before="0"/>
        <w:ind w:left="863"/>
        <w:jc w:val="both"/>
      </w:pPr>
      <w:r>
        <w:rPr>
          <w:rFonts w:ascii="Garamond" w:cs="Garamond" w:eastAsia="Garamond" w:hAnsi="Garamond"/>
          <w:color w:val="2a2520"/>
          <w:sz w:val="22"/>
          <w:szCs w:val="22"/>
        </w:rPr>
        <w:t xml:space="preserve">Jury service obligations, compensation, and enforcement are established in §4.5.</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431"/>
        <w:jc w:val="both"/>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863"/>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863"/>
        <w:jc w:val="both"/>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863"/>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863"/>
        <w:jc w:val="both"/>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863"/>
        <w:jc w:val="both"/>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863"/>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863"/>
        <w:jc w:val="both"/>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863"/>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863"/>
        <w:jc w:val="both"/>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431"/>
        <w:jc w:val="both"/>
      </w:pPr>
      <w:r>
        <w:rPr>
          <w:rFonts w:ascii="Garamond" w:cs="Garamond" w:eastAsia="Garamond" w:hAnsi="Garamond"/>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2026-05-20T18:17:50.417Z</dcterms:created>
  <dcterms:modified xsi:type="dcterms:W3CDTF">2026-05-20T18:17:50.444Z</dcterms:modified>
</cp:coreProperties>
</file>

<file path=docProps/custom.xml><?xml version="1.0" encoding="utf-8"?>
<Properties xmlns="http://schemas.openxmlformats.org/officeDocument/2006/custom-properties" xmlns:vt="http://schemas.openxmlformats.org/officeDocument/2006/docPropsVTypes"/>
</file>