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Two limits apply simultaneously. First, no PM may serve more than 8 consecutive years — after 8 years the PM must stand down even if the House would re-elect them. Second, no person may serve as PM for more than 12 years in total across all periods of service. A former PM who returns after stepping down may serve a further period only up to the 12-year total — regardless of whether any single period of service would otherwise be within the 8-year consecutive limit. Both limits and the constructive vote operate independently; the stricter limit governs at any given moment. Years of service are calculated from the date each period of service begins to the date it ends; partial years count in full for purposes of both limits.</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defined by statute, ensuring Senate confirmation requires meaningful cross-party support.</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received and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§4.1.b — PM nomination within 90 days of a vacancy, Senate confirmation by supermajority as defined by statute — and hold full tenure protections under §4.1.c and §4.1.d.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by an independent federal court within 90 days of initial detention; mandatory judicial review by an independent federal court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Elections Panel of the Digital Infrastructure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those who watch it. The Supreme Court nominates the LI Inspector General, confirmed by Senate 2/3 supermajority — the Legislature is entirely excluded. The House nominates the EI Inspector General, confirmed by Senate 2/3 supermajority with JI vetting — the executives are excluded, and the 2/3 threshold prevents the PM's governing coalition from confirming a preferred auditor without cross-party Senate support. The JI Inspector General is selected by public lottery from a pool of former Republic judges certified by the LI and EI — the JI itself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2/3 supermajority, with JI vetting of the nominee's disclosure record before the confirmation vote. The House nominates the EI because the PM — whom the EI watches — is accountable to the House, creating structural alignment without giving either executive direct control over selection. The 2/3 Senate threshold ensures the EI IG commands cross-party support and cannot be confirmed solely by the PM's governing coalition, substantially limiting PM influence over the selection of their own auditor.</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selected by public lottery under §8.13 from the JI Candidate Pool. Eligibility is limited to former Republic judges — persons who have completed judicial service on a court of record at the trial court level or above — whether in a State court system or in the Republic's federal court structure under §4.1 — who have been out of active judicial office for at least one year. Former SC justices must have been out of SC service for at least five years to be eligible. The JI holds no role in constituting, certifying, or maintaining its own candidate pool. Each pool applicant's judicial service record is certified by the LI for accuracy within 30 days of application. Each pool applicant's financial disclosure is reviewed by the EI within 21 days of application; both the LI service certification and the EI financial review are published to the NRS as the pool entry record. The Joint Inspectorate Council conducts the lottery draw under §8.13 in a public session; the outgoing JI IG does not participate in the draw. Where there is no outgoing JI IG, the JIC conducts the draw without modification. The pool and its NRS record are publicly accessible at all times.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Elections Panel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Elections Panel of the Digital Infrastructure Commission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Senate confirmation is never required for pool entry — confirmation applies only to selected individuals, not to pool membership. A pool that required Senate confirmation at entry would require the democratic legitimacy of an elected office; if that level of accountability is needed, the office should be elected, not pooled.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only.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Elections Panel of the Digital Infrastructure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Elections Panel of the Digital Infrastructure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sitting senators serve the remainder of their current elected terms — Senate seats are not vacated — but no new Senate elections may be held for the devolved State until Statehood is restored;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devolution taking effect under §13.3, the affected State may petition the SC on the sole ground that the LI's published audit findings are factually insufficient to establish three consecutive failures under §13.3. The Court reviews only the factual basis of the audit findings — not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ind w:left="431"/>
        <w:jc w:val="left"/>
      </w:pPr>
      <w:r>
        <w:rPr>
          <w:rFonts w:ascii="Courier New" w:cs="Courier New" w:eastAsia="Courier New" w:hAnsi="Courier New"/>
          <w:b/>
          <w:bCs/>
          <w:color w:val="1B2A4A"/>
          <w:sz w:val="18"/>
          <w:szCs w:val="18"/>
        </w:rPr>
        <w:t xml:space="preserve">§13.9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§13.9.a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through §13.8.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§13.9.b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"Elections Panel of the Digital Infrastructure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Elections Panel of the Digital Infrastructure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Elections Panel of the Digital Infrastructure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Elections Panel of the Digital Infrastructure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Elections Panel of the Digital Infrastructure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Elections Panel of the Digital Infrastructure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Elections Panel of the Digital Infrastructure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§13.9.a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of the Digital Infrastructure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all electoral finance rules, reviews all disclosed contributions, publishes all disclosures to the NRS, and investigates suspected violations. The EI audits Elections Panel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Elections Panel of the Digital Infrastructure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Elections Panel of the Digital Infrastructure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Elections Panel of the Digital Infrastructure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§3.7, the Legislature shall establish that agency within the following timeframes measured from Phase 4 activation: the CLT Administrator under §5.4.b, within 180 days — the CLT must be operational before the first naturalization applications are accepted; the Census Bureau under §3.1.b, within 18 months — the Bureau must conduct its first census before the first post-transition House reapportionment. Where the Legislature fails to establish a required agency within its deadline, §3.7.a applies: the function is administered on an interim basis by the responsible Inspectorate until the enabling statute is enacted and the agency is operational. The LI publishes a compliance notice to the NRS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§13.9 and §13.9.a,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2026-05-22T21:14:23.814Z</dcterms:created>
  <dcterms:modified xsi:type="dcterms:W3CDTF">2026-05-22T21:14:23.814Z</dcterms:modified>
</cp:coreProperties>
</file>

<file path=docProps/custom.xml><?xml version="1.0" encoding="utf-8"?>
<Properties xmlns="http://schemas.openxmlformats.org/officeDocument/2006/custom-properties" xmlns:vt="http://schemas.openxmlformats.org/officeDocument/2006/docPropsVTypes"/>
</file>