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follows §8.13 and eligibility is certified jointly by the EI and LI;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§15.1,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