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recognizing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1B2A4A"/>
          <w:sz w:val="18"/>
          <w:szCs w:val="18"/>
        </w:rPr>
        <w:t xml:space="preserve">§1.19.c  </w:t>
      </w:r>
      <w:r>
        <w:rPr>
          <w:rFonts w:ascii="Garamond" w:cs="Garamond" w:eastAsia="Garamond" w:hAnsi="Garamond"/>
          <w:b/>
          <w:bCs/>
          <w:i w:val="false"/>
          <w:iCs w:val="false"/>
          <w:color w:val="1B2A4A"/>
          <w:sz w:val="22"/>
          <w:szCs w:val="22"/>
        </w:rPr>
        <w:t xml:space="preserve">Monitor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color w:val="1B2A4A"/>
          <w:sz w:val="18"/>
          <w:szCs w:val="18"/>
        </w:rPr>
        <w:t xml:space="preserve">§1.19.d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§1.19.e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day of transfer.</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requires Civic Consul certification throughout; expenditure without Civic Consul certification is void. All military operations must state and be consistent with an authorized purpose under §14.1.</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 The Legat Consul may veto legislation that raises a genuine constitutional concern within the Legat Consul's security domain — military operations, intelligence, treaty obligations, or border security. A general or speculative security connection is insufficient. Either Speaker may petition the SC for an expedited domain determination of any disputed veto; the SC must rule within 7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Consular Domain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Indefinite circumvention of Senate confirmation through Acting appointments is constitutionally prohibited.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The Civic Consul — Domestic Executive Domain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answers to the Assembly through the confidence mechanism and does not require consular confirmation for the exercise of the domestic domain. The Civic Consul's domestic authority includes: all domestic policy and regulatory frameworks; the annual budget, which must originate with the Civic Consul and pass the Assembly; certification of military expenditure;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national security matters that bear on domestic interests; no classification may be used to withhold such information from the Civic Consul where it affects the exercise of the domestic domain.</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Civic Consul Accountability and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 No person may serve more than 8 years in total as Civic Consul across all periods of service; this limit is cumulative and permanent regardless of interruption. 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Civic Consul designates a serving Assembly member; the designation is published to the NRS and confirmed by the LM.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by absolute majority and the Senate has not designated a Civic Consul within 45 days of the Assembly failing to elect one within the statutory period, the Elections Panel administers a public dissolution referendum; the question is whether the people wish to dissolve the Assembly and hold a new election; the referendum is administered with a minimum 30-day campaign window; a simple majority decides. If the Assembly elects a Civic Consul by absolute majority at any point before the dissolution vote is certified, the referendum is moot and concludes without effect. Where the dissolution vote passes, dissolution takes effect from the moment of Elections Panel certification and is published to the NRS; a new Assembly general election follows under the ordinary electoral process; the Acting mechanism continues until the new Assembly elects a Civic Consul. 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A solvency objection requires an MA assessment; the Assembly may override by simple majority after receiving the assessment.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Consular Succession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Consular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the EM and LM jointly assess capacity and, on joint assessment published to the NRS, Acting Consular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1B2A4A"/>
          <w:sz w:val="18"/>
          <w:szCs w:val="18"/>
        </w:rPr>
        <w:t xml:space="preserve">§2.12  </w:t>
      </w:r>
      <w:r>
        <w:rPr>
          <w:rFonts w:ascii="Garamond" w:cs="Garamond" w:eastAsia="Garamond" w:hAnsi="Garamond"/>
          <w:b/>
          <w:bCs/>
          <w:i w:val="false"/>
          <w:iCs w:val="false"/>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1B2A4A"/>
          <w:sz w:val="18"/>
          <w:szCs w:val="18"/>
        </w:rPr>
        <w:t xml:space="preserve">§2.13  </w:t>
      </w:r>
      <w:r>
        <w:rPr>
          <w:rFonts w:ascii="Garamond" w:cs="Garamond" w:eastAsia="Garamond" w:hAnsi="Garamond"/>
          <w:b/>
          <w:bCs/>
          <w:i w:val="false"/>
          <w:iCs w:val="false"/>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1B2A4A"/>
          <w:sz w:val="18"/>
          <w:szCs w:val="18"/>
        </w:rPr>
        <w:t xml:space="preserve">§2.14  </w:t>
      </w:r>
      <w:r>
        <w:rPr>
          <w:rFonts w:ascii="Garamond" w:cs="Garamond" w:eastAsia="Garamond" w:hAnsi="Garamond"/>
          <w:b/>
          <w:bCs/>
          <w:i w:val="false"/>
          <w:iCs w:val="false"/>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for the purposes of this provision; concurrence makes the designation effective and it is published to the NRS immediately with both executives' attributed positions; objection or non-response refers the dispute to the SC under §2.15 for expedited review. A temporary lead designation does not extinguish the other executive's domain authorities or certification functions — it assigns operational coordination, not constitutional supremacy. Either executive may petition the SC directly for emergency resolution of a coordination failure; the SC must rule within the period defined by statute, not to exceed 48 hours.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color w:val="1B2A4A"/>
          <w:sz w:val="18"/>
          <w:szCs w:val="18"/>
        </w:rPr>
        <w:t xml:space="preserve">§2.14.a  </w:t>
      </w:r>
      <w:r>
        <w:rPr>
          <w:rFonts w:ascii="Garamond" w:cs="Garamond" w:eastAsia="Garamond" w:hAnsi="Garamond"/>
          <w:b/>
          <w:bCs/>
          <w:color w:val="1B2A4A"/>
          <w:sz w:val="22"/>
          <w:szCs w:val="22"/>
        </w:rPr>
        <w:t xml:space="preserve">Coordination Failure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are acting within their respective domains but their actions are materially incompatible — creating an operational deadlock not resolvable as a domain dispute under §2.4 or an emergency under §2.14 — either executive may declare a coordination failure by written NRS notice. Upon declaration, the matter is transmitted simultaneously to the Assembly Speaker and Senate Speaker jointly, and the Council of Ministers has 14 days to produce a joint resolution. The Legislature may resolve the deadlock by concurrent resolution of both chambers at any point within 30 days of the declaration — a concurrent resolution under this provision binds both executives to its terms for the duration of the impasse only and does not alter permanent domain boundaries. A Council of Ministers joint resolution published within the 14-day window closes the process; the Legislature takes no further action. Where neither the Council of Ministers nor the Legislature acts within 30 days of the declaration, the Civic Consul’s coordination authority governs the cross-domain interaction until either the executives reach agreement or the Legislature acts; the Legat Consul retains full authority within the Consular domain throughout and the default applies to how the two domains interact, not to the substance of matters within either domain.</w:t>
      </w:r>
    </w:p>
    <w:p>
      <w:pPr>
        <w:spacing w:after="60" w:before="200"/>
        <w:ind w:left="431"/>
        <w:jc w:val="left"/>
      </w:pPr>
      <w:r>
        <w:rPr>
          <w:rFonts w:ascii="Courier New" w:cs="Courier New" w:eastAsia="Courier New" w:hAnsi="Courier New"/>
          <w:b/>
          <w:bCs/>
          <w:color w:val="1B2A4A"/>
          <w:sz w:val="18"/>
          <w:szCs w:val="18"/>
        </w:rPr>
        <w:t xml:space="preserve">§2.15  </w:t>
      </w:r>
      <w:r>
        <w:rPr>
          <w:rFonts w:ascii="Garamond" w:cs="Garamond" w:eastAsia="Garamond" w:hAnsi="Garamond"/>
          <w:b/>
          <w:bCs/>
          <w:i w:val="false"/>
          <w:iCs w:val="false"/>
          <w:color w:val="1B2A4A"/>
          <w:sz w:val="22"/>
          <w:szCs w:val="22"/>
        </w:rPr>
        <w:t xml:space="preserve">Constitutional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conflict between constitutional actors creates a risk of suspension of lawful governance or constitutionally mandated essential services, the applicable constitutional default is continuity of lawful governance at existing scope, pending formal resolution. No constitutional actor may use a refusal to certify, approve, or coordinate as a mechanism to achieve the functional suspension of a constitutionally mandated obligation. The burden of justifying a disruption to essential government functions falls on the actor whose conduct creates the risk of disruption — not on the actor seeking to maintain continuity. The SC holds expedited review jurisdiction over any constitutional dispute in which either executive, either chamber, or the JMC reports that continuity of lawful governance is at immediate risk; the Court must act within seven days of such certification; where the SC fails to rule within seven days, the existing scope of government functions continues by constitutional operation pending any subsequent ruling. Continuity protections apply to: military operations with active legislative authorization; social state obligations; Monitor operations; NRS availability; and electoral administration.</w:t>
      </w:r>
    </w:p>
    <w:p>
      <w:pPr>
        <w:spacing w:after="80" w:before="200"/>
        <w:ind w:left="431"/>
      </w:pPr>
      <w:r>
        <w:rPr>
          <w:rFonts w:ascii="Courier New" w:cs="Courier New" w:hAnsi="Courier New"/>
          <w:b/>
          <w:bCs/>
          <w:color w:val="1B2A4A"/>
          <w:sz w:val="18"/>
          <w:szCs w:val="18"/>
        </w:rPr>
        <w:t xml:space="preserve">§2.16  </w:t>
      </w:r>
      <w:r>
        <w:rPr>
          <w:rFonts w:ascii="Garamond" w:cs="Garamond" w:hAnsi="Garamond"/>
          <w:b/>
          <w:bCs/>
          <w:color w:val="1B2A4A"/>
          <w:sz w:val="22"/>
          <w:szCs w:val="22"/>
        </w:rPr>
        <w:t xml:space="preserve">Federal Prosecution</w:t>
      </w:r>
    </w:p>
    <w:p>
      <w:pPr>
        <w:spacing w:after="120" w:before="0"/>
        <w:ind w:left="431"/>
        <w:jc w:val="both"/>
      </w:pPr>
      <w:r>
        <w:rPr>
          <w:rFonts w:ascii="Garamond" w:cs="Garamond" w:hAnsi="Garamond"/>
          <w:color w:val="2a2520"/>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and does not hold a place in the Legat Consul succession line.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Legislative compensation is set by independent formula, not by the Legislature itself;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a primary criterion.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provides standard residential accommodation at the Seat of Government to every serving member of both chambers during their period of service. The standard is defined by statute and applies equally to all members regardless of tenure, seniority, or political affiliation. Legislative compensation and accommodation standards may not be set by the Legislature itself.</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 Indigenous treaties under Article XVI may not be unilaterally withdrawn.</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1B2A4A"/>
          <w:sz w:val="18"/>
          <w:szCs w:val="18"/>
        </w:rPr>
        <w:t xml:space="preserve">§3.9  </w:t>
      </w:r>
      <w:r>
        <w:rPr>
          <w:rFonts w:ascii="Garamond" w:cs="Garamond" w:eastAsia="Garamond" w:hAnsi="Garamond"/>
          <w:b/>
          <w:bCs/>
          <w:i w:val="false"/>
          <w:iCs w:val="false"/>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color w:val="1B2A4A"/>
          <w:sz w:val="18"/>
          <w:szCs w:val="18"/>
        </w:rPr>
        <w:t xml:space="preserve">§3.10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1B2A4A"/>
          <w:sz w:val="18"/>
          <w:szCs w:val="18"/>
        </w:rPr>
        <w:t xml:space="preserve">§3.11  </w:t>
      </w:r>
      <w:r>
        <w:rPr>
          <w:rFonts w:ascii="Garamond" w:cs="Garamond" w:eastAsia="Garamond" w:hAnsi="Garamond"/>
          <w:b/>
          <w:bCs/>
          <w:color w:val="1B2A4A"/>
          <w:sz w:val="22"/>
          <w:szCs w:val="22"/>
        </w:rPr>
        <w:t>Inviolability of Electoral Mandates</w:t>
      </w:r>
    </w:p>
    <w:p>
      <w:pPr>
        <w:spacing w:after="120" w:before="0"/>
        <w:ind w:left="431"/>
        <w:jc w:val="both"/>
      </w:pPr>
      <w:r>
        <w:rPr>
          <w:rFonts w:ascii="Garamond" w:cs="Garamond" w:eastAsia="Garamond" w:hAnsi="Garamond"/>
          <w:b w:val="false"/>
          <w:bCs w:val="false"/>
          <w:i w:val="false"/>
          <w:iCs w:val="false"/>
          <w:color w:val="auto"/>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color w:val="1B2A4A"/>
          <w:sz w:val="18"/>
          <w:szCs w:val="18"/>
        </w:rPr>
        <w:t xml:space="preserve">§3.12  </w:t>
      </w:r>
      <w:r>
        <w:rPr>
          <w:rFonts w:ascii="Garamond" w:cs="Garamond" w:eastAsia="Garamond" w:hAnsi="Garamond"/>
          <w:b/>
          <w:b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1B2A4A"/>
          <w:sz w:val="18"/>
          <w:szCs w:val="18"/>
        </w:rPr>
        <w:t xml:space="preserve">§3.13  </w:t>
      </w:r>
      <w:r>
        <w:rPr>
          <w:rFonts w:ascii="Garamond" w:cs="Garamond" w:eastAsia="Garamond" w:hAnsi="Garamond"/>
          <w:b/>
          <w:b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80" w:before="200"/>
        <w:ind w:left="431"/>
      </w:pPr>
      <w:r>
        <w:rPr>
          <w:rFonts w:ascii="Courier New" w:cs="Courier New" w:eastAsia="Courier New" w:hAnsi="Courier New"/>
          <w:b/>
          <w:bCs/>
          <w:color w:val="1B2A4A"/>
          <w:sz w:val="18"/>
          <w:szCs w:val="18"/>
        </w:rPr>
        <w:t xml:space="preserve">§3.14  </w:t>
      </w:r>
      <w:r>
        <w:rPr>
          <w:rFonts w:ascii="Garamond" w:cs="Garamond" w:eastAsia="Garamond" w:hAnsi="Garamond"/>
          <w:b/>
          <w:bCs/>
          <w:i w:val="false"/>
          <w:iCs w:val="false"/>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meeting the qualifications for inferior court judges defined by statute may apply directly to the Elections Panel; the Elections Panel applies those qualifications and enters qualifying applicants into the pool; the JM’s ongoing audit of the Elections Panel encompasses the administration of the inferior court judge pool. Exceptions to pool eligibility — including persons currently holding government positions, those with disqualifying financial interests, and those removed from a court within a recent period — are defined by statute. The Civic Consul nominates inferior court judges from the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Supreme Court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SC justices are nominated by the Civic Consul from the open SC Candidate Registry maintained by the Elections Panel under §9.4.b — any eligible citizen who applies and meets the qualification criteria is entered.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SC Candidate Registry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SC Candidate Registry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a statute that is constitutionally permissible but poor policy is not the court's concern.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color w:val="1B2A4A"/>
          <w:sz w:val="18"/>
          <w:szCs w:val="18"/>
        </w:rPr>
        <w:t xml:space="preserve">§4.6  </w:t>
      </w:r>
      <w:r>
        <w:rPr>
          <w:rFonts w:ascii="Garamond" w:cs="Garamond" w:eastAsia="Garamond" w:hAnsi="Garamond"/>
          <w:b/>
          <w:bCs/>
          <w:i w:val="false"/>
          <w:iCs w:val="false"/>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color w:val="1B2A4A"/>
          <w:sz w:val="18"/>
          <w:szCs w:val="18"/>
        </w:rPr>
        <w:t xml:space="preserve">§4.7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No citizenship may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Derivative and Founding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All individuals holding voting rights on Day Zero of ratification are automatically granted full citizenship as founding members of the Republic without testing or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spacing w:after="60" w:before="200"/>
        <w:ind w:left="431"/>
        <w:jc w:val="left"/>
      </w:pPr>
      <w:r>
        <w:rPr>
          <w:rFonts w:ascii="Courier New" w:cs="Courier New" w:eastAsia="Courier New" w:hAnsi="Courier New"/>
          <w:b/>
          <w:bCs/>
          <w:color w:val="1B2A4A"/>
          <w:sz w:val="18"/>
          <w:szCs w:val="18"/>
        </w:rPr>
        <w:t xml:space="preserve">§6.3.c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eligible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 </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All federal elections, referenda, and confirmation votes are administered by the Elections Panel using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its constitutional standards. 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7 days. No further postponement may be granted without a new Elections Panel finding of impossibility and a new 2/3 legislative determination.</w:t>
      </w:r>
    </w:p>
    <w:p>
      <w:pPr>
        <w:spacing w:after="60" w:before="200"/>
        <w:jc w:val="left"/>
      </w:pPr>
      <w:r>
        <w:rPr>
          <w:rFonts w:ascii="Garamond" w:cs="Garamond" w:eastAsia="Garamond" w:hAnsi="Garamond"/>
          <w:b/>
          <w:bCs/>
          <w:i w:val="false"/>
          <w:iCs w:val="false"/>
          <w:color w:val="1B2A4A"/>
          <w:sz w:val="34"/>
          <w:szCs w:val="34"/>
        </w:rPr>
        <w:t xml:space="preserve">Article 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finance is regulated to prevent structural distortion of democratic accountability through concentrated financial influence. 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Characterization, emphasis, and contextual framing of voting records are protected expression.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a publicly funded campaign financing system as an alternative to private fundraising. The system provides all registered candidates with equal baseline funding; no allocation may advantage incumbents or established political organizations. Candidates who accept public financing are subject to spending limits defined by statute. The Legislature may create a matching funds component amplifying small donations; matching thresholds, caps, and ratios must apply equally to all participating candidates. The Elections Panel administers disbursement and audits all campaign finance records within the period defined by statute following any election, not to exceed 90 days. Candidates who receive impermissible contributions must promptly report them and either return them to the contributor or remit them to the public campaign financing fund; the Legislature defines reporting timelines and procedures by statute.</w:t>
      </w:r>
    </w:p>
    <w:p>
      <w:pPr>
        <w:spacing w:after="60" w:before="200"/>
        <w:jc w:val="left"/>
      </w:pPr>
      <w:r>
        <w:rPr>
          <w:rFonts w:ascii="Garamond" w:cs="Garamond" w:eastAsia="Garamond" w:hAnsi="Garamond"/>
          <w:b/>
          <w:bCs/>
          <w:i w:val="false"/>
          <w:iCs w:val="false"/>
          <w:color w:val="1B2A4A"/>
          <w:sz w:val="34"/>
          <w:szCs w:val="34"/>
        </w:rPr>
        <w:t xml:space="preserve">Article IX — The Monitors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Monitors — Legislative (LM), Executive (EM), and Judicial (JM) — each selected by bodies other than those it oversees. The Monitors hold an information-only mandate: they publish findings but do not issue binding orders. Each Monitor General serves a 10-year non-renewable term with a constitutionally protected funding floor. Failure of a Monitor to act does not extinguish constitutional authority or suspend any constitutional obligation, unless this Constitution explicitly provides otherwise. The Monitors are the Republic's independent auditors. Their mandate is to observe constitutional processes, verify factual and legal compliance, and publish expert findings to the NRS. Monitor findings carry the authority of expert analysis — available to any party, given due weight, and not binding on any constitutional actor. No Monitor finding or assessment is a prerequisite for any legal proceeding, constitutional mechanism, or governmental function. Any constitutional officer, chamber, or body may request a focused assessment from any Monitor within that Monitor’s audit mandate, specifying a date by which the assessment is required. The Monitor publishes the assessment by the requested date where practicable; where this is not practicable, the Monitor publishes the reason and an estimated completion date within five days of receiving the request. Persistent non-responsiveness to reasonable requests may be published by the other two Monitors as a non-responsiveness finding to the NRS. A requesting party may proceed with any constitutional process whether or not a requested assessment has been published.</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 audits both executives and the Monetary Authority. Annual responsibilities include: military compliance assessment covering whether tier authorizations were followed, whether the §2.3 intelligence warrant requirement was maintained, and whether fund certifications were observed,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audits the courts for judicial scope and independence, and conducts annual audits of the Elections Panel for electoral integrity compliance, including the administration of the SC Candidate Registry and all constitutional pools. The JM reviews accommodation compact compliance, Associated Community compact compliance under Article XX, and Article XVI indigenous compact obligations. The JM's mandate is procedural neutrality: ensuring that all functions requiring independence from political bias are conducted under an impartial constitutional authority. The JM's lottery-based selection makes it the appropriate body to administer all constitutional lottery draws and candidate certification functions throughout the Republic.</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Monitor is constituted through a process that structurally excludes the body being watched from selecting its watchers. The SC nominates the LM Monitor General, confirmed by national popular vote — the Legislature and both executives are entirely excluded. The Assembly Speaker and Senate Speaker jointly nominate the EM Monitor General, confirmed by national popular vote with JM audit findings on the nominee’s disclosure record published to the NRS before the vote — the executives are excluded and neither Speaker can act alone. The JM Monitor General is selected by public lottery from a pool of former judges audited by the LM and EM — the JM has no role in constituting or certifying its own candidate pool.</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Monitor General is nominated by the SC from a pool of qualified candidates maintained by the Elections Panel and audited jointly by the EM and JM, sufficiently in advance under the timeline defined by statute to ensure confirmation is complete before the transition under §3.13; confirmed by national popular vote at the next federal electoral period following nomination, by simple majority of votes cast. The confirmed successor assumes full Monitor General authority at the precise moment the incumbent’s term concludes under §3.13. If the confirmation vote fails, the §9.1.d acting mechanism activates and the SC initiates a new nomination from the pool within 60 days. The EM Monitor General is nominated jointly by the Assembly Speaker and Senate Speaker from a pool of qualified candidates maintained by the Elections Panel and audited jointly by the LM and JM, sufficiently in advance under the timeline defined by statute under §3.13; confirmed by national popular vote at the next federal electoral period following nomination, by simple majority of votes cast, with JM audit findings on the nominee’s disclosure record published to the NRS before the vote. The same timing and failed-vote provisions apply. Where the Assembly Speaker and Senate Speaker fail to jointly nominate within 60 days of a vacancy being published to the NRS, the Senate selects a nominee from the pool directly by 2/3 vote of full seated membership; the selected nominee proceeds to national popular vote confirmation on the same terms; the executives remain excluded from nomination under both paths. The JM Monitor General is selected by public lottery under §9.12 from the JM Candidate Pool under §9.4.a maintained by the Elections Panel, conducted at the statutory timeline under §3.13, sufficiently in advance to ensure seamless succession. The lottery-selected candidate is confirmed by national popular vote at the next federal electoral period following the draw, by simple majority of votes cast; the confirmed candidate assumes office at the precise moment the incumbent’s term concludes under §3.13. If the confirmation vote fails, the §9.1.d acting mechanism activates and the JMC conducts a new lottery from the pool within 60 days; the same confirmation process applies to the new selection. All Monitor Generals serve 10-year non-renewable terms. No two Monitor General terms may begin within 18 months of each other, ensuring continuous institutional knowledge across offices. The Elections Panel administers all Monitor General confirmation votes as part of the regular federal electoral period ballot.</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holds two constitutional mandates: as auditor, it monitors the court system, audits the Elections Panel’s administration of the SC Candidate Registry,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w:t>
      </w:r>
    </w:p>
    <w:p>
      <w:pPr>
        <w:spacing w:after="60" w:before="200"/>
        <w:ind w:left="431"/>
        <w:jc w:val="left"/>
      </w:pPr>
      <w:r>
        <w:rPr>
          <w:rFonts w:ascii="Courier New" w:cs="Courier New" w:eastAsia="Courier New" w:hAnsi="Courier New"/>
          <w:b/>
          <w:bCs/>
          <w:color w:val="1B2A4A"/>
          <w:sz w:val="18"/>
          <w:szCs w:val="18"/>
        </w:rPr>
        <w:t xml:space="preserve">§9.4.a  </w:t>
      </w:r>
      <w:r>
        <w:rPr>
          <w:rFonts w:ascii="Garamond" w:cs="Garamond" w:eastAsia="Garamond" w:hAnsi="Garamond"/>
          <w:b/>
          <w:bCs/>
          <w:i w:val="false"/>
          <w:iCs w:val="false"/>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1B2A4A"/>
          <w:sz w:val="18"/>
          <w:szCs w:val="18"/>
        </w:rPr>
        <w:t xml:space="preserve">§9.4.b  </w:t>
      </w:r>
      <w:r>
        <w:rPr>
          <w:rFonts w:ascii="Garamond" w:cs="Garamond" w:eastAsia="Garamond" w:hAnsi="Garamond"/>
          <w:b/>
          <w:bCs/>
          <w:i w:val="false"/>
          <w:iCs w:val="false"/>
          <w:color w:val="1B2A4A"/>
          <w:sz w:val="22"/>
          <w:szCs w:val="22"/>
        </w:rPr>
        <w:t xml:space="preserve">Supreme Court Candidate Registry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standing SC Candidate Registry.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SC Candidate Registry;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i w:val="false"/>
          <w:iCs w:val="false"/>
          <w:color w:val="1B2A4A"/>
          <w:sz w:val="22"/>
          <w:szCs w:val="22"/>
        </w:rPr>
        <w:t xml:space="preserve">Monitor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color w:val="1B2A4A"/>
          <w:sz w:val="18"/>
          <w:szCs w:val="18"/>
        </w:rPr>
        <w:t xml:space="preserve">§9.6  </w:t>
      </w:r>
      <w:r>
        <w:rPr>
          <w:rFonts w:ascii="Garamond" w:cs="Garamond" w:eastAsia="Garamond" w:hAnsi="Garamond"/>
          <w:b/>
          <w:bCs/>
          <w:i w:val="false"/>
          <w:iCs w:val="false"/>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§9.9  </w:t>
      </w:r>
      <w:r>
        <w:rPr>
          <w:rFonts w:ascii="Garamond" w:cs="Garamond" w:eastAsia="Garamond" w:hAnsi="Garamond"/>
          <w:b/>
          <w:bCs/>
          <w:i w:val="false"/>
          <w:iCs w:val="false"/>
          <w:color w:val="1B2A4A"/>
          <w:sz w:val="22"/>
          <w:szCs w:val="22"/>
        </w:rPr>
        <w:t xml:space="preserve">Removal Grounds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To initiate a standard track removal vote under §9.14, the charging party — a concurrent resolution of 1/3 of either chamber, or two of the three Monitors jointly — must file stated grounds with the SC. The SC determines within 14 days whether the stated grounds constitute at least one statutory removal category for the subject office as defined by the Legislature. If grounds are confirmed, duty suspension activates immediately and the Legislature may proceed to a removal vote. If grounds are not confirmed: the process closes and may not be reinitiated on the same or substantially similar grounds within six months. The SC reviews constitutional category only — it does not assess the factual merits or credibility of the underlying allegations. No per-proceeding panel is required; the SC performs this function directly. The Legislature defines the enumerated removal categories for each constitutionally confirmed office by statute; no removal vote may proceed without the SC’s categorical confirmation under this section. Where the SC fails to publish its determination within 14 days, the stated grounds are deemed confirmed by constitutional operation and duty suspension activates immediately; the Legislature may proceed to a removal vote as if grounds had been confirmed.</w:t>
      </w:r>
    </w:p>
    <w:p>
      <w:pPr>
        <w:spacing w:after="60" w:before="200"/>
        <w:ind w:left="431"/>
        <w:jc w:val="left"/>
      </w:pPr>
      <w:r>
        <w:rPr>
          <w:rFonts w:ascii="Courier New" w:cs="Courier New" w:eastAsia="Courier New" w:hAnsi="Courier New"/>
          <w:b/>
          <w:bCs/>
          <w:color w:val="1B2A4A"/>
          <w:sz w:val="18"/>
          <w:szCs w:val="18"/>
        </w:rPr>
        <w:t xml:space="preserve">§9.10  </w:t>
      </w:r>
      <w:r>
        <w:rPr>
          <w:rFonts w:ascii="Garamond" w:cs="Garamond" w:eastAsia="Garamond" w:hAnsi="Garamond"/>
          <w:b/>
          <w:bCs/>
          <w:i w:val="false"/>
          <w:iCs w:val="false"/>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1B2A4A"/>
          <w:sz w:val="18"/>
          <w:szCs w:val="18"/>
        </w:rPr>
        <w:t xml:space="preserve">§9.11  </w:t>
      </w:r>
      <w:r>
        <w:rPr>
          <w:rFonts w:ascii="Garamond" w:cs="Garamond" w:eastAsia="Garamond" w:hAnsi="Garamond"/>
          <w:b/>
          <w:bCs/>
          <w:i w:val="false"/>
          <w:iCs w:val="false"/>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1B2A4A"/>
          <w:sz w:val="18"/>
          <w:szCs w:val="18"/>
        </w:rPr>
        <w:t xml:space="preserve">§9.11.a  </w:t>
      </w:r>
      <w:r>
        <w:rPr>
          <w:rFonts w:ascii="Garamond" w:cs="Garamond" w:eastAsia="Garamond" w:hAnsi="Garamond"/>
          <w:b/>
          <w:b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1B2A4A"/>
          <w:sz w:val="18"/>
          <w:szCs w:val="18"/>
        </w:rPr>
        <w:t xml:space="preserve">§9.12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all constitutional candidate registries and pools as the administrative keeper of record. The Elections Panel receives applications, stores records, provides public access via the NRS, and enters qualifying applicants into the relevant registry or pool by applying the published qualification requirements. The relevant Monitor’s ongoing audit encompasses the Elections Panel’s administration of each pool and registry; audit findings are published to the NRS. Any applicant excluded may appeal to the SC within 14 days on the sole ground that the qualification requirements were misapplied. Pool records and audit findings are public NRS records at all times. The Joint Monitor Council conducts the draw in a public session, certifies the result jointly, and publishes it to the NRS. Where selection is by deliberate nomination, the named officer nominates from pool members. Where confirmation is required, the Senate must act within the period defined by the establishing provision; failure to confirm within that period is a constitutional compliance breach. The JM monitors all constitutional pools annually and publishes a status report.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and a designation is made under the ordinary acting mechanism; this fallback applies only to judicial and Monitor pools.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§9.13  </w:t>
      </w:r>
      <w:r>
        <w:rPr>
          <w:rFonts w:ascii="Garamond" w:cs="Garamond" w:eastAsia="Garamond" w:hAnsi="Garamond"/>
          <w:b/>
          <w:bCs/>
          <w:color w:val="1B2A4A"/>
          <w:sz w:val="22"/>
          <w:szCs w:val="22"/>
        </w:rPr>
        <w:t xml:space="preserve">Registry Integrity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w:t>
      </w:r>
    </w:p>
    <w:p>
      <w:pPr>
        <w:spacing w:after="60" w:before="200"/>
        <w:ind w:left="431"/>
        <w:jc w:val="left"/>
      </w:pPr>
      <w:r>
        <w:rPr>
          <w:rFonts w:ascii="Courier New" w:cs="Courier New" w:eastAsia="Courier New" w:hAnsi="Courier New"/>
          <w:b/>
          <w:bCs/>
          <w:color w:val="1B2A4A"/>
          <w:sz w:val="18"/>
          <w:szCs w:val="18"/>
        </w:rPr>
        <w:t xml:space="preserve">§9.14  </w:t>
      </w:r>
      <w:r>
        <w:rPr>
          <w:rFonts w:ascii="Garamond" w:cs="Garamond" w:eastAsia="Garamond" w:hAnsi="Garamond"/>
          <w:b/>
          <w:bCs/>
          <w:color w:val="1B2A4A"/>
          <w:sz w:val="22"/>
          <w:szCs w:val="22"/>
        </w:rPr>
        <w:t xml:space="preserve">Constitutional Officer Removal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section governs for-cause removal of all constitutionally confirmed independent officers except Supreme Court justices (§4.3.b) and elected executives. Two removal tracks are available. Under the Standard Track, the charging party files stated grounds with the SC under §9.9; the SC confirms grounds within 14 days; duty suspension activates immediately on confirmation; removal requires a 2/3 vote of both chambers in a concurrent vote; no removal vote may be held within 180 days of a major national election without prior SC review within 48 hours. Under the Judicial Track, where two of the three Monitors jointly assess and report for-cause grounds and petition the SC, the SC determines within 30 days whether the certified grounds constitute sufficient cause for suspension; where the SC fails to rule within 30 days, cause is deemed found by constitutional operation; if cause is found or deemed found, the officer is suspended and the most senior deputy acts in the interim; the Senate has 60 days to hold a removal vote, with 3/5 required for permanent removal; a vote failing 3/5 reinstates the officer and closes the process; where the Senate fails to vote within 60 days, the matter is placed before the next federal electoral period ballot or a Legislature-set special election with a minimum 90-day notice period; removal by election requires 60% of votes cast. The Judicial Track is available where the Standard Track’s legislative threshold appears unreachable due to demonstrated political gridlock. Officers subject to this framework include the Monitor Generals and any other officers whose selection process is established by this Constitution rather than by statute. Officers of independent agencies established under §3.9 are not subject to this framework; their removal is governed by the statute establishing the relevant agency, which must preserve the for-cause removal principle. Provisions governing specific offices may cross-reference this section without restating its terms.</w:t>
      </w:r>
    </w:p>
    <w:p>
      <w:pPr>
        <w:spacing w:after="60" w:before="200"/>
        <w:jc w:val="left"/>
      </w:pPr>
      <w:r>
        <w:rPr>
          <w:rFonts w:ascii="Garamond" w:cs="Garamond" w:eastAsia="Garamond" w:hAnsi="Garamond"/>
          <w:b/>
          <w:bCs/>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authority of this Constitution is published to the NRS as a permanent record. No provision of this Constitution need state this obligation individually; it applies universally by operation of this section. Where this Constitution specifies a publication timeline, that timeline governs; in all other cases, publication occurs at or before the effective moment of the act. Records may not be deleted, altered, or reclassified after publication; corrections are published as new entries alongside the original. Where the NRS Panel determines by unanimous vote that a record was published in error and its continued availability poses an imminent, specific, and documented threat to individual safety, the NRS Panel may temporarily restrict access for a period not to exceed 30 days while the SC reviews the restriction; the SC must rule within 14 days; the record is permanently restored unless the SC confirms the restriction on the narrowest possible grounds. The original record timestamp and the restriction record both remain as permanent NRS entries. The NRS must remain fully functional in the event of localized technical failure — no single point of failure is constitutionally acceptable. The Legislature defines technical standards by statute. The NRS includes a permanent historical archive of all prior legislative acts, executive orders, judicial decisions, and government documents dating to the Republic's founding. Records published to the NRS by any jurisdiction within the Republic are recognized as authentic by all other jurisdictions without re-certification. Monitor reports are permanently exempt from classification. Citizens may submit corrections or context to any NRS record through a public mechanism maintained by the LM; submissions are published alongside the original after accuracy review. The NRS is the record of government, not a condition of it. Government acts take legal effect from the moment of issuance regardless of NRS status; the publication obligation applies from the moment the NRS is restored. The JM maintains a continuously operating parallel authentication system, physically and logistically independent of the NRS, capable of authenticating and preserving all constitutional acts without NRS connectivity. This system operates in parallel at all times — not merely as a contingency — and records all authenticated acts with full constitutional effect from the moment of their issuance. Upon NRS restoration, all parallel system records migrate to the NRS as permanent records with their original issuance timestamps. Where the NRS has not been restored within 180 days, the parallel system becomes the constitutional record of the Republic; the Legislature must by statute establish permanent restoration obligations and timelines within 90 days of that threshold. The Legislature defines the technical specifications, security standards, and operational parameters of the parallel system by statute; the constitutional obligation to maintain it is absolute and its funding floor follows the NRS funding floor in this section. Funding for the NRS may not be reduced below the prior year’s level without a 2/3 vote of both chambers. Classification used to conceal a constitutional violation or illegal order is itself a constitutional offense.</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Duration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spacing w:after="60" w:before="200"/>
        <w:jc w:val="left"/>
      </w:pPr>
      <w:r>
        <w:rPr>
          <w:rFonts w:ascii="Garamond" w:cs="Garamond" w:eastAsia="Garamond" w:hAnsi="Garamond"/>
          <w:b/>
          <w:bCs/>
          <w:i w:val="false"/>
          <w:iCs w:val="false"/>
          <w:color w:val="1B2A4A"/>
          <w:sz w:val="34"/>
          <w:szCs w:val="34"/>
        </w:rPr>
        <w:t xml:space="preserve">Article XI — NRS Panel and Elections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operates the National Voting System and administers all federal elections, referenda, and confirmation votes. Each panel is operationally independent of the other and of both executives and the Legislature in the exercise of its functions; neither panel may direct the other.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neither panel holds legislative, executive, judicial, or policy authority.</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Every citizen holds the right to vote in federal elections.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States may offer early voting, mail-in ballots, and alternative participation methods provided all methods connect to the NVS and meet its constitutional standards. No State may reduce NVS access, functionality, or availability within its territory.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Panel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w:t>
      </w:r>
    </w:p>
    <w:p>
      <w:pPr>
        <w:spacing w:after="60" w:before="200"/>
        <w:jc w:val="left"/>
      </w:pPr>
      <w:r>
        <w:rPr>
          <w:rFonts w:ascii="Garamond" w:cs="Garamond" w:eastAsia="Garamond" w:hAnsi="Garamond"/>
          <w:b/>
          <w:bCs/>
          <w:i w:val="false"/>
          <w:iCs w:val="false"/>
          <w:color w:val="1B2A4A"/>
          <w:sz w:val="34"/>
          <w:szCs w:val="34"/>
        </w:rPr>
        <w:t xml:space="preserve">Article XII — Social State and Economic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 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has exclusive authority to levy taxes, duties, and tariffs by statute; no other body may impose a tax, duty, or levy. All public money received by the Republic — including tax revenue, fees, and other receipts — is deposited into the National Revenue Fund. No money may be withdrawn from the National Revenue Fund except by legislative appropriation under §12.2; the EM audits the Fund’s receipts and disbursements as part of its annual fiscal mandate. No tax may discriminate on the basis of the characteristics listed in §1.6. The Legislature sets tax rates for all jurisdictions within the Republic, including States, Territories, and Associated Communities. Tariff rates established by a ratified treaty under §3.6 constitute legislatively authorized rates for the duration of that treaty;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statute and is a public record on the NRS. Official benefits and accommodations beyond compensation reflect the functional requirements of the office, not the status of the officeholder. No benefit may exceed what the function genuinely requires. Departures from ordinary professional standards require a demonstrable operational need, documented and published to the NRS, and are limited to the minimum extent that need requires.</w:t>
      </w:r>
    </w:p>
    <w:p>
      <w:pPr>
        <w:spacing w:after="8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8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spacing w:after="60" w:before="200"/>
        <w:jc w:val="left"/>
      </w:pPr>
      <w:r>
        <w:rPr>
          <w:rFonts w:ascii="Garamond" w:cs="Garamond" w:eastAsia="Garamond" w:hAnsi="Garamond"/>
          <w:b/>
          <w:bCs/>
          <w:i w:val="false"/>
          <w:iCs w:val="false"/>
          <w:color w:val="1B2A4A"/>
          <w:sz w:val="34"/>
          <w:szCs w:val="34"/>
        </w:rPr>
        <w:t xml:space="preserve">Article XIII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by petition of 5% of eligible voters within 90 days of enactment.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cannot be re-initiated on the same or substantially similar grounds for 5 years; the Legislature may re-enact a repealed law, which is again subject to referendum.</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propose legislation directly to the Legislature by petition of 10% of eligible voters. The Legislature must vote on the proposal within 90 days; if it fails or is not voted on, the proposal proceeds to a direct citizen referendum; passage requires 60% of votes cast with at least 50% citizen participation.</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pPr>
        <w:spacing w:after="60" w:before="200"/>
        <w:jc w:val="left"/>
      </w:pPr>
      <w:r>
        <w:rPr>
          <w:rFonts w:ascii="Garamond" w:cs="Garamond" w:eastAsia="Garamond" w:hAnsi="Garamond"/>
          <w:b/>
          <w:bCs/>
          <w:i w:val="false"/>
          <w:iCs w:val="false"/>
          <w:color w:val="1B2A4A"/>
          <w:sz w:val="34"/>
          <w:szCs w:val="34"/>
        </w:rPr>
        <w:t xml:space="preserve">Article XIV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force serves two authorized purposes: protection of the Republic's territory, citizens, and treaty allies; and, with legislative authorization stating the specific grounds, response to genocide as recognized under international law.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expenditure is authorized through Civic Consul certification concurrent with legislative authorization. No military operation may be funded without Civic Consul certification; the Civic Consul may certify, condition, or decline certification on any operation. Expenditure in categories not covered by the certification requires supplementary Civic Consul certification. When legislative authorization expires or is not renewed, all military expenditure ceases; ongoing contracts may continue to wind down for the period the Legislature defines by statute; no new commitments may be entered after authorization expires. The EM audits all military expenditure during active operations and publishes findings to the NRS. Within the period the Legislature defines by statute following the conclusion of any military operation, not to exceed 180 days, the EM publishes a comprehensive expenditure accountability report. Where the Civic Consul declines certification for ongoing military operations that have been legislatively authorized, previously certified operational expenditure continues at maintenance-only levels for the period the Legislature defines by statute — covering only operations explicitly within the prior authorization, with no escalations, expansions, or new commitments permitted; the Legat Consul must publish notice of the certification refusal to the NRS within 24 hours with stated grounds; both chambers must be notified simultaneously; if the Legislature does not act within the maintenance period, all expenditure ceases. A Civic Consul who declines certification bears the same constitutional attribution for the consequences of that decision as a Legat Consul who orders an operation.</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Military Intelligence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Intelligence capabilities used in support of authorized military operations are subject to the §2.3 warrant requirement at all times — no military operation authorizes domestic intelligence collection against citizens without independent judicial authorization. Intelligence activities must be published to the NRS in classified summary form within the period defined by statute following military operations being fully concluded.</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period defined by statute following legislative military authorization being renewed for a second time, the Senate must approve a Transition and Reconstruction Plan specifying the Republic's post-conflict obligations: status of alliance obligations, civilian reconstruction support, transitional justice support, and withdrawal timeline. The Plan is published to the NRS and is binding on both executives within their respective domains. If the Senate fails to approve a Plan within the required period, that failure is a constitutional compliance breach; the Civic Consul may provisionally extend expenditure certification for continued operations for up to 60 days total in two 30-day extensions, each requiring Civic Consul notification to the Senate and publication to the NRS confirming that the certified expenditure remains within the Declaration's scope; operational authority over those operations remains with the Legat Consul throughout. Once the two extensions are exhausted, no further authorization renewals are permitted until the Senate approves a Plan.</w:t>
      </w:r>
    </w:p>
    <w:p>
      <w:pPr>
        <w:spacing w:after="60" w:before="200"/>
        <w:ind w:left="431"/>
        <w:jc w:val="left"/>
      </w:pPr>
      <w:r>
        <w:rPr>
          <w:rFonts w:ascii="Courier New" w:cs="Courier New" w:eastAsia="Courier New" w:hAnsi="Courier New"/>
          <w:b/>
          <w:bCs/>
          <w:color w:val="1B2A4A"/>
          <w:sz w:val="18"/>
          <w:szCs w:val="18"/>
        </w:rPr>
        <w:t xml:space="preserve">§14.5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Civic Consul certification of expenditure applies from the moment of action under §14.2.</w:t>
      </w:r>
    </w:p>
    <w:p>
      <w:pPr>
        <w:spacing w:after="60" w:before="200"/>
        <w:jc w:val="left"/>
      </w:pPr>
      <w:r>
        <w:rPr>
          <w:rFonts w:ascii="Garamond" w:cs="Garamond" w:eastAsia="Garamond" w:hAnsi="Garamond"/>
          <w:b/>
          <w:bCs/>
          <w:i w:val="false"/>
          <w:iCs w:val="false"/>
          <w:color w:val="1B2A4A"/>
          <w:sz w:val="34"/>
          <w:szCs w:val="34"/>
        </w:rPr>
        <w:t xml:space="preserve">Article XV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operates under a Territorial Compact,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three paths: a two-year federal remediation commission; a State-managed remediation plan subject to LM quarterly assessment of progress against the published compliance requirements; or devolution to Territory status. A State-managed plan that fails two consecutive quarterly assessments automatically triggers a new citizen vote between the remaining two options. A devolved State returns to Territory status. Sitting senators complete their current elected terms — Senate seats are not vacated — but no new Senate elections may be held until Statehood is restored; existing Assembly members complete their current terms; Article I rights and social state protections continue without interruption. Restoration to Statehood is automatic upon passing the Statehood Audit and completing the Provisional Membership Period. Within 30 days of devolution taking effect,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1B2A4A"/>
          <w:sz w:val="18"/>
          <w:szCs w:val="18"/>
        </w:rPr>
        <w:t xml:space="preserve">§15.4  </w:t>
      </w:r>
      <w:r>
        <w:rPr>
          <w:rFonts w:ascii="Garamond" w:cs="Garamond" w:eastAsia="Garamond" w:hAnsi="Garamond"/>
          <w:b/>
          <w:bCs/>
          <w:i w:val="false"/>
          <w:iCs w:val="false"/>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a State referendum achieving 60% approval of eligible voters on the specific proposed restructuring; and Senate approval of a negotiated restructuring agreement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resulting from voluntary devolution enters the Statehood re-qualification pathway immediately.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and acceptance by the Legislature by 2/3 of both chambers. Under §9.1, either chamber may request a JM assessment of the entity's compliance with §1.19.b before the incorporation vote; published JM findings must be given due consideration. Any person with standing may challenge the incorporation before the SC on the ground that the entity systematically violates §1.19.b. An accepted petition produces an incorporation agreement specifying a transition period not exceeding 48 months.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1B2A4A"/>
          <w:sz w:val="18"/>
          <w:szCs w:val="18"/>
        </w:rPr>
        <w:t xml:space="preserve">§15.7  </w:t>
      </w:r>
      <w:r>
        <w:rPr>
          <w:rFonts w:ascii="Garamond" w:cs="Garamond" w:eastAsia="Garamond" w:hAnsi="Garamond"/>
          <w:b/>
          <w:bCs/>
          <w:i w:val="false"/>
          <w:iCs w:val="false"/>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jc w:val="left"/>
      </w:pPr>
      <w:r>
        <w:rPr>
          <w:rFonts w:ascii="Garamond" w:cs="Garamond" w:eastAsia="Garamond" w:hAnsi="Garamond"/>
          <w:b/>
          <w:bCs/>
          <w:i w:val="false"/>
          <w:iCs w:val="false"/>
          <w:color w:val="1B2A4A"/>
          <w:sz w:val="34"/>
          <w:szCs w:val="34"/>
        </w:rPr>
        <w:t xml:space="preserve">Article XVI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compact establishes a working mechanism for implementation and day-to-day administration in a form the parties agree. The Legat Consul designates a ministerial counterpart within the Legat Consul’s office for each compact relationship; this designation is published to the NRS. Disputes not resolved through the compact’s working mechanism are referred to independent adjudication on terms the compact specifies. Constitutional questions arising from compact interpretation are appealed to the SC, which must rule within 90 days of petition; where the SC fails to rule within 90 days, the Nation’s position is upheld by constitutional operation pending any subsequent ruling.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and exit terms are concluded; exit terms are negotiated by the Legat Consul and ratified by the Senate under §3.6; if no exit agreement is reached within 24 months, either party may petition the SC to resolve the outstanding terms.</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 dispute resolution process. Any resident of compact territory who believes an Article I right has been violated may bring an Emergency Rights Writ directly to the SC, bypassing all lower courts and the compact dispute resolution process; the SC must rule within 7 days; where the SC fails to rule within 7 days, the Writ is granted and the alleged violation is treated as confirmed pending full SC review. Indigenous communities that do not currently hold a compact may petition the Senate for compact recognition; the Senate must consider the petition within 90 days and either begin negotiations or publish written reasons for declining.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with an established compact under Article XVI holds the constitutional right to initiate a status transition through its own democratic or traditional governance process. Three status options are available: (a) Compact Status — continued Article XVI compact relationship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§16.7.a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 status election is irrevocable — a Nation that elects Territorial Integration or Full Sovereign Independence may not subsequently return to Article XVI compact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compact status has no special pathway back to compact status;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compact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compact nations of their rights under §16.7.</w:t>
      </w:r>
    </w:p>
    <w:p>
      <w:pPr>
        <w:spacing w:after="60" w:before="200"/>
        <w:jc w:val="left"/>
      </w:pPr>
      <w:r>
        <w:rPr>
          <w:rFonts w:ascii="Garamond" w:cs="Garamond" w:eastAsia="Garamond" w:hAnsi="Garamond"/>
          <w:b/>
          <w:bCs/>
          <w:i w:val="false"/>
          <w:iCs w:val="false"/>
          <w:color w:val="1B2A4A"/>
          <w:sz w:val="34"/>
          <w:szCs w:val="34"/>
        </w:rPr>
        <w:t xml:space="preserve">Article XVII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Any proposed constitutional amendment supported by a petition of at least 15% of eligible voters, as verified by the Elections Panel, proceeds directly to a national referendum. Passage requires 70% of votes cast with a minimum 65% citizen participation; where the participation floor is not met the initiative fails and may not be resubmitted on the same or substantially similar grounds for five years. No legislative or executive action is required to place the initiative on the ballot; the Elections Panel administers the referendum within 180 days of Elections Panel petition verification. Citizen initiative amendments are subject to §17.3 consistency analysis by the LM,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or Elections Panel certification (Popular Ratification) and NRS publication — no implementation delay, no executive discretion over timing.</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LM publishes a consistency analysis of any proposed amendment within 30 days of passage by both chambers for a parliamentary amendment, or within 30 days of LM petition verification for a citizen initiative amendment — advisory, but a permanent public record of what the amendment changes. If a ratified amendment's consistency with existing provisions is disputed, the SC resolves the dispute on expedited review;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a competitive bid process. The Civic Consul publishes a Requirements Specification to the NRS defining minimum functional, security, physical, and operational requirements; the Legislature establishes specific standards by statute. Any State or Territory may submit a bid; the Legislature selects one by ordinary statute. The hosting arrangement grants the federal government Operational Use Rights over the designated footprint;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federal government must issue a new call for bids every twenty years; if no bids are submitted, or if bids are submitted but none meet the published Requirements Specification, the existing arrangement continues and the Legislature may revise the Specification for the next cycle. When the Seat moves to a new host, a two-year transition window begins; prior improvements revert to the departing host with the land unless a retention agreement is reached within the statutory window.</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1B2A4A"/>
          <w:sz w:val="18"/>
          <w:szCs w:val="18"/>
        </w:rPr>
        <w:t xml:space="preserve">§18.4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threshold plus SC review within 60 days confirming compliance with any applicable international obligations.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1B2A4A"/>
          <w:sz w:val="18"/>
          <w:szCs w:val="18"/>
        </w:rPr>
        <w:t xml:space="preserve">§18.5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§18.3 and §18.4. Host State legislative consent is not required because Territories have no State legislature;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(1) interim Elections Panel certification that the NVS is operational and meets §11.2;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Classification Review Commission within 90 days of Phase 4 activation.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tier framework can apply; the Legat Consul, once inaugurated, must certify each active operation under the appropriate tier within 14 days or begin orderly cessation; operations not certified within 60 days cease unless the Legislature grants a one-time extension.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Statehood Audit Competency Baseline by Phase 2 end may petition to enter as State or Territory. Those failing the Baseline enter as Territory and may begin the Statehood Audit immediately. Any territory may choose Territory status by simple legislative vote regardless of whether it meets the Statehood Baseline.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through the constitutional amendment process, or recognized as pre-existing sovereigns under Article XVI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Under §9.1, either chamber may request a JM assessment of compact compliance before proceeding to ratification.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2026-05-23T15:01:16.339Z</dcterms:created>
  <dcterms:modified xsi:type="dcterms:W3CDTF">2026-05-23T15:01:16.350Z</dcterms:modified>
</cp:coreProperties>
</file>

<file path=docProps/custom.xml><?xml version="1.0" encoding="utf-8"?>
<Properties xmlns="http://schemas.openxmlformats.org/officeDocument/2006/custom-properties" xmlns:vt="http://schemas.openxmlformats.org/officeDocument/2006/docPropsVTypes"/>
</file>