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(§1.19.d) without renewal.</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and certified by the JI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PM designates a Caretaker PM from the confirmed Cabinet; the designation is published to the NRS and confirmed by the LI.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PM’s designated Caretaker PM serves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withholds assent from a bill passed by both chambers, the PM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simultaneously; a successfully overridden bill takes effect without PM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assessment published to the NRS,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foundied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on grounds of constitutional breach, demonstrated permanent incapacity, or conviction for a disqualifying offense. Either chamber may request a JIC assessment as part of the proceedings; any such assessment is published to the NRS. Under the popular track, a Senate majority may refer the question to a national recall referendum administered within the period defined by statute. The President is removed if the referendum achieves 60% of votes cast under §13.4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EI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§1.23;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JI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PM nominates inferior court judges from the pool maintained by the Elections Panel under §9.12. The PM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an EI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with eligibility certified by the JI under §9.4.b — any eligible citizen who applies and meets the qualification criteria is entered. The PM nominates within the period defined by statute following a vacancy (not to exceed 90 days for anticipated vacancies, 60 days for unanticipated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assessment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assessed and reported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§6.3 are exempt from Gate 1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presidential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Inspectorates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§9.4.b and confirms registry status for SC nominees, and conducts annual audits of the Elections Panel for electoral integrity compliance. The JI reviews accommodation compact compliance, Associated Community compact compliance under Article XX, and Article XVI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§9.3. The Acting IG holds full constitutional authority of the office. The Acting IG is not eligible for permanent appointment to the position in which they serve; upon conclusion of acting service they return to the candidate pool. The JIC confirms the designation and both executives are notified immediately; notice does not condition the designation’s effectiveness. Pool membership satisfies the eligibility requirement of §1.22.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and certified jointly by the EI and JI, sufficiently in advance under the timeline defined by statute to ensure confirmation is complete before the transition under §1.22; confirmed by national popular vote at the next federal electoral period following nomination, by simple majority of votes cast. The confirmed successor assumes full IG authority at the precise moment the incumbent’s term concludes under §1.22. If the confirmation vote fails, the §9.1.d acting mechanism activates and the SC initiates a new nomination from the pool within 60 days. The EI IG is nominated jointly by the House Speaker and Senate Speaker from a pool of qualified candidates maintained by the Elections Panel and certified jointly by the LI and JI, sufficiently in advance under the timeline defined by statute under §1.22; confirmed by national popular vote at the next federal electoral period following nomination, by simple majority of votes cast, with JI vetting of the nominee’s disclosure record published before the vote. The same timing and failed-vote provisions apply. Where the House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JI IG is selected by public lottery under §9.12 from the JI Candidate Pool under §9.4.a maintained by the Elections Panel, conducted at the statutory timeline under §1.22,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§1.22. If the confirmation vote fails, the §9.1.d acting mechanism activates and the JIC conducts a new lottery from the pool within 60 days; the same confirmation process applies to the new selection.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§9.14 Standard Track. The Judicial Track under §9.14 is additionally available where two of the three Inspectorates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reported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assess and report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§9.3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EI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LI.</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reported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EI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established under §12.1. It operates independently of the annual budget process. The Endowment is governed by a board of five trustees selected by public lottery from the National Endowment Trustee Pool. Each executive nominates qualified persons to the pool annually; pool entry follows §9.12 and eligibility is certified jointly by the EI and LI; the JIC conducts the trustee lottery under §9.12.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§9.14.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not to exceed 180 days,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LI reports a constitutional compliance breach; the PM may provisionally authorize continued operations for up to 60 days total in two 30-day extensions, each requiring PM notification to the Senate and publication to the NRS confirming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one of three paths: a two-year federal remediation commission; a State-managed remediation plan subject to LI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Citizen initiative amendments are subject to §17.3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passage by both chambers for a parliamentary amendment, or within 30 days of LI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§1.18.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LI confirms the position was published before the use right is registered; where no position is published within 60 days, the LI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Where the Legislature fails to meet a deadline, §3.9 applies: the LI publishes a compliance notice certifying the breach, and the responsible Inspectorate reports on the unfilled mandate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XIV.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Inspectorate assesses and reports on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JI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