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§8.13.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§8.13.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certifies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follows §8.13 and eligibility is certified jointly by the EI and LI;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§15.1,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certification of progress against the published compliance requirements; or devolution to Territory status. The chosen path is published to the NRS. A State-managed plan that fails two consecutive quarterly certifications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Citizen initiative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passage by both chambers for a parliamentary amendment, or within 30 days of LI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must publish a written position to the NRS within 60 days of the proposed use right registration; the LI confirms the position was published before the use right is registered; where no position is published within 60 days, the LI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LI publishes a compliance notice certifying the breach, and the responsible Inspectorate reports on the unfilled mandate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