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Upon NRS publication of any valid removal, death, resignation, or succession event, the military chain of command recognizes the constitutional transfer of authority at that moment. Any order issued in the name of a removed or succeeded President after that moment is constitutionally void. A military officer who executes such an order commits a constitutional breach; compliance with a constitutionally valid transfer is mandatory.</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relevant Inspectorate performs the function on an interim basis until the agency is established.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The oversight mechanism and removal procedure are defined by the statute establishing the agency, consistent with the for-cause removal principle.</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For independent statutory officers, the Judicial Track under §8.15 is available where standard legislative removal appears unreachable due to political gridlock. Two of the three Inspectorates jointly certify for-cause grounds and petition the SC; the process then follows §8.15 Judicial Track in full.</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within the scope of Article I.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panel member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