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Where the domain of a proposed action is disputed, the JEC under §2.14 is the first forum; pending resolution, the PM's residual authority governs except for matters expressly enumerated in this provision. During active military operations, the President's domain governs operational decisions; either executive may petition the SC for an expedited domain determination.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by the Elections Panel and certified by the JI under §8.13.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most senior confirmed Cabinet Minister continues as Caretaker PM. If no PM has been elected by absolute majority within 120 days of any general election or vacancy, the Elections Panel automatically administers a new House general election; the Caretaker mechanism continues until the newly elected House elects a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The Senate Speaker holds the office of President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member of the Senate Armed Services Committee by continuous Senate service holds the office from that moment. Upon NRS publication of any triggering event, the military chain of command recognizes the constitutional transfer immediately; any order issued in the name of the prior President after that moment is constitutionally void. A successor serves the remainder of the current presidential term; service by succession does not consume the successor's own eligibility to stand at the next election. Where the President is temporarily unable to exercise authority, the EI and LI jointly assess capacity and, on joint certification, Acting Presidential Authority transfers to the Senate Speaker without vacating the Speaker's Senate seat by constitutional operation from the moment of joint certification published to the NRS. Acting authority ends when the President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EI and LI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PM and are published to the NRS. This authority expires automatically when a new House is seated. In catastrophic circumstances where the Legislature cannot convene, expedited activation of the Senate’s emergency legislative authority under this section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following joint LI and EI certification of constitutional breach, demonstrated permanent incapacity, or conviction for a disqualifying offense. Under the popular track, a Senate majority may refer the question to a national recall referendum administered within the period defined by statute. The President is removed if the referendum achieves 60% of votes cast under §11.4 with a minimum 55% citizen participation. A failed referendum may not be re-initiated within the same presidential term. The Senate Speaker holds Acting Presidential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LI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 court finding that a bill addresses multiple unrelated subjects voids the act.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must establish a joint ethics committee with authority to sanction and refer members; removal requires 2/3 of the relevant chamber following and on the basis of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electoral cycles as Speaker without sitting out one electoral cycle.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until it does, the relevant Inspectorate certifies the constitutional breach annually and reports on compliance, but does not substitute for the agency. The Legislature defines qualification standards for each agency’s officer pool by statute. The JI certifies candidates meeting those standards and maintains the pool as a public NRS record. The PM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§1.32;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§4.3.b;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by the Elections Panel and certified by the JI under §8.13. The Legislature defines qualifications for inferior court judges by statute; the JI certifies eligibility of each pool applicant against those qualifications. The PM must nominate within the period defined by statute following a vacancy, not to exceed 90 days where no statutory period has been defined.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with eligibility certified by the JI under §8.4.e — any eligible citizen who applies and meets the qualification criteria is entered. The PM nominates within the period defined by statute following a vacancy (not to exceed 90 days for anticipated vacancies, 60 days for unanticipated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Where the PM fails to nominate within 30 days of an LI certification of constitutional breach under this section, the Senate may select a nominee directly from the SC Candidate Registry by 2/3 vote of full seated membership; a Senate selection under this provision requires no further PM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presidential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The JIC certifies the designation and both executives are notified immediately; notice does not condition the designation’s effectiveness.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Speaker and Senate Speaker jointly nominate the EI Inspector General, confirmed by Senate 2/3 supermajority with JI vetting — the executives are excluded, neither Speaker can act alone, and the 2/3 confirmation threshold requires broad Senate consensus for confirmation.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and certified jointly by the EI and JI, sufficiently in advance under the timeline defined by statute to ensure confirmation is complete before the transition under §1.31;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The EI IG is nominated jointly by the House Speaker and Senate Speaker from a pool of qualified candidates maintained by the Elections Panel and certified jointly by the LI and JI, sufficiently in advance under the timeline defined by statute under §1.31; confirmed by national popular vote at the next federal electoral period following nomination, by simple majority of votes cast, with JI vetting of the nominee’s disclosure record published before the vote. The same timing and failed-vote provisions apply. The JI IG is selected by public lottery under §8.13 from the JI Candidate Pool under §8.4.a maintained by the Elections Panel, conducted at the statutory timeline under §1.31, sufficiently in advance to ensure seamless succession;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§8.15 Standard Track. The Judicial Track under §8.15 is additionally available where two of the three Inspectorates jointly certify for-cause grounds.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certified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§8.15,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inflation-adjusted equivalent of the prior fiscal year's funding level without a 2/3 vote of both chambers simultaneously. The Monetary Authority certifies each Inspectorate's prior-year funding level adjusted for inflation and publishes the certified floor to the NRS before the Legislature begins its annual budget process. Where a budget reduces any Inspectorate below its certified inflation-adjusted floor without the required supermajority, the prior-year funding level takes effect automatically for that Inspectorate by constitutional operation.</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certified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§8.15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§8.9;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certify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Inspector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Legislature may not define MA independence standards in a manner that compromises the credibility of its certification functions; the EI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EI certifies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follows §8.13 and eligibility is certified jointly by the EI and LI;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§8.15.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§15.1,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(§8.15). The Legislature may not set a higher or lower threshold for any direct electoral supermajority determination without a constitutional amendment. This provision does not govern the optional referendum or citizen initiative under §11.1–§11.2,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not to exceed 180 days,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one of three paths: a two-year federal remediation commission; a State-managed remediation plan subject to LI quarterly certification of progress against the published compliance requirements; or devolution to Territory status. The chosen path is published to the NRS. A State-managed plan that fails two consecutive quarterly certifications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Citizen initiative amendments are subject to §15.5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passage by both chambers for a parliamentary amendment, or within 30 days of LI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National Record System and Electoral Operations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JIC.</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must publish a written position to the NRS within 60 days of the proposed use right registration; the LI confirms the position was published before the use right is registered; where no position is published within 60 days, the LI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recognized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