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600" w:before="0"/>
        <w:jc w:val="center"/>
      </w:pPr>
      <w:r>
        <w:drawing>
          <wp:inline distT="0" distB="0" distL="0" distR="0">
            <wp:extent cx="1000125" cy="1000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00125" cy="1000125"/>
                    </a:xfrm>
                    <a:prstGeom prst="rect">
                      <a:avLst/>
                    </a:prstGeom>
                  </pic:spPr>
                </pic:pic>
              </a:graphicData>
            </a:graphic>
          </wp:inline>
        </w:drawing>
      </w:r>
    </w:p>
    <w:p>
      <w:pPr>
        <w:spacing w:after="200" w:before="0"/>
        <w:jc w:val="center"/>
      </w:pPr>
      <w:r>
        <w:rPr>
          <w:rFonts w:ascii="Garamond" w:cs="Garamond" w:eastAsia="Garamond" w:hAnsi="Garamond"/>
          <w:b/>
          <w:bCs/>
          <w:i w:val="false"/>
          <w:iCs w:val="false"/>
          <w:color w:val="1B2A4A"/>
          <w:sz w:val="44"/>
          <w:szCs w:val="44"/>
        </w:rPr>
        <w:t xml:space="preserve">THE FEDERATED REPUBLIC</w:t>
      </w:r>
    </w:p>
    <w:p>
      <w:pPr>
        <w:spacing w:after="200" w:before="0"/>
        <w:jc w:val="center"/>
      </w:pPr>
      <w:r>
        <w:rPr>
          <w:rFonts w:ascii="Garamond" w:cs="Garamond" w:eastAsia="Garamond" w:hAnsi="Garamond"/>
          <w:b w:val="false"/>
          <w:bCs w:val="false"/>
          <w:i w:val="false"/>
          <w:iCs w:val="false"/>
          <w:color w:val="C9A84C"/>
          <w:sz w:val="32"/>
          <w:szCs w:val="32"/>
        </w:rPr>
        <w:t xml:space="preserve">Constitution</w:t>
      </w:r>
    </w:p>
    <w:p>
      <w:pPr>
        <w:pBdr>
          <w:bottom w:val="single" w:color="C9A84C" w:sz="6" w:space="1"/>
        </w:pBdr>
        <w:spacing w:after="400" w:before="0"/>
        <w:jc w:val="center"/>
      </w:pPr>
      <w:r>
        <w:t xml:space="preserve"/>
      </w:r>
    </w:p>
    <w:p>
      <w:pPr>
        <w:spacing w:after="800" w:before="0"/>
        <w:jc w:val="center"/>
      </w:pPr>
      <w:r>
        <w:rPr>
          <w:rFonts w:ascii="Garamond" w:cs="Garamond" w:eastAsia="Garamond" w:hAnsi="Garamond"/>
          <w:b w:val="false"/>
          <w:bCs w:val="false"/>
          <w:i w:val="false"/>
          <w:iCs w:val="false"/>
          <w:color w:val="7a7060"/>
          <w:sz w:val="22"/>
          <w:szCs w:val="22"/>
        </w:rPr>
        <w:t xml:space="preserve">May 2026</w:t>
      </w:r>
    </w:p>
    <w:p>
      <w:pPr>
        <w:spacing w:after="200" w:before="0"/>
        <w:jc w:val="center"/>
      </w:pPr>
      <w:r>
        <w:rPr>
          <w:rFonts w:ascii="Courier New" w:cs="Courier New" w:eastAsia="Courier New" w:hAnsi="Courier New"/>
          <w:b w:val="false"/>
          <w:bCs w:val="false"/>
          <w:color w:val="7a7060"/>
          <w:sz w:val="18"/>
          <w:szCs w:val="18"/>
        </w:rPr>
        <w:t xml:space="preserve">thefederatedrepublic.org</w:t>
      </w:r>
    </w:p>
    <w:p>
      <w:pPr>
        <w:spacing w:after="0" w:before="0"/>
      </w:pPr>
      <w:r>
        <w:br/>
        <w:t xml:space="preserve"/>
      </w:r>
    </w:p>
    <w:p>
      <w:pPr>
        <w:spacing w:after="240" w:before="480"/>
      </w:pPr>
      <w:r>
        <w:rPr>
          <w:rFonts w:ascii="Garamond" w:cs="Garamond" w:eastAsia="Garamond" w:hAnsi="Garamond"/>
          <w:b/>
          <w:bCs/>
          <w:i w:val="false"/>
          <w:iCs w:val="false"/>
          <w:color w:val="1B2A4A"/>
          <w:sz w:val="32"/>
          <w:szCs w:val="32"/>
        </w:rPr>
        <w:t xml:space="preserve">Preamble</w:t>
      </w:r>
    </w:p>
    <w:p>
      <w:pPr>
        <w:spacing w:after="480" w:before="0"/>
        <w:jc w:val="both"/>
      </w:pPr>
      <w:r>
        <w:rPr>
          <w:rFonts w:ascii="Garamond" w:cs="Garamond" w:eastAsia="Garamond" w:hAnsi="Garamond"/>
          <w:b w:val="false"/>
          <w:bCs w:val="false"/>
          <w:i/>
          <w:iCs/>
          <w:color w:val="2a2520"/>
          <w:sz w:val="24"/>
          <w:szCs w:val="24"/>
        </w:rPr>
        <w:t xml:space="preserve">We, the people of the Federated Republic, recognizing that legitimate government derives its authority solely from the consent of the governed; that individual rights precede and constrain all governmental authority; that transparency and accountability are prerequisites for democratic legitimacy; and that the diversity of our communities and the integrity of our federation are both worth protecting — do ordain and establish this Constitution.</w:t>
      </w:r>
    </w:p>
    <w:p>
      <w:pPr>
        <w:spacing w:after="60" w:before="200"/>
        <w:jc w:val="left"/>
      </w:pPr>
      <w:r>
        <w:rPr>
          <w:rFonts w:ascii="Garamond" w:cs="Garamond" w:eastAsia="Garamond" w:hAnsi="Garamond"/>
          <w:b/>
          <w:bCs/>
          <w:i w:val="false"/>
          <w:iCs w:val="false"/>
          <w:color w:val="1B2A4A"/>
          <w:sz w:val="34"/>
          <w:szCs w:val="34"/>
        </w:rPr>
        <w:t xml:space="preserve">Article I — Individual Sovereignty and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  </w:t>
      </w:r>
      <w:r>
        <w:rPr>
          <w:rFonts w:ascii="Garamond" w:cs="Garamond" w:eastAsia="Garamond" w:hAnsi="Garamond"/>
          <w:b/>
          <w:bCs/>
          <w:i w:val="false"/>
          <w:iCs w:val="false"/>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may seek legal remedy for any rights violation before an independent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1B2A4A"/>
          <w:sz w:val="18"/>
          <w:szCs w:val="18"/>
        </w:rPr>
        <w:t xml:space="preserve">§1.2  </w:t>
      </w:r>
      <w:r>
        <w:rPr>
          <w:rFonts w:ascii="Garamond" w:cs="Garamond" w:eastAsia="Garamond" w:hAnsi="Garamond"/>
          <w:b/>
          <w:bCs/>
          <w:i w:val="false"/>
          <w:iCs w:val="false"/>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1B2A4A"/>
          <w:sz w:val="18"/>
          <w:szCs w:val="18"/>
        </w:rPr>
        <w:t xml:space="preserve">§1.3  </w:t>
      </w:r>
      <w:r>
        <w:rPr>
          <w:rFonts w:ascii="Garamond" w:cs="Garamond" w:eastAsia="Garamond" w:hAnsi="Garamond"/>
          <w:b/>
          <w:bCs/>
          <w:i w:val="false"/>
          <w:iCs w:val="false"/>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Torture and cruel, inhuman, or degrading treatment are absolutely prohibited. No person within the Republic's jurisdiction may be subjected to any such treatment under any circumstances. This right is non-derogable under §1.19.b.</w:t>
      </w:r>
    </w:p>
    <w:p>
      <w:pPr>
        <w:spacing w:after="60" w:before="200"/>
        <w:ind w:left="431"/>
        <w:jc w:val="left"/>
      </w:pPr>
      <w:r>
        <w:rPr>
          <w:rFonts w:ascii="Courier New" w:cs="Courier New" w:eastAsia="Courier New" w:hAnsi="Courier New"/>
          <w:b/>
          <w:bCs/>
          <w:color w:val="1B2A4A"/>
          <w:sz w:val="18"/>
          <w:szCs w:val="18"/>
        </w:rPr>
        <w:t xml:space="preserve">§1.4  </w:t>
      </w:r>
      <w:r>
        <w:rPr>
          <w:rFonts w:ascii="Garamond" w:cs="Garamond" w:eastAsia="Garamond" w:hAnsi="Garamond"/>
          <w:b/>
          <w:bCs/>
          <w:i w:val="false"/>
          <w:iCs w:val="false"/>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520"/>
          <w:sz w:val="22"/>
          <w:szCs w:val="22"/>
        </w:rPr>
        <w:t xml:space="preserve">Slavery, involuntary servitude, and forced labor are absolutely prohibited. Lawfully imposed prison labor and compulsory military service under the terms established by statute do not constitute forced labor under this provision.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§1.5  </w:t>
      </w:r>
      <w:r>
        <w:rPr>
          <w:rFonts w:ascii="Garamond" w:cs="Garamond" w:eastAsia="Garamond" w:hAnsi="Garamond"/>
          <w:b/>
          <w:bCs/>
          <w:i w:val="false"/>
          <w:iCs w:val="false"/>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act.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1B2A4A"/>
          <w:sz w:val="18"/>
          <w:szCs w:val="18"/>
        </w:rPr>
        <w:t xml:space="preserve">§1.6  </w:t>
      </w:r>
      <w:r>
        <w:rPr>
          <w:rFonts w:ascii="Garamond" w:cs="Garamond" w:eastAsia="Garamond" w:hAnsi="Garamond"/>
          <w:b/>
          <w:bCs/>
          <w:i w:val="false"/>
          <w:iCs w:val="false"/>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w:t>
      </w:r>
    </w:p>
    <w:p>
      <w:pPr>
        <w:spacing w:after="60" w:before="200"/>
        <w:ind w:left="431"/>
        <w:jc w:val="left"/>
      </w:pPr>
      <w:r>
        <w:rPr>
          <w:rFonts w:ascii="Courier New" w:cs="Courier New" w:eastAsia="Courier New" w:hAnsi="Courier New"/>
          <w:b/>
          <w:bCs/>
          <w:color w:val="1B2A4A"/>
          <w:sz w:val="18"/>
          <w:szCs w:val="18"/>
        </w:rPr>
        <w:t xml:space="preserve">§1.7  </w:t>
      </w:r>
      <w:r>
        <w:rPr>
          <w:rFonts w:ascii="Garamond" w:cs="Garamond" w:eastAsia="Garamond" w:hAnsi="Garamond"/>
          <w:b/>
          <w:bCs/>
          <w:i w:val="false"/>
          <w:iCs w:val="false"/>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sovereign authority over their own body. Medical decisions are the province of the individual and their chosen provider. The state may promote public health through information, licensing, and access; it may not compel medical decisions or penalise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accurate information about medical care that was lawful where received.</w:t>
      </w:r>
    </w:p>
    <w:p>
      <w:pPr>
        <w:spacing w:after="60" w:before="200"/>
        <w:ind w:left="431"/>
        <w:jc w:val="left"/>
      </w:pPr>
      <w:r>
        <w:rPr>
          <w:rFonts w:ascii="Courier New" w:cs="Courier New" w:eastAsia="Courier New" w:hAnsi="Courier New"/>
          <w:b/>
          <w:bCs/>
          <w:color w:val="1B2A4A"/>
          <w:sz w:val="18"/>
          <w:szCs w:val="18"/>
        </w:rPr>
        <w:t xml:space="preserve">§1.8  </w:t>
      </w:r>
      <w:r>
        <w:rPr>
          <w:rFonts w:ascii="Garamond" w:cs="Garamond" w:eastAsia="Garamond" w:hAnsi="Garamond"/>
          <w:b/>
          <w:bCs/>
          <w:i w:val="false"/>
          <w:iCs w:val="false"/>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1B2A4A"/>
          <w:sz w:val="18"/>
          <w:szCs w:val="18"/>
        </w:rPr>
        <w:t xml:space="preserve">§1.9  </w:t>
      </w:r>
      <w:r>
        <w:rPr>
          <w:rFonts w:ascii="Garamond" w:cs="Garamond" w:eastAsia="Garamond" w:hAnsi="Garamond"/>
          <w:b/>
          <w:bCs/>
          <w:i w:val="false"/>
          <w:iCs w:val="false"/>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1B2A4A"/>
          <w:sz w:val="18"/>
          <w:szCs w:val="18"/>
        </w:rPr>
        <w:t xml:space="preserve">§1.10  </w:t>
      </w:r>
      <w:r>
        <w:rPr>
          <w:rFonts w:ascii="Garamond" w:cs="Garamond" w:eastAsia="Garamond" w:hAnsi="Garamond"/>
          <w:b/>
          <w:bCs/>
          <w:i w:val="false"/>
          <w:iCs w:val="false"/>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right to keep and bear arms for lawful purposes including self-defense is recognized.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detained by public authority has the right to challenge that detention before an independent court. The detaining authority must produce the person and justify the detention within the period established by statute.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penalised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algorithmic systems are used as evidence, the accused has the right to examine the system's methodology.</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accused of a criminal offence has the right to a public trial before an independent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§1.14  </w:t>
      </w:r>
      <w:r>
        <w:rPr>
          <w:rFonts w:ascii="Garamond" w:cs="Garamond" w:eastAsia="Garamond" w:hAnsi="Garamond"/>
          <w:b/>
          <w:bCs/>
          <w:i w:val="false"/>
          <w:iCs w:val="false"/>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convicted of an act that was not a criminal offence when committed, or subjected to a penalty greater than that applicable at the time of the offence.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1B2A4A"/>
          <w:sz w:val="18"/>
          <w:szCs w:val="18"/>
        </w:rPr>
        <w:t xml:space="preserve">§1.15  </w:t>
      </w:r>
      <w:r>
        <w:rPr>
          <w:rFonts w:ascii="Garamond" w:cs="Garamond" w:eastAsia="Garamond" w:hAnsi="Garamond"/>
          <w:b/>
          <w:bCs/>
          <w:i w:val="false"/>
          <w:iCs w:val="false"/>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may be tried or punished twice for the same offence following a final acquittal or conviction. The Legislature defines by statute the scope of this protection, including its application across jurisdictions.</w:t>
      </w:r>
    </w:p>
    <w:p>
      <w:pPr>
        <w:spacing w:after="60" w:before="200"/>
        <w:ind w:left="431"/>
        <w:jc w:val="left"/>
      </w:pPr>
      <w:r>
        <w:rPr>
          <w:rFonts w:ascii="Courier New" w:cs="Courier New" w:eastAsia="Courier New" w:hAnsi="Courier New"/>
          <w:b/>
          <w:bCs/>
          <w:color w:val="1B2A4A"/>
          <w:sz w:val="18"/>
          <w:szCs w:val="18"/>
        </w:rPr>
        <w:t xml:space="preserve">§1.16  </w:t>
      </w:r>
      <w:r>
        <w:rPr>
          <w:rFonts w:ascii="Garamond" w:cs="Garamond" w:eastAsia="Garamond" w:hAnsi="Garamond"/>
          <w:b/>
          <w:bCs/>
          <w:i w:val="false"/>
          <w:iCs w:val="false"/>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Inhabitant is entitled to access the Republic's social state systems under Article X. No government may exclude any person from social assistance on the basis of the characteristics listed in §1.6. The Legislature establishes by statute the content and administration of social assistance, subject to the adequacy standards certified under §12.1.</w:t>
      </w:r>
    </w:p>
    <w:p>
      <w:pPr>
        <w:spacing w:after="60" w:before="200"/>
        <w:ind w:left="431"/>
        <w:jc w:val="left"/>
      </w:pPr>
      <w:r>
        <w:rPr>
          <w:rFonts w:ascii="Courier New" w:cs="Courier New" w:eastAsia="Courier New" w:hAnsi="Courier New"/>
          <w:b/>
          <w:bCs/>
          <w:color w:val="1B2A4A"/>
          <w:sz w:val="18"/>
          <w:szCs w:val="18"/>
        </w:rPr>
        <w:t xml:space="preserve">§1.17  </w:t>
      </w:r>
      <w:r>
        <w:rPr>
          <w:rFonts w:ascii="Garamond" w:cs="Garamond" w:eastAsia="Garamond" w:hAnsi="Garamond"/>
          <w:b/>
          <w:bCs/>
          <w:i w:val="false"/>
          <w:iCs w:val="false"/>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of genuine civic preparation.</w:t>
      </w:r>
    </w:p>
    <w:p>
      <w:pPr>
        <w:spacing w:after="60" w:before="200"/>
        <w:ind w:left="431"/>
        <w:jc w:val="left"/>
      </w:pPr>
      <w:r>
        <w:rPr>
          <w:rFonts w:ascii="Courier New" w:cs="Courier New" w:eastAsia="Courier New" w:hAnsi="Courier New"/>
          <w:b/>
          <w:bCs/>
          <w:color w:val="1B2A4A"/>
          <w:sz w:val="18"/>
          <w:szCs w:val="18"/>
        </w:rPr>
        <w:t xml:space="preserve">§1.18  </w:t>
      </w:r>
      <w:r>
        <w:rPr>
          <w:rFonts w:ascii="Garamond" w:cs="Garamond" w:eastAsia="Garamond" w:hAnsi="Garamond"/>
          <w:b/>
          <w:bCs/>
          <w:i w:val="false"/>
          <w:iCs w:val="false"/>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1B2A4A"/>
          <w:sz w:val="18"/>
          <w:szCs w:val="18"/>
        </w:rPr>
        <w:t xml:space="preserve">§1.19  </w:t>
      </w:r>
      <w:r>
        <w:rPr>
          <w:rFonts w:ascii="Garamond" w:cs="Garamond" w:eastAsia="Garamond" w:hAnsi="Garamond"/>
          <w:b/>
          <w:bCs/>
          <w:i w:val="false"/>
          <w:iCs w:val="false"/>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under any circumstances.</w:t>
      </w:r>
    </w:p>
    <w:p>
      <w:pPr>
        <w:spacing w:after="60" w:before="200"/>
        <w:ind w:left="431"/>
        <w:jc w:val="left"/>
      </w:pPr>
      <w:r>
        <w:rPr>
          <w:rFonts w:ascii="Courier New" w:cs="Courier New" w:eastAsia="Courier New" w:hAnsi="Courier New"/>
          <w:b/>
          <w:bCs/>
          <w:color w:val="1B2A4A"/>
          <w:sz w:val="18"/>
          <w:szCs w:val="18"/>
        </w:rPr>
        <w:t xml:space="preserve">§1.19.a  </w:t>
      </w:r>
      <w:r>
        <w:rPr>
          <w:rFonts w:ascii="Garamond" w:cs="Garamond" w:eastAsia="Garamond" w:hAnsi="Garamond"/>
          <w:b/>
          <w:bCs/>
          <w:i w:val="false"/>
          <w:iCs w:val="false"/>
          <w:color w:val="1B2A4A"/>
          <w:sz w:val="22"/>
          <w:szCs w:val="22"/>
        </w:rPr>
        <w:t xml:space="preserve">Emergency Derogation — Declaration Requirements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derogation of Article I rights requires a precisely structured declaration specifying: the nature of the emergency, which rights are limited, the geographic scope, the duration, and the review mechanism. The specificity requirement prevents open-ended emergency licenses — the government must commit in advance to exactly what it is doing, for how long, and where. Blanket declarations are constitutionally invalid. The declaration is published to the NRS immediately. An undisclosed emergency is not a constitutionally recognized emergency. Automatic expiry (§1.19.d) without renewal.</w:t>
      </w:r>
    </w:p>
    <w:p>
      <w:pPr>
        <w:spacing w:after="60" w:before="200"/>
        <w:ind w:left="431"/>
        <w:jc w:val="left"/>
      </w:pPr>
      <w:r>
        <w:rPr>
          <w:rFonts w:ascii="Courier New" w:cs="Courier New" w:eastAsia="Courier New" w:hAnsi="Courier New"/>
          <w:b/>
          <w:bCs/>
          <w:color w:val="1B2A4A"/>
          <w:sz w:val="18"/>
          <w:szCs w:val="18"/>
        </w:rPr>
        <w:t xml:space="preserve">§1.19.b  </w:t>
      </w:r>
      <w:r>
        <w:rPr>
          <w:rFonts w:ascii="Garamond" w:cs="Garamond" w:eastAsia="Garamond" w:hAnsi="Garamond"/>
          <w:b/>
          <w:bCs/>
          <w:i w:val="false"/>
          <w:iCs w:val="false"/>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six rights are absolute under any circumstances: the prohibition on torture (§1.3); slavery (§1.4); habeas corpus (§1.11); the right to a public trial (§1.13); no retroactive punishment (§1.14); and non-refoulement (§1.21). No emergency declaration, executive order, or legislative act may derogate any of these rights. They are non-derogable by their nature — their value derives precisely from the fact that they hold under the worst circumstances, not only the ordinary ones.</w:t>
      </w:r>
    </w:p>
    <w:p>
      <w:pPr>
        <w:spacing w:after="60" w:before="200"/>
        <w:ind w:left="431"/>
        <w:jc w:val="left"/>
      </w:pPr>
      <w:r>
        <w:rPr>
          <w:rFonts w:ascii="Courier New" w:cs="Courier New" w:eastAsia="Courier New" w:hAnsi="Courier New"/>
          <w:b/>
          <w:bCs/>
          <w:color w:val="1B2A4A"/>
          <w:sz w:val="18"/>
          <w:szCs w:val="18"/>
        </w:rPr>
        <w:t xml:space="preserve">§1.19.c  </w:t>
      </w:r>
      <w:r>
        <w:rPr>
          <w:rFonts w:ascii="Garamond" w:cs="Garamond" w:eastAsia="Garamond" w:hAnsi="Garamond"/>
          <w:b/>
          <w:bCs/>
          <w:i w:val="false"/>
          <w:iCs w:val="false"/>
          <w:color w:val="1B2A4A"/>
          <w:sz w:val="22"/>
          <w:szCs w:val="22"/>
        </w:rPr>
        <w:t xml:space="preserve">Inspectorate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Inspectorates continue to operate with full constitutional authority throughout any emergency — they cannot be suspended or have their mandate reduced by emergency declaration. Accountability infrastructure is precisely most important when emergency powers are active.</w:t>
      </w:r>
    </w:p>
    <w:p>
      <w:pPr>
        <w:spacing w:after="60" w:before="200"/>
        <w:ind w:left="431"/>
        <w:jc w:val="left"/>
      </w:pPr>
      <w:r>
        <w:rPr>
          <w:rFonts w:ascii="Courier New" w:cs="Courier New" w:eastAsia="Courier New" w:hAnsi="Courier New"/>
          <w:b/>
          <w:bCs/>
          <w:color w:val="1B2A4A"/>
          <w:sz w:val="18"/>
          <w:szCs w:val="18"/>
        </w:rPr>
        <w:t xml:space="preserve">§1.19.d  </w:t>
      </w:r>
      <w:r>
        <w:rPr>
          <w:rFonts w:ascii="Garamond" w:cs="Garamond" w:eastAsia="Garamond" w:hAnsi="Garamond"/>
          <w:b/>
          <w:bCs/>
          <w:i w:val="false"/>
          <w:iCs w:val="false"/>
          <w:color w:val="1B2A4A"/>
          <w:sz w:val="22"/>
          <w:szCs w:val="22"/>
        </w:rPr>
        <w:t xml:space="preserve">Automatic Expiry and Judicial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Emergency measures lapse automatically at the expiry of the Declaration. Judicial review of any emergency measure is available to any citizen at any time, and courts may rule during the emergency that a specific measure is unconstitutional.</w:t>
      </w:r>
    </w:p>
    <w:p>
      <w:pPr>
        <w:spacing w:after="60" w:before="200"/>
        <w:ind w:left="431"/>
        <w:jc w:val="left"/>
      </w:pPr>
      <w:r>
        <w:rPr>
          <w:rFonts w:ascii="Courier New" w:cs="Courier New" w:eastAsia="Courier New" w:hAnsi="Courier New"/>
          <w:b/>
          <w:bCs/>
          <w:color w:val="1B2A4A"/>
          <w:sz w:val="18"/>
          <w:szCs w:val="18"/>
        </w:rPr>
        <w:t xml:space="preserve">§1.19.e  </w:t>
      </w:r>
      <w:r>
        <w:rPr>
          <w:rFonts w:ascii="Garamond" w:cs="Garamond" w:eastAsia="Garamond" w:hAnsi="Garamond"/>
          <w:b/>
          <w:bCs/>
          <w:i w:val="false"/>
          <w:iCs w:val="false"/>
          <w:color w:val="1B2A4A"/>
          <w:sz w:val="22"/>
          <w:szCs w:val="22"/>
        </w:rPr>
        <w:t xml:space="preserve">No Permanent Emergency</w:t>
      </w:r>
    </w:p>
    <w:p>
      <w:pPr>
        <w:spacing w:after="120" w:before="0"/>
        <w:ind w:left="431"/>
        <w:jc w:val="both"/>
      </w:pPr>
      <w:r>
        <w:rPr>
          <w:rFonts w:ascii="Garamond" w:cs="Garamond" w:eastAsia="Garamond" w:hAnsi="Garamond"/>
          <w:b w:val="false"/>
          <w:bCs w:val="false"/>
          <w:i w:val="false"/>
          <w:iCs w:val="false"/>
          <w:color w:val="2a2520"/>
          <w:sz w:val="22"/>
          <w:szCs w:val="22"/>
        </w:rPr>
        <w:t xml:space="preserve">No emergency measure may be made permanent by legislative act. Every emergency measure lapses automatically at the expiry of the Declaration unless re-enacted through the ordinary legislative process. The Legislature may not re-declare an emergency measure within 60 days of its expiry.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1B2A4A"/>
          <w:sz w:val="18"/>
          <w:szCs w:val="18"/>
        </w:rPr>
        <w:t xml:space="preserve">§1.20  </w:t>
      </w:r>
      <w:r>
        <w:rPr>
          <w:rFonts w:ascii="Garamond" w:cs="Garamond" w:eastAsia="Garamond" w:hAnsi="Garamond"/>
          <w:b/>
          <w:bCs/>
          <w:i w:val="false"/>
          <w:iCs w:val="false"/>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520"/>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failure to do so is a constitutional compliance breach certified by the LI.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520"/>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EI certifies the restoration to the NRS. Where a conviction is under appeal at the time a relevant constitutional determination is made, the conviction stands for constitutional purposes unless and until it is reversed by a court of competent jurisdiction.</w:t>
      </w:r>
    </w:p>
    <w:p>
      <w:pPr>
        <w:spacing w:after="60" w:before="200"/>
        <w:jc w:val="left"/>
      </w:pPr>
      <w:r>
        <w:rPr>
          <w:rFonts w:ascii="Garamond" w:cs="Garamond" w:eastAsia="Garamond" w:hAnsi="Garamond"/>
          <w:b/>
          <w:bCs/>
          <w:i w:val="false"/>
          <w:iCs w:val="false"/>
          <w:color w:val="1B2A4A"/>
          <w:sz w:val="34"/>
          <w:szCs w:val="34"/>
        </w:rPr>
        <w:t xml:space="preserve">Article II — The Dual Executive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§2.1  </w:t>
      </w:r>
      <w:r>
        <w:rPr>
          <w:rFonts w:ascii="Garamond" w:cs="Garamond" w:eastAsia="Garamond" w:hAnsi="Garamond"/>
          <w:b/>
          <w:bCs/>
          <w:i w:val="false"/>
          <w:iCs w:val="false"/>
          <w:color w:val="1B2A4A"/>
          <w:sz w:val="22"/>
          <w:szCs w:val="22"/>
        </w:rPr>
        <w:t xml:space="preserve">The President — Domain and Term</w:t>
      </w:r>
    </w:p>
    <w:p>
      <w:pPr>
        <w:spacing w:after="120" w:before="0"/>
        <w:ind w:left="431"/>
        <w:jc w:val="both"/>
      </w:pPr>
      <w:r>
        <w:rPr>
          <w:rFonts w:ascii="Garamond" w:cs="Garamond" w:eastAsia="Garamond" w:hAnsi="Garamond"/>
          <w:b w:val="false"/>
          <w:bCs w:val="false"/>
          <w:i w:val="false"/>
          <w:iCs w:val="false"/>
          <w:color w:val="2a2520"/>
          <w:sz w:val="22"/>
          <w:szCs w:val="22"/>
        </w:rPr>
        <w:t xml:space="preserve">To hold the office of President, a person must have been a citizen for at least 7 years at the time of taking office and must hold no federal felony conviction. No other eligibility requirement applies. The President holds enumerated authority over: military command and force employment; foreign affairs and treaty negotiation; intelligence; trade agreements subject to §2.4; and appointments within the presidential domain. Presidential authority is enumerated; the PM's authority is residual. Where the domain of a proposed action is disputed, the JEC under §2.14 is the first forum; pending resolution, the PM's residual authority governs except for matters expressly enumerated in this provision. During active military operations, the President's domain governs operational decisions; either executive may petition the SC for an expedited domain determination. The President serves a single non-renewable term of four years. Upon expiration of the term, all authority transfers immediately to the incoming President. The outgoing President retains no access to classified information, government systems, or official functions beyond the day of transfer.</w:t>
      </w:r>
    </w:p>
    <w:p>
      <w:pPr>
        <w:spacing w:after="60" w:before="200"/>
        <w:ind w:left="431"/>
        <w:jc w:val="left"/>
      </w:pPr>
      <w:r>
        <w:rPr>
          <w:rFonts w:ascii="Courier New" w:cs="Courier New" w:eastAsia="Courier New" w:hAnsi="Courier New"/>
          <w:b/>
          <w:bCs/>
          <w:color w:val="1B2A4A"/>
          <w:sz w:val="18"/>
          <w:szCs w:val="18"/>
        </w:rPr>
        <w:t xml:space="preserve">§2.2  </w:t>
      </w:r>
      <w:r>
        <w:rPr>
          <w:rFonts w:ascii="Garamond" w:cs="Garamond" w:eastAsia="Garamond" w:hAnsi="Garamond"/>
          <w:b/>
          <w:bCs/>
          <w:i w:val="false"/>
          <w:iCs w:val="false"/>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use military force in immediate response to an active or imminent attack on Republic territory, citizens abroad, or treaty allies. Beyond immediate response, all use of military force requires legislative authorization. The President must notify both chambers and the PM promptly upon any use of force; the Legislature defines 'promptly' by statute. Legislative authorization expires unless affirmatively renewed at intervals the Legislature defines by statute; the constitutional default on expiry is cessation of all operations — the burden is always on authorization, never on termination. Military expenditure requires PM certification throughout; expenditure without PM certification is void. All military operations must state and be consistent with an authorized purpose under §14.1. All operations are published to the NRS.</w:t>
      </w:r>
    </w:p>
    <w:p>
      <w:pPr>
        <w:spacing w:after="60" w:before="200"/>
        <w:ind w:left="431"/>
        <w:jc w:val="left"/>
      </w:pPr>
      <w:r>
        <w:rPr>
          <w:rFonts w:ascii="Courier New" w:cs="Courier New" w:eastAsia="Courier New" w:hAnsi="Courier New"/>
          <w:b/>
          <w:bCs/>
          <w:color w:val="1B2A4A"/>
          <w:sz w:val="18"/>
          <w:szCs w:val="18"/>
        </w:rPr>
        <w:t xml:space="preserve">§2.3  </w:t>
      </w:r>
      <w:r>
        <w:rPr>
          <w:rFonts w:ascii="Garamond" w:cs="Garamond" w:eastAsia="Garamond" w:hAnsi="Garamond"/>
          <w:b/>
          <w:bCs/>
          <w:i w:val="false"/>
          <w:iCs w:val="false"/>
          <w:color w:val="1B2A4A"/>
          <w:sz w:val="22"/>
          <w:szCs w:val="22"/>
        </w:rPr>
        <w:t xml:space="preserve">Presidential Intelligence and Veto</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directs foreign intelligence. No intelligence operation may be conducted against Republic citizens within Republic territory on the President's authority; such operations require independent judicial authorization. The EI reports any order authorizing domestic intelligence operations without judicial authorization to the NRS. The President may veto legislation that raises a genuine constitutional concern within the President's security domain — military operations, intelligence, treaty obligations, or border security. A general or speculative security connection is insufficient. Either Speaker may request an EI assessment of whether the veto falls within the President's defined domain; the EI publishes its finding to the NRS within 48 hours.</w:t>
      </w:r>
    </w:p>
    <w:p>
      <w:pPr>
        <w:spacing w:after="60" w:before="200"/>
        <w:ind w:left="431"/>
        <w:jc w:val="left"/>
      </w:pPr>
      <w:r>
        <w:rPr>
          <w:rFonts w:ascii="Courier New" w:cs="Courier New" w:eastAsia="Courier New" w:hAnsi="Courier New"/>
          <w:b/>
          <w:bCs/>
          <w:color w:val="1B2A4A"/>
          <w:sz w:val="18"/>
          <w:szCs w:val="18"/>
        </w:rPr>
        <w:t xml:space="preserve">§2.4  </w:t>
      </w:r>
      <w:r>
        <w:rPr>
          <w:rFonts w:ascii="Garamond" w:cs="Garamond" w:eastAsia="Garamond" w:hAnsi="Garamond"/>
          <w:b/>
          <w:bCs/>
          <w:i w:val="false"/>
          <w:iCs w:val="false"/>
          <w:color w:val="1B2A4A"/>
          <w:sz w:val="22"/>
          <w:szCs w:val="22"/>
        </w:rPr>
        <w:t xml:space="preserve">Presidential Domain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negotiates and concludes trade agreements. PM written concurrence is required only for provisions imposing national treatment obligations within Republic territory, provisions requiring new domestic legislation, or provisions creating direct obligations on domestic persons. All other trade terms are within the President's sole authority. Where PM concurrence is withheld on a specific provision, that provision may be transmitted to the House as ordinary legislation while the remaining agreement proceeds to Senate ratification independently. The President nominates senior domain officers — Director of Intelligence, Secretary for Foreign Affairs, Secretary for Defense — from a pool of qualified candidates maintained by the Elections Panel and certified by the JI under §9.13. The Legislature defines qualifications and confirmation procedures for each office by statute; Acting appointments may be made pending confirmation for the period and under the conditions the Legislature defines. Indefinite circumvention of Senate confirmation through Acting appointments is constitutionally prohibited. All nominations and appointments are published to the NRS.</w:t>
      </w:r>
    </w:p>
    <w:p>
      <w:pPr>
        <w:spacing w:after="60" w:before="200"/>
        <w:ind w:left="431"/>
        <w:jc w:val="left"/>
      </w:pPr>
      <w:r>
        <w:rPr>
          <w:rFonts w:ascii="Courier New" w:cs="Courier New" w:eastAsia="Courier New" w:hAnsi="Courier New"/>
          <w:b/>
          <w:bCs/>
          <w:color w:val="1B2A4A"/>
          <w:sz w:val="18"/>
          <w:szCs w:val="18"/>
        </w:rPr>
        <w:t xml:space="preserve">§2.5  </w:t>
      </w:r>
      <w:r>
        <w:rPr>
          <w:rFonts w:ascii="Garamond" w:cs="Garamond" w:eastAsia="Garamond" w:hAnsi="Garamond"/>
          <w:b/>
          <w:bCs/>
          <w:i w:val="false"/>
          <w:iCs w:val="false"/>
          <w:color w:val="1B2A4A"/>
          <w:sz w:val="22"/>
          <w:szCs w:val="22"/>
        </w:rPr>
        <w:t xml:space="preserve">The Prime Minister — Domestic Executive Domain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holds residual executive authority over all functions not enumerated as Presidential. To hold the office of Prime Minister, a person must have been a citizen for at least 7 years at the time of taking office and must hold no federal felony conviction. No other eligibility requirement applies. The PM answers to the House through the confidence mechanism and does not require presidential confirmation for the exercise of the domestic domain. The PM's domestic authority includes: all domestic policy and regulatory frameworks; the annual budget, which must originate with the PM and pass the House; certification of military expenditure; the civil service; and administration of the social state under Article X. The PM may declare a domestic emergency in response to natural disaster, public health crisis, or infrastructure failure, subject to the constraints of Article I and renewable House approval at intervals defined by statute. The President has no role in domestic emergencies. The PM has the right to be informed on national security matters that bear on domestic interests; no classification may be used to withhold such information from the PM where it affects the exercise of the domestic domain.</w:t>
      </w:r>
    </w:p>
    <w:p>
      <w:pPr>
        <w:spacing w:after="60" w:before="200"/>
        <w:ind w:left="431"/>
        <w:jc w:val="left"/>
      </w:pPr>
      <w:r>
        <w:rPr>
          <w:rFonts w:ascii="Courier New" w:cs="Courier New" w:eastAsia="Courier New" w:hAnsi="Courier New"/>
          <w:b/>
          <w:bCs/>
          <w:color w:val="1B2A4A"/>
          <w:sz w:val="18"/>
          <w:szCs w:val="18"/>
        </w:rPr>
        <w:t xml:space="preserve">§2.6  </w:t>
      </w:r>
      <w:r>
        <w:rPr>
          <w:rFonts w:ascii="Garamond" w:cs="Garamond" w:eastAsia="Garamond" w:hAnsi="Garamond"/>
          <w:b/>
          <w:bCs/>
          <w:i w:val="false"/>
          <w:iCs w:val="false"/>
          <w:color w:val="1B2A4A"/>
          <w:sz w:val="22"/>
          <w:szCs w:val="22"/>
        </w:rPr>
        <w:t xml:space="preserve">PM Accountability and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is accountable to the House. The House may remove the PM only through a constructive vote of no confidence: a single vote that simultaneously removes the sitting PM and installs a named replacement, by absolute majority of full seated House membership. A confidence vote that does not name and elect a successor has no constitutional effect. No person may serve more than 8 consecutive years as PM, and no more than 12 years in total across all periods of service. Both limits operate simultaneously; the stricter governs at any given moment. The House elects the PM by absolute majority within the period defined by statute following any general election or vacancy. If the House does not elect a PM within that period, the most senior confirmed Cabinet Minister continues as Caretaker PM. If no PM has been elected by absolute majority within 120 days of any general election or vacancy, the Elections Panel automatically administers a new House general election; the Caretaker mechanism continues until the newly elected House elects a PM. The Senate may, by 2/3 supermajority, designate a serving House member as PM if the House has failed to elect one within the statutory period; House election of a PM by absolute majority terminates any Senate designation. Where the PM is temporarily unable to exercise authority, the most senior confirmed Cabinet Minister by continuous length of service — as certified by the JI — serves as Caretaker PM with authority limited to maintaining existing policy and emergency functions; Caretaker status ends when the PM resumes their duties or a new PM is confirmed by the House.</w:t>
      </w:r>
    </w:p>
    <w:p>
      <w:pPr>
        <w:spacing w:after="60" w:before="200"/>
        <w:ind w:left="431"/>
        <w:jc w:val="left"/>
      </w:pPr>
      <w:r>
        <w:rPr>
          <w:rFonts w:ascii="Courier New" w:cs="Courier New" w:eastAsia="Courier New" w:hAnsi="Courier New"/>
          <w:b/>
          <w:bCs/>
          <w:color w:val="1B2A4A"/>
          <w:sz w:val="18"/>
          <w:szCs w:val="18"/>
        </w:rPr>
        <w:t xml:space="preserve">§2.7  </w:t>
      </w:r>
      <w:r>
        <w:rPr>
          <w:rFonts w:ascii="Garamond" w:cs="Garamond" w:eastAsia="Garamond" w:hAnsi="Garamond"/>
          <w:b/>
          <w:bCs/>
          <w:i w:val="false"/>
          <w:iCs w:val="false"/>
          <w:color w:val="1B2A4A"/>
          <w:sz w:val="22"/>
          <w:szCs w:val="22"/>
        </w:rPr>
        <w:t xml:space="preserve">PM Legislative Instruments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may return any bill with a written statement of objection specifying constitutional, fiscal, or operational grounds. The statement is published to the NRS. The Legislature may override by 2/3 of both chambers simultaneously. The suspensive veto may not be used on the annual budget, bills implementing a constitutional obligation, or emergency legislation. If the Legislature does not hold an override vote within the period defined by statute, the bill lapses. The PM may also object on specific solvency grounds — the bill would cause or materially worsen a structural deficit. Requires MA assessment; the House may override by simple majority after receiving the assessment. If the PM neither signs nor objects within the legislative review period, the bill is enacted. Silence is not a veto. Both executives review legislation concurrently from the date of final passage; periods and procedures are defined by statute.</w:t>
      </w:r>
    </w:p>
    <w:p>
      <w:pPr>
        <w:spacing w:after="60" w:before="200"/>
        <w:ind w:left="431"/>
        <w:jc w:val="left"/>
      </w:pPr>
      <w:r>
        <w:rPr>
          <w:rFonts w:ascii="Courier New" w:cs="Courier New" w:eastAsia="Courier New" w:hAnsi="Courier New"/>
          <w:b/>
          <w:bCs/>
          <w:color w:val="1B2A4A"/>
          <w:sz w:val="18"/>
          <w:szCs w:val="18"/>
        </w:rPr>
        <w:t xml:space="preserve">§2.8  </w:t>
      </w:r>
      <w:r>
        <w:rPr>
          <w:rFonts w:ascii="Garamond" w:cs="Garamond" w:eastAsia="Garamond" w:hAnsi="Garamond"/>
          <w:b/>
          <w:bCs/>
          <w:i w:val="false"/>
          <w:iCs w:val="false"/>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520"/>
          <w:sz w:val="22"/>
          <w:szCs w:val="22"/>
        </w:rPr>
        <w:t xml:space="preserve">No civil servant or military member may comply with an order from either executive that would require violation of any constitutional provision or statute. Refusal of such an order creates no civil or criminal liability and is no basis for dismissal or penalty. The refusing person may report the order to the EI,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1B2A4A"/>
          <w:sz w:val="18"/>
          <w:szCs w:val="18"/>
        </w:rPr>
        <w:t xml:space="preserve">§2.9  </w:t>
      </w:r>
      <w:r>
        <w:rPr>
          <w:rFonts w:ascii="Garamond" w:cs="Garamond" w:eastAsia="Garamond" w:hAnsi="Garamond"/>
          <w:b/>
          <w:bCs/>
          <w:i w:val="false"/>
          <w:iCs w:val="false"/>
          <w:color w:val="1B2A4A"/>
          <w:sz w:val="22"/>
          <w:szCs w:val="22"/>
        </w:rPr>
        <w:t xml:space="preserve">Presidential Succession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Full succession activates on Presidential death, resignation, removal, or certified permanent incapacity. The Senate Speaker holds the office of President from the moment the triggering event is published to the NRS — no active assumption is required or permitted; the transfer is instantaneous and self-executing by constitutional operation. Where the Senate Speaker is simultaneously unable to serve, the Senate Deputy Speaker holds the office from the same moment by the same operation. Where both are simultaneously unable to serve, the most senior member of the Senate Armed Services Committee by continuous Senate service holds the office from that moment. Upon NRS publication of any triggering event, the military chain of command recognizes the constitutional transfer immediately; any order issued in the name of the prior President after that moment is constitutionally void. A successor serves the remainder of the current presidential term; service by succession does not consume the successor's own eligibility to stand at the next election. Where the President is temporarily unable to exercise authority, the EI and LI jointly assess capacity and, on joint certification, Acting Presidential Authority transfers to the Senate Speaker without vacating the Speaker's Senate seat by constitutional operation from the moment of joint certification published to the NRS. Acting authority ends when the President publishes a restoration declaration to the NRS.</w:t>
      </w:r>
    </w:p>
    <w:p>
      <w:pPr>
        <w:spacing w:after="60" w:before="200"/>
        <w:ind w:left="431"/>
        <w:jc w:val="left"/>
      </w:pPr>
      <w:r>
        <w:rPr>
          <w:rFonts w:ascii="Courier New" w:cs="Courier New" w:eastAsia="Courier New" w:hAnsi="Courier New"/>
          <w:b/>
          <w:bCs/>
          <w:color w:val="1B2A4A"/>
          <w:sz w:val="18"/>
          <w:szCs w:val="18"/>
        </w:rPr>
        <w:t xml:space="preserve">§2.10  </w:t>
      </w:r>
      <w:r>
        <w:rPr>
          <w:rFonts w:ascii="Garamond" w:cs="Garamond" w:eastAsia="Garamond" w:hAnsi="Garamond"/>
          <w:b/>
          <w:bCs/>
          <w:i w:val="false"/>
          <w:iCs w:val="false"/>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520"/>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 certified by the EI.</w:t>
      </w:r>
    </w:p>
    <w:p>
      <w:pPr>
        <w:spacing w:after="60" w:before="200"/>
        <w:ind w:left="431"/>
        <w:jc w:val="left"/>
      </w:pPr>
      <w:r>
        <w:rPr>
          <w:rFonts w:ascii="Courier New" w:cs="Courier New" w:eastAsia="Courier New" w:hAnsi="Courier New"/>
          <w:b/>
          <w:bCs/>
          <w:color w:val="1B2A4A"/>
          <w:sz w:val="18"/>
          <w:szCs w:val="18"/>
        </w:rPr>
        <w:t xml:space="preserve">§2.11  </w:t>
      </w:r>
      <w:r>
        <w:rPr>
          <w:rFonts w:ascii="Garamond" w:cs="Garamond" w:eastAsia="Garamond" w:hAnsi="Garamond"/>
          <w:b/>
          <w:bCs/>
          <w:i w:val="false"/>
          <w:iCs w:val="false"/>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House is unable to function for an extended period — as defined by statute — the Senate may assume joint emergency legislative authority for three functions only: election administration, social state funding continuity, and active national security obligations. Where the Elections Panel is unable to function, the EI and LI jointly certify that incapacity and publish it to the NRS; from that moment the Senate administers federal elections under this provision until the Elections Panel is restored and the restoration is published to the NRS. All Senate emergency actions require co-signature of the Caretaker PM and are published to the NRS. This authority expires automatically when a new House is seated. In catastrophic circumstances where the Legislature cannot convene, expedited activation of the Senate’s emergency legislative authority under this section is available on joint certification by the Caretaker PM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1B2A4A"/>
          <w:sz w:val="18"/>
          <w:szCs w:val="18"/>
        </w:rPr>
        <w:t xml:space="preserve">§2.12  </w:t>
      </w:r>
      <w:r>
        <w:rPr>
          <w:rFonts w:ascii="Garamond" w:cs="Garamond" w:eastAsia="Garamond" w:hAnsi="Garamond"/>
          <w:b/>
          <w:bCs/>
          <w:i w:val="false"/>
          <w:iCs w:val="false"/>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executive holds clemency authority within their own domain only. Presidential clemency covers military law and national security offenses. PM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EI publishes a factual background report to the NRS. A clemency grant made before the EI report is published is void and of no legal effect. Every petition, report, and grant or decline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1B2A4A"/>
          <w:sz w:val="18"/>
          <w:szCs w:val="18"/>
        </w:rPr>
        <w:t xml:space="preserve">§2.13  </w:t>
      </w:r>
      <w:r>
        <w:rPr>
          <w:rFonts w:ascii="Garamond" w:cs="Garamond" w:eastAsia="Garamond" w:hAnsi="Garamond"/>
          <w:b/>
          <w:bCs/>
          <w:i w:val="false"/>
          <w:iCs w:val="false"/>
          <w:color w:val="1B2A4A"/>
          <w:sz w:val="22"/>
          <w:szCs w:val="22"/>
        </w:rPr>
        <w:t xml:space="preserve">Presidential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may be removed on two independent tracks. Under the legislative track, 2/3 of both chambers simultaneously, following joint LI and EI certification of constitutional breach, demonstrated permanent incapacity, or conviction for a disqualifying offense. Under the popular track, a Senate majority may refer the question to a national recall referendum administered within the period defined by statute. The President is removed if the referendum achieves 60% of votes cast under §13.4 with a minimum 55% citizen participation. A failed referendum may not be re-initiated within the same presidential term. The Senate Speaker holds Acting Presidential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1B2A4A"/>
          <w:sz w:val="18"/>
          <w:szCs w:val="18"/>
        </w:rPr>
        <w:t xml:space="preserve">§2.14  </w:t>
      </w:r>
      <w:r>
        <w:rPr>
          <w:rFonts w:ascii="Garamond" w:cs="Garamond" w:eastAsia="Garamond" w:hAnsi="Garamond"/>
          <w:b/>
          <w:bCs/>
          <w:i w:val="false"/>
          <w:iCs w:val="false"/>
          <w:color w:val="1B2A4A"/>
          <w:sz w:val="22"/>
          <w:szCs w:val="22"/>
        </w:rPr>
        <w:t xml:space="preserve">Joint Executive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Executive Council comprises the President's domain officers and the PM's Cabinet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 In a cross-domain emergency — a crisis whose effective management requires unified operational authority across executive domains — either executive may propose a temporary operational lead designation to the JEC; the other executive must respond in writing within twelve hours; failure to respond within twelve hours is treated as an objection for the purposes of this provision; concurrence makes the designation effective and it is published to the NRS immediately with both executives' attributed positions; objection or non-response refers the dispute to the SC under §2.15 for expedited review. A temporary lead designation does not extinguish the other executive's domain authorities or certification functions — it assigns operational coordination, not constitutional supremacy. Judicial review of any lead designation is conducted after the emergency is stabilized, not during it; courts do not govern active crisis management.</w:t>
      </w:r>
    </w:p>
    <w:p>
      <w:pPr>
        <w:spacing w:after="60" w:before="200"/>
        <w:ind w:left="431"/>
        <w:jc w:val="left"/>
      </w:pPr>
      <w:r>
        <w:rPr>
          <w:rFonts w:ascii="Courier New" w:cs="Courier New" w:eastAsia="Courier New" w:hAnsi="Courier New"/>
          <w:b/>
          <w:bCs/>
          <w:color w:val="1B2A4A"/>
          <w:sz w:val="18"/>
          <w:szCs w:val="18"/>
        </w:rPr>
        <w:t xml:space="preserve">§2.14.a  </w:t>
      </w:r>
      <w:r>
        <w:rPr>
          <w:rFonts w:ascii="Garamond" w:cs="Garamond" w:eastAsia="Garamond" w:hAnsi="Garamond"/>
          <w:b/>
          <w:bCs/>
          <w:color w:val="1B2A4A"/>
          <w:sz w:val="22"/>
          <w:szCs w:val="22"/>
        </w:rPr>
        <w:t xml:space="preserve">Coordination Failure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both executives are acting within their respective domains but their actions are materially incompatible — creating an operational deadlock not resolvable as a domain dispute under §2.4 or an emergency under §2.14 — either executive may declare a coordination failure by written NRS notice. Upon declaration, the matter is transmitted simultaneously to the House Speaker and Senate Speaker jointly, and the JEC has 14 days to produce a joint resolution. The Legislature may resolve the deadlock by concurrent resolution of both chambers at any point within 30 days of the declaration — a concurrent resolution under this provision binds both executives to its terms for the duration of the impasse only and does not alter permanent domain boundaries. A JEC joint resolution published within the 14-day window closes the process; the Legislature takes no further action. Where neither the JEC nor the Legislature acts within 30 days of the declaration, the PM’s residual authority governs until either the executives reach agreement or the Legislature acts.</w:t>
      </w:r>
    </w:p>
    <w:p>
      <w:pPr>
        <w:spacing w:after="60" w:before="200"/>
        <w:ind w:left="431"/>
        <w:jc w:val="left"/>
      </w:pPr>
      <w:r>
        <w:rPr>
          <w:rFonts w:ascii="Courier New" w:cs="Courier New" w:eastAsia="Courier New" w:hAnsi="Courier New"/>
          <w:b/>
          <w:bCs/>
          <w:color w:val="1B2A4A"/>
          <w:sz w:val="18"/>
          <w:szCs w:val="18"/>
        </w:rPr>
        <w:t xml:space="preserve">§2.15  </w:t>
      </w:r>
      <w:r>
        <w:rPr>
          <w:rFonts w:ascii="Garamond" w:cs="Garamond" w:eastAsia="Garamond" w:hAnsi="Garamond"/>
          <w:b/>
          <w:bCs/>
          <w:i w:val="false"/>
          <w:iCs w:val="false"/>
          <w:color w:val="1B2A4A"/>
          <w:sz w:val="22"/>
          <w:szCs w:val="22"/>
        </w:rPr>
        <w:t xml:space="preserve">Constitutional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conflict between constitutional actors creates a risk of suspension of lawful governance or constitutionally mandated essential services, the applicable constitutional default is continuity of lawful governance at existing scope, pending formal resolution. No constitutional actor may use a refusal to certify, approve, or coordinate as a mechanism to achieve the functional suspension of a constitutionally mandated obligation. The burden of justifying a disruption to essential government functions falls on the actor whose conduct creates the risk of disruption — not on the actor seeking to maintain continuity. The SC holds expedited review jurisdiction over any constitutional dispute in which either executive, either chamber, or the JIC certifies that continuity of lawful governance is at immediate risk; the Court must act within seven days of such certification; where the SC fails to rule within seven days, the position of the continuity-seeking party is upheld by constitutional operation pending any subsequent ruling. Continuity protections apply to: military operations with active legislative authorization; social state obligations; Inspectorate operations; NRS availability; and electoral administration.</w:t>
      </w:r>
    </w:p>
    <w:p>
      <w:pPr>
        <w:spacing w:after="60" w:before="200"/>
        <w:jc w:val="left"/>
      </w:pPr>
      <w:r>
        <w:rPr>
          <w:rFonts w:ascii="Garamond" w:cs="Garamond" w:eastAsia="Garamond" w:hAnsi="Garamond"/>
          <w:b/>
          <w:bCs/>
          <w:i w:val="false"/>
          <w:iCs w:val="false"/>
          <w:color w:val="1B2A4A"/>
          <w:sz w:val="34"/>
          <w:szCs w:val="34"/>
        </w:rPr>
        <w:t xml:space="preserve">Article III — The Legislature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§3.1  </w:t>
      </w:r>
      <w:r>
        <w:rPr>
          <w:rFonts w:ascii="Garamond" w:cs="Garamond" w:eastAsia="Garamond" w:hAnsi="Garamond"/>
          <w:b/>
          <w:bCs/>
          <w:i w:val="false"/>
          <w:iCs w:val="false"/>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comprises two chambers: the House of Representatives and the Senate. All legislation originates in the House. The Senate reviews, may amend within the subject matter of the bill, and must act on every House-passed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1B2A4A"/>
          <w:sz w:val="18"/>
          <w:szCs w:val="18"/>
        </w:rPr>
        <w:t xml:space="preserve">§3.2  </w:t>
      </w:r>
      <w:r>
        <w:rPr>
          <w:rFonts w:ascii="Garamond" w:cs="Garamond" w:eastAsia="Garamond" w:hAnsi="Garamond"/>
          <w:b/>
          <w:bCs/>
          <w:i w:val="false"/>
          <w:iCs w:val="false"/>
          <w:color w:val="1B2A4A"/>
          <w:sz w:val="22"/>
          <w:szCs w:val="22"/>
        </w:rPr>
        <w:t xml:space="preserve">The House of Representatives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is the proportionally elected chamber. Both States and Territories send voting members; there are no second-class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LI audits the census and allocation process. The House Speaker is elected by the House from its own members by absolute majority and does not hold a place in the presidential succession line. Quorum is a majority of full seated membership. The House establishes its own internal procedures. Members serve two-year terms. No member may serve more than six consecutive terms without sitting out one full electoral cycle; no cumulative lifetime restriction applies after the cooling-off period. Legislative compensation is set by independent formula, not by the Legislature itself; all member financial interests are disclosed to the EI and published to the NRS. Mid-term vacancies in House seats are filled by special election administered by the Elections Panel; the Legislature establishes timing and procedures by statute, ensuring no seat remains vacant beyond a reasonable period. The House may expel a member by 2/3 vote of full seated membership; expulsion is published to the NRS and is effective immediately.</w:t>
      </w:r>
    </w:p>
    <w:p>
      <w:pPr>
        <w:spacing w:after="60" w:before="200"/>
        <w:ind w:left="431"/>
        <w:jc w:val="left"/>
      </w:pPr>
      <w:r>
        <w:rPr>
          <w:rFonts w:ascii="Courier New" w:cs="Courier New" w:eastAsia="Courier New" w:hAnsi="Courier New"/>
          <w:b/>
          <w:bCs/>
          <w:color w:val="1B2A4A"/>
          <w:sz w:val="18"/>
          <w:szCs w:val="18"/>
        </w:rPr>
        <w:t xml:space="preserve">§3.3  </w:t>
      </w:r>
      <w:r>
        <w:rPr>
          <w:rFonts w:ascii="Garamond" w:cs="Garamond" w:eastAsia="Garamond" w:hAnsi="Garamond"/>
          <w:b/>
          <w:bCs/>
          <w:i w:val="false"/>
          <w:iCs w:val="false"/>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520"/>
          <w:sz w:val="22"/>
          <w:szCs w:val="22"/>
        </w:rPr>
        <w:t xml:space="preserve">States draw their own House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a primary criterion. The LI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1B2A4A"/>
          <w:sz w:val="18"/>
          <w:szCs w:val="18"/>
        </w:rPr>
        <w:t xml:space="preserve">§3.4  </w:t>
      </w:r>
      <w:r>
        <w:rPr>
          <w:rFonts w:ascii="Garamond" w:cs="Garamond" w:eastAsia="Garamond" w:hAnsi="Garamond"/>
          <w:b/>
          <w:bCs/>
          <w:i w:val="false"/>
          <w:iCs w:val="false"/>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bill must address a single, clearly defined subject. A court finding that a bill addresses multiple unrelated subjects voids the act.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PM or by petition of 1/3 of either chamber. Members must disclose all financial interests to the EI. The Legislature must establish a joint ethics committee with authority to sanction and refer members; removal requires 2/3 of the relevant chamber following and on the basis of a published EI finding.</w:t>
      </w:r>
    </w:p>
    <w:p>
      <w:pPr>
        <w:spacing w:after="60" w:before="200"/>
        <w:ind w:left="431"/>
        <w:jc w:val="left"/>
      </w:pPr>
      <w:r>
        <w:rPr>
          <w:rFonts w:ascii="Courier New" w:cs="Courier New" w:eastAsia="Courier New" w:hAnsi="Courier New"/>
          <w:b/>
          <w:bCs/>
          <w:color w:val="1B2A4A"/>
          <w:sz w:val="18"/>
          <w:szCs w:val="18"/>
        </w:rPr>
        <w:t xml:space="preserve">§3.5  </w:t>
      </w:r>
      <w:r>
        <w:rPr>
          <w:rFonts w:ascii="Garamond" w:cs="Garamond" w:eastAsia="Garamond" w:hAnsi="Garamond"/>
          <w:b/>
          <w:bCs/>
          <w:i w:val="false"/>
          <w:iCs w:val="false"/>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Senate comprises two senators per State regardless of population, elected for six-year staggered terms. No senator may serve more than two consecutive terms without sitting out one full term; no cumulative lifetime restriction applies after the cooling-off period. The Senate Speaker is elected by senators and may not serve more than three consecutive electoral cycles as Speaker without sitting out one electoral cycle. The Senate defines its own internal procedures. The Senate may expel a member by 2/3 vote of full seated membership; expulsion is published to the NRS and is effective immediately. A State may establish by its own law a recall mechanism for its senators; where a senator is recalled under State law the seat is treated as vacant under this Constitution. The Senate holds exclusive authority over: judicial confirmation; treaty ratification by 2/3 of full seated membership; and, in the absence of a functioning Elections Panel, administration of the presidential election. The Senate may not initiate legislation; all bills originate in the House.</w:t>
      </w:r>
    </w:p>
    <w:p>
      <w:pPr>
        <w:spacing w:after="60" w:before="200"/>
        <w:ind w:left="431"/>
        <w:jc w:val="left"/>
      </w:pPr>
      <w:r>
        <w:rPr>
          <w:rFonts w:ascii="Courier New" w:cs="Courier New" w:eastAsia="Courier New" w:hAnsi="Courier New"/>
          <w:b/>
          <w:bCs/>
          <w:color w:val="1B2A4A"/>
          <w:sz w:val="18"/>
          <w:szCs w:val="18"/>
        </w:rPr>
        <w:t xml:space="preserve">§3.6  </w:t>
      </w:r>
      <w:r>
        <w:rPr>
          <w:rFonts w:ascii="Garamond" w:cs="Garamond" w:eastAsia="Garamond" w:hAnsi="Garamond"/>
          <w:b/>
          <w:bCs/>
          <w:i w:val="false"/>
          <w:iCs w:val="false"/>
          <w:color w:val="1B2A4A"/>
          <w:sz w:val="22"/>
          <w:szCs w:val="22"/>
        </w:rPr>
        <w:t xml:space="preserve">Treaty Ratification and Withdrawal</w:t>
      </w:r>
    </w:p>
    <w:p>
      <w:pPr>
        <w:spacing w:after="120" w:before="0"/>
        <w:ind w:left="431"/>
        <w:jc w:val="both"/>
      </w:pPr>
      <w:r>
        <w:rPr>
          <w:rFonts w:ascii="Garamond" w:cs="Garamond" w:eastAsia="Garamond" w:hAnsi="Garamond"/>
          <w:b w:val="false"/>
          <w:bCs w:val="false"/>
          <w:i w:val="false"/>
          <w:iCs w:val="false"/>
          <w:color w:val="2a2520"/>
          <w:sz w:val="22"/>
          <w:szCs w:val="22"/>
        </w:rPr>
        <w:t xml:space="preserve">Treaty ratification requires 2/3 of the full seated Senate. Where a treaty fails ratification, standalone domestic provisions may be transmitted to the House as ordinary legislation unless the treaty is bilateral and its obligations are interdependent, in which case it must be renegotiated or abandoned in full. The President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 All withdrawal actions are published to the NRS.</w:t>
      </w:r>
    </w:p>
    <w:p>
      <w:pPr>
        <w:spacing w:after="60" w:before="200"/>
        <w:ind w:left="431"/>
        <w:jc w:val="left"/>
      </w:pPr>
      <w:r>
        <w:rPr>
          <w:rFonts w:ascii="Courier New" w:cs="Courier New" w:eastAsia="Courier New" w:hAnsi="Courier New"/>
          <w:b/>
          <w:bCs/>
          <w:color w:val="1B2A4A"/>
          <w:sz w:val="18"/>
          <w:szCs w:val="18"/>
        </w:rPr>
        <w:t xml:space="preserve">§3.7  </w:t>
      </w:r>
      <w:r>
        <w:rPr>
          <w:rFonts w:ascii="Garamond" w:cs="Garamond" w:eastAsia="Garamond" w:hAnsi="Garamond"/>
          <w:b/>
          <w:bCs/>
          <w:i w:val="false"/>
          <w:iCs w:val="false"/>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520"/>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Inspectorate findings, and veto records are indexed alongside the enacted text. Where the constitution requires the Legislature to enact specific legislation and the Legislature fails to do so, the LI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1B2A4A"/>
          <w:sz w:val="18"/>
          <w:szCs w:val="18"/>
        </w:rPr>
        <w:t xml:space="preserve">§3.8  </w:t>
      </w:r>
      <w:r>
        <w:rPr>
          <w:rFonts w:ascii="Garamond" w:cs="Garamond" w:eastAsia="Garamond" w:hAnsi="Garamond"/>
          <w:b/>
          <w:bCs/>
          <w:i w:val="false"/>
          <w:iCs w:val="false"/>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three Inspectorates have full access to legislative records, committee deliberations, voting records, and draft legislation; the Legislature may not withhold records from the Inspectorates. The LI publishes a constitutional compliance analysis of any enacted law during the legislative review period; members may request LI analysis of any bill at any stage; the LI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EI has certified as constitutional breaches.</w:t>
      </w:r>
    </w:p>
    <w:p>
      <w:pPr>
        <w:spacing w:after="60" w:before="200"/>
        <w:ind w:left="431"/>
        <w:jc w:val="left"/>
      </w:pPr>
      <w:r>
        <w:rPr>
          <w:rFonts w:ascii="Courier New" w:cs="Courier New" w:eastAsia="Courier New" w:hAnsi="Courier New"/>
          <w:b/>
          <w:bCs/>
          <w:color w:val="1B2A4A"/>
          <w:sz w:val="18"/>
          <w:szCs w:val="18"/>
        </w:rPr>
        <w:t xml:space="preserve">§3.9  </w:t>
      </w:r>
      <w:r>
        <w:rPr>
          <w:rFonts w:ascii="Garamond" w:cs="Garamond" w:eastAsia="Garamond" w:hAnsi="Garamond"/>
          <w:b/>
          <w:bCs/>
          <w:i w:val="false"/>
          <w:iCs w:val="false"/>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may establish independent agencies operating outside the authority of both executives. Where this Constitution assigns a function to an independent agency, the Legislature must establish it; until it does, the relevant Inspectorate certifies the constitutional breach annually and reports on compliance, but does not substitute for the agency. The Legislature defines qualification standards for each agency’s officer pool by statute. The JI certifies candidates meeting those standards and maintains the pool as a public NRS record. The PM nominates the agency director from the certified pool only; a nomination outside the certified pool is constitutionally void. The Senate confirms by 2/3 supermajority. Agency officers serve fixed terms defined by statute and are removable for cause only; no executive may unilaterally remove an independent agency officer. Cause must relate to conduct, competence, or a disqualifying offense under §1.23; policy disagreement with the Legislature or either executive does not constitute cause. The oversight mechanism and removal procedure are defined by the statute establishing the agency, consistent with this principle.</w:t>
      </w:r>
    </w:p>
    <w:p>
      <w:pPr>
        <w:spacing w:after="60" w:before="200"/>
        <w:ind w:left="431"/>
        <w:jc w:val="left"/>
      </w:pPr>
      <w:r>
        <w:rPr>
          <w:rFonts w:ascii="Courier New" w:cs="Courier New" w:eastAsia="Courier New" w:hAnsi="Courier New"/>
          <w:b/>
          <w:bCs/>
          <w:color w:val="1B2A4A"/>
          <w:sz w:val="18"/>
          <w:szCs w:val="18"/>
        </w:rPr>
        <w:t xml:space="preserve">§3.10  </w:t>
      </w:r>
      <w:r>
        <w:rPr>
          <w:rFonts w:ascii="Garamond" w:cs="Garamond" w:eastAsia="Garamond" w:hAnsi="Garamond"/>
          <w:b/>
          <w:bCs/>
          <w:i w:val="false"/>
          <w:iCs w:val="false"/>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House may impeach officers serving in the presidential executive domain and inferior court judges. The President is removed exclusively under §2.13; the PM under §2.6; SC justices under §4.3.b; legislative members by their own chamber. A 1/3 House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House passage.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jc w:val="left"/>
      </w:pPr>
      <w:r>
        <w:rPr>
          <w:rFonts w:ascii="Garamond" w:cs="Garamond" w:eastAsia="Garamond" w:hAnsi="Garamond"/>
          <w:b/>
          <w:bCs/>
          <w:i w:val="false"/>
          <w:iCs w:val="false"/>
          <w:color w:val="1B2A4A"/>
          <w:sz w:val="34"/>
          <w:szCs w:val="34"/>
        </w:rPr>
        <w:t xml:space="preserve">Article IV — The Judicial Architecture</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§4.1  </w:t>
      </w:r>
      <w:r>
        <w:rPr>
          <w:rFonts w:ascii="Garamond" w:cs="Garamond" w:eastAsia="Garamond" w:hAnsi="Garamond"/>
          <w:b/>
          <w:bCs/>
          <w:i w:val="false"/>
          <w:iCs w:val="false"/>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Republic's judiciary operates at three levels: district courts, appellate courts, and the Supreme Court. The Legislature may establish, abolish, and define the jurisdiction of inferior courts by statute.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1B2A4A"/>
          <w:sz w:val="18"/>
          <w:szCs w:val="18"/>
        </w:rPr>
        <w:t xml:space="preserve">§4.2  </w:t>
      </w:r>
      <w:r>
        <w:rPr>
          <w:rFonts w:ascii="Garamond" w:cs="Garamond" w:eastAsia="Garamond" w:hAnsi="Garamond"/>
          <w:b/>
          <w:bCs/>
          <w:i w:val="false"/>
          <w:iCs w:val="false"/>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PM nominates inferior court judges from a pool of qualified candidates maintained by the Elections Panel and certified by the JI under §9.13. The Legislature defines qualifications for inferior court judges by statute; the JI certifies eligibility of each pool applicant against those qualifications. The PM must nominate within the period defined by statute following a vacancy, not to exceed 90 days where no statutory period has been defined. The Senate confirms by a 2/3 supermajority. Inferior court judges serve a single non-renewable term of 15 years and may be removed only for cause. The Legislature may establish a mandatory retirement age by statute, not below 70. Judicial removal occurs through three tracks: legislative removal by 2/3 of both chambers following EI certification of constitutional breach or demonstrated incapacity;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1B2A4A"/>
          <w:sz w:val="18"/>
          <w:szCs w:val="18"/>
        </w:rPr>
        <w:t xml:space="preserve">§4.3  </w:t>
      </w:r>
      <w:r>
        <w:rPr>
          <w:rFonts w:ascii="Garamond" w:cs="Garamond" w:eastAsia="Garamond" w:hAnsi="Garamond"/>
          <w:b/>
          <w:bCs/>
          <w:i w:val="false"/>
          <w:iCs w:val="false"/>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w:t>
      </w:r>
    </w:p>
    <w:p>
      <w:pPr>
        <w:spacing w:after="60" w:before="200"/>
        <w:ind w:left="431"/>
        <w:jc w:val="left"/>
      </w:pPr>
      <w:r>
        <w:rPr>
          <w:rFonts w:ascii="Courier New" w:cs="Courier New" w:eastAsia="Courier New" w:hAnsi="Courier New"/>
          <w:b/>
          <w:bCs/>
          <w:color w:val="1B2A4A"/>
          <w:sz w:val="18"/>
          <w:szCs w:val="18"/>
        </w:rPr>
        <w:t xml:space="preserve">§4.3.a  </w:t>
      </w:r>
      <w:r>
        <w:rPr>
          <w:rFonts w:ascii="Garamond" w:cs="Garamond" w:eastAsia="Garamond" w:hAnsi="Garamond"/>
          <w:b/>
          <w:bCs/>
          <w:color w:val="1B2A4A"/>
          <w:sz w:val="22"/>
          <w:szCs w:val="22"/>
        </w:rPr>
        <w:t xml:space="preserve">Supreme Court Quorum</w:t>
      </w:r>
    </w:p>
    <w:p>
      <w:pPr>
        <w:spacing w:after="120" w:before="0"/>
        <w:ind w:left="431"/>
        <w:jc w:val="both"/>
      </w:pPr>
      <w:r>
        <w:rPr>
          <w:rFonts w:ascii="Garamond" w:cs="Garamond" w:eastAsia="Garamond" w:hAnsi="Garamond"/>
          <w:b w:val="false"/>
          <w:bCs w:val="false"/>
          <w:i w:val="false"/>
          <w:iCs w:val="false"/>
          <w:color w:val="2a2520"/>
          <w:sz w:val="22"/>
          <w:szCs w:val="22"/>
        </w:rPr>
        <w:t xml:space="preserve">A majority of the SC’s seated justices — including any Temporary Associate Justices — constitutes quorum for ordinary decisions. Constitutional questions require a minimum of five justices regardless of total seated membership. Where insufficient Appellate Court judges are available for Temporary Associate Justice designation, the most senior federal District Court judges by continuous service fill remaining positions in order on the same temporary basis.</w:t>
      </w:r>
    </w:p>
    <w:p>
      <w:pPr>
        <w:spacing w:after="60" w:before="200"/>
        <w:ind w:left="431"/>
        <w:jc w:val="left"/>
      </w:pPr>
      <w:r>
        <w:rPr>
          <w:rFonts w:ascii="Courier New" w:cs="Courier New" w:eastAsia="Courier New" w:hAnsi="Courier New"/>
          <w:b/>
          <w:bCs/>
          <w:color w:val="1B2A4A"/>
          <w:sz w:val="18"/>
          <w:szCs w:val="18"/>
        </w:rPr>
        <w:t xml:space="preserve">§4.3.b  </w:t>
      </w:r>
      <w:r>
        <w:rPr>
          <w:rFonts w:ascii="Garamond" w:cs="Garamond" w:eastAsia="Garamond" w:hAnsi="Garamond"/>
          <w:b/>
          <w:b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A Supreme Court justice may be removed only for cause. Three grounds constitute sufficient cause: a published EI finding of constitutional breach in the exercise of judicial authority; certified permanent incapacity jointly certified by the EI and LI; or conviction for a disqualifying offense. Removal requires a 2/3 vote of both chambers simultaneously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1B2A4A"/>
          <w:sz w:val="18"/>
          <w:szCs w:val="18"/>
        </w:rPr>
        <w:t xml:space="preserve">§4.4  </w:t>
      </w:r>
      <w:r>
        <w:rPr>
          <w:rFonts w:ascii="Garamond" w:cs="Garamond" w:eastAsia="Garamond" w:hAnsi="Garamond"/>
          <w:b/>
          <w:bCs/>
          <w:i w:val="false"/>
          <w:iCs w:val="false"/>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SC justices are nominated by the PM from the open SC Candidate Registry maintained by the Elections Panel with eligibility certified by the JI under §9.4.b — any eligible citizen who applies and meets the qualification criteria is entered. The PM nominates within the period defined by statute following a vacancy (not to exceed 90 days for anticipated vacancies, 60 days for unanticipated vacancies). The JI confirms registry status and publishes the nominee's full record. The Senate must vote within the period defined by statute following JI publication of the nominee's record (not to exceed 120 days); no deemed confirmation applies, but failure to vote within that period is certified by the LI as a constitutional compliance breach. If the Senate declines, the PM nominates again within the period defined by statute. Where the PM fails to nominate within 30 days of an LI certification of constitutional breach under this section, the Senate may select a nominee directly from the SC Candidate Registry by 2/3 vote of full seated membership; a Senate selection under this provision requires no further PM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The Legislature must by statute establish a recusal framework; in the absence of statute, a justice must recuse where impartiality could reasonably be questioned.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1B2A4A"/>
          <w:sz w:val="18"/>
          <w:szCs w:val="18"/>
        </w:rPr>
        <w:t xml:space="preserve">§4.4.a  </w:t>
      </w:r>
      <w:r>
        <w:rPr>
          <w:rFonts w:ascii="Garamond" w:cs="Garamond" w:eastAsia="Garamond" w:hAnsi="Garamond"/>
          <w:b/>
          <w:b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the LI has certified a Senate breach under §4.4, the PM may — with 2/3 House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1B2A4A"/>
          <w:sz w:val="18"/>
          <w:szCs w:val="18"/>
        </w:rPr>
        <w:t xml:space="preserve">§4.5  </w:t>
      </w:r>
      <w:r>
        <w:rPr>
          <w:rFonts w:ascii="Garamond" w:cs="Garamond" w:eastAsia="Garamond" w:hAnsi="Garamond"/>
          <w:b/>
          <w:bCs/>
          <w:i w:val="false"/>
          <w:iCs w:val="false"/>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520"/>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a statute that is constitutionally permissible but poor policy is not the court's concern. Where a statute is ambiguous, courts apply the interpretation most consistent with this constitution. Courts may not rewrite clear statutory language. Inspectorate findings published to the NRS are admissible and must be given due consideration; where a court's conclusions differ from a prior finding, the court must address the inconsistency in its written decision.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w:t>
      </w:r>
    </w:p>
    <w:p>
      <w:pPr>
        <w:spacing w:after="60" w:before="200"/>
        <w:ind w:left="431"/>
        <w:jc w:val="left"/>
      </w:pPr>
      <w:r>
        <w:rPr>
          <w:rFonts w:ascii="Courier New" w:cs="Courier New" w:eastAsia="Courier New" w:hAnsi="Courier New"/>
          <w:b/>
          <w:bCs/>
          <w:color w:val="1B2A4A"/>
          <w:sz w:val="18"/>
          <w:szCs w:val="18"/>
        </w:rPr>
        <w:t xml:space="preserve">§4.6  </w:t>
      </w:r>
      <w:r>
        <w:rPr>
          <w:rFonts w:ascii="Garamond" w:cs="Garamond" w:eastAsia="Garamond" w:hAnsi="Garamond"/>
          <w:b/>
          <w:bCs/>
          <w:i w:val="false"/>
          <w:iCs w:val="false"/>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spacing w:after="60" w:before="200"/>
        <w:ind w:left="431"/>
        <w:jc w:val="left"/>
      </w:pPr>
      <w:r>
        <w:rPr>
          <w:rFonts w:ascii="Courier New" w:cs="Courier New" w:eastAsia="Courier New" w:hAnsi="Courier New"/>
          <w:b/>
          <w:bCs/>
          <w:color w:val="1B2A4A"/>
          <w:sz w:val="18"/>
          <w:szCs w:val="18"/>
        </w:rPr>
        <w:t xml:space="preserve">§4.7  </w:t>
      </w:r>
      <w:r>
        <w:rPr>
          <w:rFonts w:ascii="Garamond" w:cs="Garamond" w:eastAsia="Garamond" w:hAnsi="Garamond"/>
          <w:b/>
          <w:bCs/>
          <w:i w:val="false"/>
          <w:iCs w:val="false"/>
          <w:color w:val="1B2A4A"/>
          <w:sz w:val="22"/>
          <w:szCs w:val="22"/>
        </w:rPr>
        <w:t xml:space="preserve">Jury Service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are required to serve on juries when called. Jury service is compensated at a rate the Legislature defines by statute. Unexcused refusal is subject to civil consequences the Legislature defines. Jury service does not constitute forced labor under §1.4.</w:t>
      </w:r>
    </w:p>
    <w:p>
      <w:pPr>
        <w:spacing w:after="60" w:before="200"/>
        <w:jc w:val="left"/>
      </w:pPr>
      <w:r>
        <w:rPr>
          <w:rFonts w:ascii="Garamond" w:cs="Garamond" w:eastAsia="Garamond" w:hAnsi="Garamond"/>
          <w:b/>
          <w:bCs/>
          <w:i w:val="false"/>
          <w:iCs w:val="false"/>
          <w:color w:val="1B2A4A"/>
          <w:sz w:val="34"/>
          <w:szCs w:val="34"/>
        </w:rPr>
        <w:t xml:space="preserve">Article V — Citizenship and National Identity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§5.1  </w:t>
      </w:r>
      <w:r>
        <w:rPr>
          <w:rFonts w:ascii="Garamond" w:cs="Garamond" w:eastAsia="Garamond" w:hAnsi="Garamond"/>
          <w:b/>
          <w:bCs/>
          <w:i w:val="false"/>
          <w:iCs w:val="false"/>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Where a child would otherwise be stateless, citizenship is granted regardless of parental status. No citizenship may be stripped from a natural-born citizen. Where a child born on Republic territory would hold no other citizenship, they are eligible for legal residency from birth, with all Inhabitant years counting toward the naturalization residency requirement.</w:t>
      </w:r>
    </w:p>
    <w:p>
      <w:pPr>
        <w:spacing w:after="60" w:before="200"/>
        <w:ind w:left="431"/>
        <w:jc w:val="left"/>
      </w:pPr>
      <w:r>
        <w:rPr>
          <w:rFonts w:ascii="Courier New" w:cs="Courier New" w:eastAsia="Courier New" w:hAnsi="Courier New"/>
          <w:b/>
          <w:bCs/>
          <w:color w:val="1B2A4A"/>
          <w:sz w:val="18"/>
          <w:szCs w:val="18"/>
        </w:rPr>
        <w:t xml:space="preserve">§5.1.a  </w:t>
      </w:r>
      <w:r>
        <w:rPr>
          <w:rFonts w:ascii="Garamond" w:cs="Garamond" w:eastAsia="Garamond" w:hAnsi="Garamond"/>
          <w:b/>
          <w:bCs/>
          <w:i w:val="false"/>
          <w:iCs w:val="false"/>
          <w:color w:val="1B2A4A"/>
          <w:sz w:val="22"/>
          <w:szCs w:val="22"/>
        </w:rPr>
        <w:t xml:space="preserve">Naturalization and Service Path</w:t>
      </w:r>
    </w:p>
    <w:p>
      <w:pPr>
        <w:spacing w:after="120" w:before="0"/>
        <w:ind w:left="431"/>
        <w:jc w:val="both"/>
      </w:pPr>
      <w:r>
        <w:rPr>
          <w:rFonts w:ascii="Garamond" w:cs="Garamond" w:eastAsia="Garamond" w:hAnsi="Garamond"/>
          <w:b w:val="false"/>
          <w:bCs w:val="false"/>
          <w:i w:val="false"/>
          <w:iCs w:val="false"/>
          <w:color w:val="2a2520"/>
          <w:sz w:val="22"/>
          <w:szCs w:val="22"/>
        </w:rPr>
        <w:t xml:space="preserve">A legal resident may earn citizenship after the continuous residency period and clean legal record established by statute, upon passing the Constitutional Logic Test (CLT). A legal resident may alternatively earn citizenship through honorable completion of military or national service. The CLT tests knowledge of constitutional principles and civic structure — not political opinions or cultural loyalty. The CLT is administered by a statutory independent agency under §3.9. No citizenship may be revoked as punishment once granted; the Republic may not manufacture statelessness as a punitive tool.</w:t>
      </w:r>
    </w:p>
    <w:p>
      <w:pPr>
        <w:spacing w:after="60" w:before="200"/>
        <w:ind w:left="431"/>
        <w:jc w:val="left"/>
      </w:pPr>
      <w:r>
        <w:rPr>
          <w:rFonts w:ascii="Courier New" w:cs="Courier New" w:eastAsia="Courier New" w:hAnsi="Courier New"/>
          <w:b/>
          <w:bCs/>
          <w:color w:val="1B2A4A"/>
          <w:sz w:val="18"/>
          <w:szCs w:val="18"/>
        </w:rPr>
        <w:t xml:space="preserve">§5.1.b  </w:t>
      </w:r>
      <w:r>
        <w:rPr>
          <w:rFonts w:ascii="Garamond" w:cs="Garamond" w:eastAsia="Garamond" w:hAnsi="Garamond"/>
          <w:b/>
          <w:bCs/>
          <w:i w:val="false"/>
          <w:iCs w:val="false"/>
          <w:color w:val="1B2A4A"/>
          <w:sz w:val="22"/>
          <w:szCs w:val="22"/>
        </w:rPr>
        <w:t xml:space="preserve">Derivative and Founding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 child born before a parent acquired legal residency or citizenship, who accompanies that parent to the Republic within a Legislature-defined window, receives derivative status. All individuals holding voting rights on Day Zero of ratification are automatically granted full citizenship as founding members of the Republic without testing or application.</w:t>
      </w:r>
    </w:p>
    <w:p>
      <w:pPr>
        <w:spacing w:after="60" w:before="200"/>
        <w:ind w:left="431"/>
        <w:jc w:val="left"/>
      </w:pPr>
      <w:r>
        <w:rPr>
          <w:rFonts w:ascii="Courier New" w:cs="Courier New" w:eastAsia="Courier New" w:hAnsi="Courier New"/>
          <w:b/>
          <w:bCs/>
          <w:color w:val="1B2A4A"/>
          <w:sz w:val="18"/>
          <w:szCs w:val="18"/>
        </w:rPr>
        <w:t xml:space="preserve">§5.2  </w:t>
      </w:r>
      <w:r>
        <w:rPr>
          <w:rFonts w:ascii="Garamond" w:cs="Garamond" w:eastAsia="Garamond" w:hAnsi="Garamond"/>
          <w:b/>
          <w:bCs/>
          <w:i w:val="false"/>
          <w:iCs w:val="false"/>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Legal residents hold a Residency Credential allowing them to work, enter contracts, own property, and access social state systems under Article X.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1B2A4A"/>
          <w:sz w:val="18"/>
          <w:szCs w:val="18"/>
        </w:rPr>
        <w:t xml:space="preserve">§5.3  </w:t>
      </w:r>
      <w:r>
        <w:rPr>
          <w:rFonts w:ascii="Garamond" w:cs="Garamond" w:eastAsia="Garamond" w:hAnsi="Garamond"/>
          <w:b/>
          <w:bCs/>
          <w:i w:val="false"/>
          <w:iCs w:val="false"/>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spacing w:after="60" w:before="200"/>
        <w:jc w:val="left"/>
      </w:pPr>
      <w:r>
        <w:rPr>
          <w:rFonts w:ascii="Garamond" w:cs="Garamond" w:eastAsia="Garamond" w:hAnsi="Garamond"/>
          <w:b/>
          <w:bCs/>
          <w:i w:val="false"/>
          <w:iCs w:val="false"/>
          <w:color w:val="1B2A4A"/>
          <w:sz w:val="34"/>
          <w:szCs w:val="34"/>
        </w:rPr>
        <w:t xml:space="preserve">Article VI — Immigration and Residency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§6.1  </w:t>
      </w:r>
      <w:r>
        <w:rPr>
          <w:rFonts w:ascii="Garamond" w:cs="Garamond" w:eastAsia="Garamond" w:hAnsi="Garamond"/>
          <w:b/>
          <w:bCs/>
          <w:i w:val="false"/>
          <w:iCs w:val="false"/>
          <w:color w:val="1B2A4A"/>
          <w:sz w:val="22"/>
          <w:szCs w:val="22"/>
        </w:rPr>
        <w:t xml:space="preserve">The Dual-Gate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immigration application must clear two sequential gates: Gate 1 (State sponsorship) and Gate 2 (federal certification). Legal residency requires passing both gates. States retain discretion over whom they sponsor but may not apply sponsorship criteria that violate §1.6. Federal certification covers four statutory categories only: identity verification, criminal history, national security assessment, and absence of documented welfare dependency on a foreign state — no ideological screening or nationality-based quotas. Any denial must specify the precise ground in writing. Once an applicant clears both gates, the President must ministerially issue residency credentials; Presidential interference with credential issuance is constitutionally prohibited. The Legislature may establish a Federal Sponsorship Category where federal agencies serve as Gate 1 sponsors for applicants serving a defined federal interest; this does not bypass Gate 2. The Legislature may set aggregate limits on total applications received and processed in any period, provided limits are applied without §1.6 discrimination. Asylum proceedings under §6.3 are exempt from Gate 1 — no State's refusal to sponsor can extinguish a §1.21 asylum claim.</w:t>
      </w:r>
    </w:p>
    <w:p>
      <w:pPr>
        <w:spacing w:after="60" w:before="200"/>
        <w:ind w:left="431"/>
        <w:jc w:val="left"/>
      </w:pPr>
      <w:r>
        <w:rPr>
          <w:rFonts w:ascii="Courier New" w:cs="Courier New" w:eastAsia="Courier New" w:hAnsi="Courier New"/>
          <w:b/>
          <w:bCs/>
          <w:color w:val="1B2A4A"/>
          <w:sz w:val="18"/>
          <w:szCs w:val="18"/>
        </w:rPr>
        <w:t xml:space="preserve">§6.2  </w:t>
      </w:r>
      <w:r>
        <w:rPr>
          <w:rFonts w:ascii="Garamond" w:cs="Garamond" w:eastAsia="Garamond" w:hAnsi="Garamond"/>
          <w:b/>
          <w:bCs/>
          <w:i w:val="false"/>
          <w:iCs w:val="false"/>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520"/>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Gate 2 denials are judicially challengeable on three grounds: criterion outside the four certified categories; discriminatory grounds contrary to §1.6; or procedural violation affecting the outcome. Gate 1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Gate 1 challenges brought on §1.6 grounds are published to the NRS; personally identifying information of applicants who are not public figures is protected consistent with §1.7. Where Gate 2 is denied on national security grounds, a reviewing court may examine the classified assessment in camera to determine whether it constitutes a credible, specific, and documented security concern; where the court finds the assessment insufficient, the denial is vacated and Gate 2 must be reconsidered on the remaining criteria.</w:t>
      </w:r>
    </w:p>
    <w:p>
      <w:pPr>
        <w:spacing w:after="60" w:before="200"/>
        <w:ind w:left="431"/>
        <w:jc w:val="left"/>
      </w:pPr>
      <w:r>
        <w:rPr>
          <w:rFonts w:ascii="Courier New" w:cs="Courier New" w:eastAsia="Courier New" w:hAnsi="Courier New"/>
          <w:b/>
          <w:bCs/>
          <w:color w:val="1B2A4A"/>
          <w:sz w:val="18"/>
          <w:szCs w:val="18"/>
        </w:rPr>
        <w:t xml:space="preserve">§6.3  </w:t>
      </w:r>
      <w:r>
        <w:rPr>
          <w:rFonts w:ascii="Garamond" w:cs="Garamond" w:eastAsia="Garamond" w:hAnsi="Garamond"/>
          <w:b/>
          <w:bCs/>
          <w:i w:val="false"/>
          <w:iCs w:val="false"/>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Gate 1 and Gate 2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a written decision with grounds, and a right of appeal — regardless of point of entry. The asylum proceedings statute must ensure accessibility to persons in Territories and geographically remote areas.</w:t>
      </w:r>
    </w:p>
    <w:p>
      <w:pPr>
        <w:spacing w:after="60" w:before="200"/>
        <w:ind w:left="431"/>
        <w:jc w:val="left"/>
      </w:pPr>
      <w:r>
        <w:rPr>
          <w:rFonts w:ascii="Courier New" w:cs="Courier New" w:eastAsia="Courier New" w:hAnsi="Courier New"/>
          <w:b/>
          <w:bCs/>
          <w:color w:val="1B2A4A"/>
          <w:sz w:val="18"/>
          <w:szCs w:val="18"/>
        </w:rPr>
        <w:t xml:space="preserve">§6.3.a  </w:t>
      </w:r>
      <w:r>
        <w:rPr>
          <w:rFonts w:ascii="Garamond" w:cs="Garamond" w:eastAsia="Garamond" w:hAnsi="Garamond"/>
          <w:b/>
          <w:bCs/>
          <w:i w:val="false"/>
          <w:iCs w:val="false"/>
          <w:color w:val="1B2A4A"/>
          <w:sz w:val="22"/>
          <w:szCs w:val="22"/>
        </w:rPr>
        <w:t xml:space="preserve">Asylum Court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60" w:before="200"/>
        <w:ind w:left="431"/>
        <w:jc w:val="left"/>
      </w:pPr>
      <w:r>
        <w:rPr>
          <w:rFonts w:ascii="Courier New" w:cs="Courier New" w:eastAsia="Courier New" w:hAnsi="Courier New"/>
          <w:b/>
          <w:bCs/>
          <w:color w:val="1B2A4A"/>
          <w:sz w:val="18"/>
          <w:szCs w:val="18"/>
        </w:rPr>
        <w:t xml:space="preserve">§6.3.b  </w:t>
      </w:r>
      <w:r>
        <w:rPr>
          <w:rFonts w:ascii="Garamond" w:cs="Garamond" w:eastAsia="Garamond" w:hAnsi="Garamond"/>
          <w:b/>
          <w:bCs/>
          <w:i w:val="false"/>
          <w:iCs w:val="false"/>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spacing w:after="60" w:before="200"/>
        <w:ind w:left="431"/>
        <w:jc w:val="left"/>
      </w:pPr>
      <w:r>
        <w:rPr>
          <w:rFonts w:ascii="Courier New" w:cs="Courier New" w:eastAsia="Courier New" w:hAnsi="Courier New"/>
          <w:b/>
          <w:bCs/>
          <w:color w:val="1B2A4A"/>
          <w:sz w:val="18"/>
          <w:szCs w:val="18"/>
        </w:rPr>
        <w:t xml:space="preserve">§6.3.c  </w:t>
      </w:r>
      <w:r>
        <w:rPr>
          <w:rFonts w:ascii="Garamond" w:cs="Garamond" w:eastAsia="Garamond" w:hAnsi="Garamond"/>
          <w:b/>
          <w:bCs/>
          <w:i w:val="false"/>
          <w:iCs w:val="false"/>
          <w:color w:val="1B2A4A"/>
          <w:sz w:val="22"/>
          <w:szCs w:val="22"/>
        </w:rPr>
        <w:t xml:space="preserve">Unaccompanied Minors</w:t>
      </w:r>
    </w:p>
    <w:p>
      <w:pPr>
        <w:spacing w:after="120" w:before="0"/>
        <w:ind w:left="431"/>
        <w:jc w:val="both"/>
      </w:pPr>
      <w:r>
        <w:rPr>
          <w:rFonts w:ascii="Garamond" w:cs="Garamond" w:eastAsia="Garamond" w:hAnsi="Garamond"/>
          <w:b w:val="false"/>
          <w:bCs w:val="false"/>
          <w:i w:val="false"/>
          <w:iCs w:val="false"/>
          <w:color w:val="2a2520"/>
          <w:sz w:val="22"/>
          <w:szCs w:val="22"/>
        </w:rPr>
        <w:t xml:space="preserve">An unaccompanied minor arriving in the Republic is an Inhabitant from the moment of contact and holds full §1.21 protection. A federal legal guardian must be appointed by the federal court with jurisdiction over the point of contact within 24 hours. No unaccompanied minor may be detained in a facility not specifically designated and resourced for children.</w:t>
      </w:r>
    </w:p>
    <w:p>
      <w:pPr>
        <w:spacing w:after="60" w:before="200"/>
        <w:jc w:val="left"/>
      </w:pPr>
      <w:r>
        <w:rPr>
          <w:rFonts w:ascii="Garamond" w:cs="Garamond" w:eastAsia="Garamond" w:hAnsi="Garamond"/>
          <w:b/>
          <w:bCs/>
          <w:i w:val="false"/>
          <w:iCs w:val="false"/>
          <w:color w:val="1B2A4A"/>
          <w:sz w:val="34"/>
          <w:szCs w:val="34"/>
        </w:rPr>
        <w:t xml:space="preserve">Article VII — Elections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§7.1  </w:t>
      </w:r>
      <w:r>
        <w:rPr>
          <w:rFonts w:ascii="Garamond" w:cs="Garamond" w:eastAsia="Garamond" w:hAnsi="Garamond"/>
          <w:b/>
          <w:bCs/>
          <w:i w:val="false"/>
          <w:iCs w:val="false"/>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520"/>
          <w:sz w:val="22"/>
          <w:szCs w:val="22"/>
        </w:rPr>
        <w:t xml:space="preserve">Every eligible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1B2A4A"/>
          <w:sz w:val="18"/>
          <w:szCs w:val="18"/>
        </w:rPr>
        <w:t xml:space="preserve">§7.2  </w:t>
      </w:r>
      <w:r>
        <w:rPr>
          <w:rFonts w:ascii="Garamond" w:cs="Garamond" w:eastAsia="Garamond" w:hAnsi="Garamond"/>
          <w:b/>
          <w:bCs/>
          <w:i w:val="false"/>
          <w:iCs w:val="false"/>
          <w:color w:val="1B2A4A"/>
          <w:sz w:val="22"/>
          <w:szCs w:val="22"/>
        </w:rPr>
        <w:t xml:space="preserve">Presidential Election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President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The Elections Panel administers and certifies all presidential elections. Territory citizens vote in presidential elections and their votes count in the national RCV total; Territories are not included in the State plurality calculation.</w:t>
      </w:r>
    </w:p>
    <w:p>
      <w:pPr>
        <w:spacing w:after="60" w:before="200"/>
        <w:ind w:left="431"/>
        <w:jc w:val="left"/>
      </w:pPr>
      <w:r>
        <w:rPr>
          <w:rFonts w:ascii="Courier New" w:cs="Courier New" w:eastAsia="Courier New" w:hAnsi="Courier New"/>
          <w:b/>
          <w:bCs/>
          <w:color w:val="1B2A4A"/>
          <w:sz w:val="18"/>
          <w:szCs w:val="18"/>
        </w:rPr>
        <w:t xml:space="preserve">§7.2.b  </w:t>
      </w:r>
      <w:r>
        <w:rPr>
          <w:rFonts w:ascii="Garamond" w:cs="Garamond" w:eastAsia="Garamond" w:hAnsi="Garamond"/>
          <w:b/>
          <w:bCs/>
          <w:i w:val="false"/>
          <w:iCs w:val="false"/>
          <w:color w:val="1B2A4A"/>
          <w:sz w:val="22"/>
          <w:szCs w:val="22"/>
        </w:rPr>
        <w:t xml:space="preserve">State Plurality Requirement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or the Elections Panel itself where it identifies a material error in its own certification. No transfer of presidential authority may be delayed beyond the constitutional transition provisions.</w:t>
      </w:r>
    </w:p>
    <w:p>
      <w:pPr>
        <w:spacing w:after="60" w:before="200"/>
        <w:ind w:left="431"/>
        <w:jc w:val="left"/>
      </w:pPr>
      <w:r>
        <w:rPr>
          <w:rFonts w:ascii="Courier New" w:cs="Courier New" w:eastAsia="Courier New" w:hAnsi="Courier New"/>
          <w:b/>
          <w:bCs/>
          <w:color w:val="1B2A4A"/>
          <w:sz w:val="18"/>
          <w:szCs w:val="18"/>
        </w:rPr>
        <w:t xml:space="preserve">§7.3  </w:t>
      </w:r>
      <w:r>
        <w:rPr>
          <w:rFonts w:ascii="Garamond" w:cs="Garamond" w:eastAsia="Garamond" w:hAnsi="Garamond"/>
          <w:b/>
          <w:bCs/>
          <w:i w:val="false"/>
          <w:iCs w:val="false"/>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elections are held at regular intervals: House elections every two years; Senate elections on the staggered six-year cycle; presidential elections every four years. All federal elections use Ranked Choice Voting — majority required, not plurality; presidential elections use RCV within the framework of §7.2, which adds the State plurality requirement. The Legislature defines by statute the specific timing, duration, and structure of the federal electoral period within these constitutional floors. All federal elections, referenda, and confirmation votes are administered by the Elections Panel using the National Voting System, free from executive interference. The President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its constitutional standards. Special elections for vacancies are administered by the Elections Panel under procedures established by statute.</w:t>
      </w:r>
    </w:p>
    <w:p>
      <w:pPr>
        <w:spacing w:after="60" w:before="200"/>
        <w:jc w:val="left"/>
      </w:pPr>
      <w:r>
        <w:rPr>
          <w:rFonts w:ascii="Garamond" w:cs="Garamond" w:eastAsia="Garamond" w:hAnsi="Garamond"/>
          <w:b/>
          <w:bCs/>
          <w:i w:val="false"/>
          <w:iCs w:val="false"/>
          <w:color w:val="1B2A4A"/>
          <w:sz w:val="34"/>
          <w:szCs w:val="34"/>
        </w:rPr>
        <w:t xml:space="preserve">Article VIII — Electoral Finance and Campaign Conduct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§8.1  </w:t>
      </w:r>
      <w:r>
        <w:rPr>
          <w:rFonts w:ascii="Garamond" w:cs="Garamond" w:eastAsia="Garamond" w:hAnsi="Garamond"/>
          <w:b/>
          <w:bCs/>
          <w:i w:val="false"/>
          <w:iCs w:val="false"/>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520"/>
          <w:sz w:val="22"/>
          <w:szCs w:val="22"/>
        </w:rPr>
        <w:t xml:space="preserve">Electoral finance is regulated to prevent structural distortion of democratic accountability through concentrated financial influence. 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1B2A4A"/>
          <w:sz w:val="18"/>
          <w:szCs w:val="18"/>
        </w:rPr>
        <w:t xml:space="preserve">§8.2  </w:t>
      </w:r>
      <w:r>
        <w:rPr>
          <w:rFonts w:ascii="Garamond" w:cs="Garamond" w:eastAsia="Garamond" w:hAnsi="Garamond"/>
          <w:b/>
          <w:bCs/>
          <w:i w:val="false"/>
          <w:iCs w:val="false"/>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520"/>
          <w:sz w:val="22"/>
          <w:szCs w:val="22"/>
        </w:rPr>
        <w:t xml:space="preserve">Candidates for constitutional office campaign in compliance with published Elections Panel conduct standards, which include: prohibition on demonstrably false statements of material fact about a candidate's recorded votes; prohibition on impersonating other candidates; prohibition on vote suppression activities; and prohibition on interference with the electoral administration process. Characterization, emphasis, and contextual framing of voting records are protected expression.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1B2A4A"/>
          <w:sz w:val="18"/>
          <w:szCs w:val="18"/>
        </w:rPr>
        <w:t xml:space="preserve">§8.3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a publicly funded campaign financing system as an alternative to private fundraising. The system provides all registered candidates with equal baseline funding; no allocation may advantage incumbents or established political organizations. Candidates who accept public financing are subject to spending limits defined by statute. The Legislature may create a matching funds component amplifying small donations; matching thresholds, caps, and ratios must apply equally to all participating candidates. The Elections Panel administers disbursement and audits all campaign finance records within the period defined by statute following any election, not to exceed 90 days. Candidates who receive impermissible contributions must report them within 10 days and either return them to the contributor or remit them to the public campaign financing fund.</w:t>
      </w:r>
    </w:p>
    <w:p>
      <w:pPr>
        <w:spacing w:after="60" w:before="200"/>
        <w:jc w:val="left"/>
      </w:pPr>
      <w:r>
        <w:rPr>
          <w:rFonts w:ascii="Garamond" w:cs="Garamond" w:eastAsia="Garamond" w:hAnsi="Garamond"/>
          <w:b/>
          <w:bCs/>
          <w:i w:val="false"/>
          <w:iCs w:val="false"/>
          <w:color w:val="1B2A4A"/>
          <w:sz w:val="34"/>
          <w:szCs w:val="34"/>
        </w:rPr>
        <w:t xml:space="preserve">Article IX — The Inspectorates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  </w:t>
      </w:r>
      <w:r>
        <w:rPr>
          <w:rFonts w:ascii="Garamond" w:cs="Garamond" w:eastAsia="Garamond" w:hAnsi="Garamond"/>
          <w:b/>
          <w:bCs/>
          <w:i w:val="false"/>
          <w:iCs w:val="false"/>
          <w:color w:val="1B2A4A"/>
          <w:sz w:val="22"/>
          <w:szCs w:val="22"/>
        </w:rPr>
        <w:t xml:space="preserve">Three Inspectorates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maintains three constitutionally independent Inspectorates — Legislative (LI), Executive (EI), and Judicial (JI) — each selected by bodies other than those it oversees. The Inspectorates hold an information-only mandate: they publish findings but do not issue binding orders. Each Inspector General serves a 10-year non-renewable term with a constitutionally protected funding floor.</w:t>
      </w:r>
    </w:p>
    <w:p>
      <w:pPr>
        <w:spacing w:after="60" w:before="200"/>
        <w:ind w:left="431"/>
        <w:jc w:val="left"/>
      </w:pPr>
      <w:r>
        <w:rPr>
          <w:rFonts w:ascii="Courier New" w:cs="Courier New" w:eastAsia="Courier New" w:hAnsi="Courier New"/>
          <w:b/>
          <w:bCs/>
          <w:color w:val="1B2A4A"/>
          <w:sz w:val="18"/>
          <w:szCs w:val="18"/>
        </w:rPr>
        <w:t xml:space="preserve">§9.1.a  </w:t>
      </w:r>
      <w:r>
        <w:rPr>
          <w:rFonts w:ascii="Garamond" w:cs="Garamond" w:eastAsia="Garamond" w:hAnsi="Garamond"/>
          <w:b/>
          <w:bCs/>
          <w:i w:val="false"/>
          <w:iCs w:val="false"/>
          <w:color w:val="1B2A4A"/>
          <w:sz w:val="22"/>
          <w:szCs w:val="22"/>
        </w:rPr>
        <w:t xml:space="preserve">The Legislative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audits the Legislature for fiscal accuracy and constitutional compliance. Responsibilities include auditing the population census for constitutional compliance; reviewing House district maps against §3.3 criteria and publishing germaneness analyses; determining referendum eligibility; certifying legislative mandate compliance; and publishing an annual compliance report to the NRS.</w:t>
      </w:r>
    </w:p>
    <w:p>
      <w:pPr>
        <w:spacing w:after="60" w:before="200"/>
        <w:ind w:left="431"/>
        <w:jc w:val="left"/>
      </w:pPr>
      <w:r>
        <w:rPr>
          <w:rFonts w:ascii="Courier New" w:cs="Courier New" w:eastAsia="Courier New" w:hAnsi="Courier New"/>
          <w:b/>
          <w:bCs/>
          <w:color w:val="1B2A4A"/>
          <w:sz w:val="18"/>
          <w:szCs w:val="18"/>
        </w:rPr>
        <w:t xml:space="preserve">§9.1.b  </w:t>
      </w:r>
      <w:r>
        <w:rPr>
          <w:rFonts w:ascii="Garamond" w:cs="Garamond" w:eastAsia="Garamond" w:hAnsi="Garamond"/>
          <w:b/>
          <w:bCs/>
          <w:i w:val="false"/>
          <w:iCs w:val="false"/>
          <w:color w:val="1B2A4A"/>
          <w:sz w:val="22"/>
          <w:szCs w:val="22"/>
        </w:rPr>
        <w:t xml:space="preserve">The Executive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audits both executives and the Monetary Authority. Annual responsibilities include: military compliance assessment covering whether tier authorizations were followed, whether the §2.3 intelligence warrant requirement was maintained, and whether fund certifications were observed; publishing clemency background reports before any executive act; reviewing disclosure records for constitutional appointments; and auditing electoral finance within the period defined by statute following any election.</w:t>
      </w:r>
    </w:p>
    <w:p>
      <w:pPr>
        <w:spacing w:after="60" w:before="200"/>
        <w:ind w:left="431"/>
        <w:jc w:val="left"/>
      </w:pPr>
      <w:r>
        <w:rPr>
          <w:rFonts w:ascii="Courier New" w:cs="Courier New" w:eastAsia="Courier New" w:hAnsi="Courier New"/>
          <w:b/>
          <w:bCs/>
          <w:color w:val="1B2A4A"/>
          <w:sz w:val="18"/>
          <w:szCs w:val="18"/>
        </w:rPr>
        <w:t xml:space="preserve">§9.1.c  </w:t>
      </w:r>
      <w:r>
        <w:rPr>
          <w:rFonts w:ascii="Garamond" w:cs="Garamond" w:eastAsia="Garamond" w:hAnsi="Garamond"/>
          <w:b/>
          <w:bCs/>
          <w:i w:val="false"/>
          <w:iCs w:val="false"/>
          <w:color w:val="1B2A4A"/>
          <w:sz w:val="22"/>
          <w:szCs w:val="22"/>
        </w:rPr>
        <w:t xml:space="preserve">The Judicial Inspectorate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audits the courts for judicial scope and independence. The JI certifies eligibility for the SC Candidate Registry under §9.4.b and confirms registry status for SC nominees, and conducts annual audits of the Elections Panel for electoral integrity compliance. The JI reviews accommodation compact compliance, Associated Community compact compliance under Article XX, and Article XVI indigenous compact obligations. The JI's lottery-based selection makes it the appropriate body to administer all constitutional lottery draws and candidate certification functions throughout the Republic.</w:t>
      </w:r>
    </w:p>
    <w:p>
      <w:pPr>
        <w:spacing w:after="60" w:before="200"/>
        <w:ind w:left="431"/>
        <w:jc w:val="left"/>
      </w:pPr>
      <w:r>
        <w:rPr>
          <w:rFonts w:ascii="Courier New" w:cs="Courier New" w:eastAsia="Courier New" w:hAnsi="Courier New"/>
          <w:b/>
          <w:bCs/>
          <w:color w:val="1B2A4A"/>
          <w:sz w:val="18"/>
          <w:szCs w:val="18"/>
        </w:rPr>
        <w:t xml:space="preserve">§9.1.d  </w:t>
      </w:r>
      <w:r>
        <w:rPr>
          <w:rFonts w:ascii="Garamond" w:cs="Garamond" w:eastAsia="Garamond" w:hAnsi="Garamond"/>
          <w:b/>
          <w:bCs/>
          <w:color w:val="1B2A4A"/>
          <w:sz w:val="22"/>
          <w:szCs w:val="22"/>
        </w:rPr>
        <w:t xml:space="preserve">IG Term Expiry and Incapacity</w:t>
      </w:r>
    </w:p>
    <w:p>
      <w:pPr>
        <w:spacing w:after="120" w:before="0"/>
        <w:ind w:left="431"/>
        <w:jc w:val="both"/>
      </w:pPr>
      <w:r>
        <w:rPr>
          <w:rFonts w:ascii="Garamond" w:cs="Garamond" w:eastAsia="Garamond" w:hAnsi="Garamond"/>
          <w:b w:val="false"/>
          <w:bCs w:val="false"/>
          <w:i w:val="false"/>
          <w:iCs w:val="false"/>
          <w:color w:val="2a2520"/>
          <w:sz w:val="22"/>
          <w:szCs w:val="22"/>
        </w:rPr>
        <w:t xml:space="preserve">An IG’s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Inspectorate’s candidate pool by continuous pool tenure who accepts designation serves as Acting Inspector General until a successor is confirmed under §9.3. The Acting IG holds full constitutional authority of the office. The Acting IG is not eligible for permanent appointment to the position in which they serve; upon conclusion of acting service they return to the candidate pool. The JIC certifies the designation and both executives are notified immediately; notice does not condition the designation’s effectiveness. Pool membership satisfies the eligibility requirement of §1.22. Where an IG is certified incapacitated by the other two Inspectorates jointly, the incapacitated IG’s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1B2A4A"/>
          <w:sz w:val="18"/>
          <w:szCs w:val="18"/>
        </w:rPr>
        <w:t xml:space="preserve">§9.2  </w:t>
      </w:r>
      <w:r>
        <w:rPr>
          <w:rFonts w:ascii="Garamond" w:cs="Garamond" w:eastAsia="Garamond" w:hAnsi="Garamond"/>
          <w:b/>
          <w:bCs/>
          <w:i w:val="false"/>
          <w:iCs w:val="false"/>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520"/>
          <w:sz w:val="22"/>
          <w:szCs w:val="22"/>
        </w:rPr>
        <w:t xml:space="preserve">Each Inspectorate is constituted through a process that structurally excludes the body being watched from selecting its watchers. The SC nominates the LI Inspector General, confirmed by Senate 2/3 supermajority — the Legislature is entirely excluded. The House Speaker and Senate Speaker jointly nominate the EI Inspector General, confirmed by Senate 2/3 supermajority with JI vetting — the executives are excluded, neither Speaker can act alone, and the 2/3 confirmation threshold requires broad Senate consensus for confirmation. The JI Inspector General is selected by public lottery from a pool of former judges certified by the LI and EI — the JI has no role in constituting or certifying its own candidate pool.</w:t>
      </w:r>
    </w:p>
    <w:p>
      <w:pPr>
        <w:spacing w:after="60" w:before="200"/>
        <w:ind w:left="431"/>
        <w:jc w:val="left"/>
      </w:pPr>
      <w:r>
        <w:rPr>
          <w:rFonts w:ascii="Courier New" w:cs="Courier New" w:eastAsia="Courier New" w:hAnsi="Courier New"/>
          <w:b/>
          <w:bCs/>
          <w:color w:val="1B2A4A"/>
          <w:sz w:val="18"/>
          <w:szCs w:val="18"/>
        </w:rPr>
        <w:t xml:space="preserve">§9.3  </w:t>
      </w:r>
      <w:r>
        <w:rPr>
          <w:rFonts w:ascii="Garamond" w:cs="Garamond" w:eastAsia="Garamond" w:hAnsi="Garamond"/>
          <w:b/>
          <w:bCs/>
          <w:i w:val="false"/>
          <w:iCs w:val="false"/>
          <w:color w:val="1B2A4A"/>
          <w:sz w:val="22"/>
          <w:szCs w:val="22"/>
        </w:rPr>
        <w:t xml:space="preserve">Inspector General Selection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LI IG is nominated by the SC from a pool of qualified candidates maintained by the Elections Panel and certified jointly by the EI and JI, sufficiently in advance under the timeline defined by statute to ensure confirmation is complete before the transition under §1.22; confirmed by national popular vote at the next federal electoral period following nomination, by simple majority of votes cast. The confirmed successor assumes full IG authority at the precise moment the incumbent’s term concludes under §1.22. If the confirmation vote fails, the §9.1.d acting mechanism activates and the SC initiates a new nomination from the pool within 60 days. The EI IG is nominated jointly by the House Speaker and Senate Speaker from a pool of qualified candidates maintained by the Elections Panel and certified jointly by the LI and JI, sufficiently in advance under the timeline defined by statute under §1.22; confirmed by national popular vote at the next federal electoral period following nomination, by simple majority of votes cast, with JI vetting of the nominee’s disclosure record published before the vote. The same timing and failed-vote provisions apply. The JI IG is selected by public lottery under §9.13 from the JI Candidate Pool under §9.4.a maintained by the Elections Panel, conducted at the statutory timeline under §1.22, sufficiently in advance to ensure seamless succession; no separate confirmation required — the lottery result is the selection and the selected person assumes office at the precise moment the incumbent’s term concludes. All IGs serve 10-year non-renewable terms. No two IG terms may begin within 18 months of each other, ensuring continuous institutional knowledge across offices. The Elections Panel administers all IG confirmation votes as part of the regular federal electoral period ballot.</w:t>
      </w:r>
    </w:p>
    <w:p>
      <w:pPr>
        <w:spacing w:after="60" w:before="200"/>
        <w:ind w:left="431"/>
        <w:jc w:val="left"/>
      </w:pPr>
      <w:r>
        <w:rPr>
          <w:rFonts w:ascii="Courier New" w:cs="Courier New" w:eastAsia="Courier New" w:hAnsi="Courier New"/>
          <w:b/>
          <w:bCs/>
          <w:color w:val="1B2A4A"/>
          <w:sz w:val="18"/>
          <w:szCs w:val="18"/>
        </w:rPr>
        <w:t xml:space="preserve">§9.4  </w:t>
      </w:r>
      <w:r>
        <w:rPr>
          <w:rFonts w:ascii="Garamond" w:cs="Garamond" w:eastAsia="Garamond" w:hAnsi="Garamond"/>
          <w:b/>
          <w:bCs/>
          <w:i w:val="false"/>
          <w:iCs w:val="false"/>
          <w:color w:val="1B2A4A"/>
          <w:sz w:val="22"/>
          <w:szCs w:val="22"/>
        </w:rPr>
        <w:t xml:space="preserve">JI Audit and Certification Mandate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JI holds two constitutional mandates: as auditor, it monitors the court system, certifies eligibility for the SC Candidate Registry maintained by the Elections Panel, and conducts compliance audits across compact obligations; as certification administrator, it certifies lottery draws and panel selections throughout the constitution. Both mandates are information-only.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JI certification may appeal to the Appellate Court within 14 days; the Court reviews only whether eligibility criteria were correctly applied and must rule within 21 days.</w:t>
      </w:r>
    </w:p>
    <w:p>
      <w:pPr>
        <w:spacing w:after="60" w:before="200"/>
        <w:ind w:left="431"/>
        <w:jc w:val="left"/>
      </w:pPr>
      <w:r>
        <w:rPr>
          <w:rFonts w:ascii="Courier New" w:cs="Courier New" w:eastAsia="Courier New" w:hAnsi="Courier New"/>
          <w:b/>
          <w:bCs/>
          <w:color w:val="1B2A4A"/>
          <w:sz w:val="18"/>
          <w:szCs w:val="18"/>
        </w:rPr>
        <w:t xml:space="preserve">§9.4.a  </w:t>
      </w:r>
      <w:r>
        <w:rPr>
          <w:rFonts w:ascii="Garamond" w:cs="Garamond" w:eastAsia="Garamond" w:hAnsi="Garamond"/>
          <w:b/>
          <w:bCs/>
          <w:i w:val="false"/>
          <w:iCs w:val="false"/>
          <w:color w:val="1B2A4A"/>
          <w:sz w:val="22"/>
          <w:szCs w:val="22"/>
        </w:rPr>
        <w:t xml:space="preserve">Judicial IG Candidate Pool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JI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JI holds no role in constituting or certifying its own candidate pool. The LI certifies each applicant's judicial service record for accuracy; the EI reviews financial disclosure; both certifications are published to the NRS as the pool entry record. The Elections Panel enters an applicant into the pool upon LI and EI certification; it may not exclude a certified applicant. The Joint Inspectorate Council conducts the lottery from the pool in a public session; the outgoing JI IG does not participate. The pool is publicly accessible at all times.</w:t>
      </w:r>
    </w:p>
    <w:p>
      <w:pPr>
        <w:spacing w:after="60" w:before="200"/>
        <w:ind w:left="431"/>
        <w:jc w:val="left"/>
      </w:pPr>
      <w:r>
        <w:rPr>
          <w:rFonts w:ascii="Courier New" w:cs="Courier New" w:eastAsia="Courier New" w:hAnsi="Courier New"/>
          <w:b/>
          <w:bCs/>
          <w:color w:val="1B2A4A"/>
          <w:sz w:val="18"/>
          <w:szCs w:val="18"/>
        </w:rPr>
        <w:t xml:space="preserve">§9.4.b  </w:t>
      </w:r>
      <w:r>
        <w:rPr>
          <w:rFonts w:ascii="Garamond" w:cs="Garamond" w:eastAsia="Garamond" w:hAnsi="Garamond"/>
          <w:b/>
          <w:bCs/>
          <w:i w:val="false"/>
          <w:iCs w:val="false"/>
          <w:color w:val="1B2A4A"/>
          <w:sz w:val="22"/>
          <w:szCs w:val="22"/>
        </w:rPr>
        <w:t xml:space="preserve">Supreme Court Candidate Registry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the standing SC Candidate Registry. Any citizen meeting the eligibility criteria — at least 15 years of legal practice or 10 years of judicial service, no current government position, no disqualifying financial interest — may apply directly to the Elections Panel. The JI certifies the eligibility of each applicant against the stated criteria and publishes its certification to the NRS as part of the registry entry. The EI reviews each applicant's financial disclosure for factual accuracy and publishes findings to the NRS alongside the JI certification. The Elections Panel includes an applicant in the registry upon JI certification; it may not exclude a JI-certified applicant. Registry inclusion does not expire unless the JI identifies a disqualifying change in eligibility status. The Registry is publicly accessible on the NRS at all times.</w:t>
      </w:r>
    </w:p>
    <w:p>
      <w:pPr>
        <w:spacing w:after="60" w:before="200"/>
        <w:ind w:left="431"/>
        <w:jc w:val="left"/>
      </w:pPr>
      <w:r>
        <w:rPr>
          <w:rFonts w:ascii="Courier New" w:cs="Courier New" w:eastAsia="Courier New" w:hAnsi="Courier New"/>
          <w:b/>
          <w:bCs/>
          <w:color w:val="1B2A4A"/>
          <w:sz w:val="18"/>
          <w:szCs w:val="18"/>
        </w:rPr>
        <w:t xml:space="preserve">§9.5  </w:t>
      </w:r>
      <w:r>
        <w:rPr>
          <w:rFonts w:ascii="Garamond" w:cs="Garamond" w:eastAsia="Garamond" w:hAnsi="Garamond"/>
          <w:b/>
          <w:bCs/>
          <w:i w:val="false"/>
          <w:iCs w:val="false"/>
          <w:color w:val="1B2A4A"/>
          <w:sz w:val="22"/>
          <w:szCs w:val="22"/>
        </w:rPr>
        <w:t xml:space="preserve">Inspector General Removal</w:t>
      </w:r>
    </w:p>
    <w:p>
      <w:pPr>
        <w:spacing w:after="120" w:before="0"/>
        <w:ind w:left="431"/>
        <w:jc w:val="both"/>
      </w:pPr>
      <w:r>
        <w:rPr>
          <w:rFonts w:ascii="Garamond" w:cs="Garamond" w:eastAsia="Garamond" w:hAnsi="Garamond"/>
          <w:b w:val="false"/>
          <w:bCs w:val="false"/>
          <w:i w:val="false"/>
          <w:iCs w:val="false"/>
          <w:color w:val="2a2520"/>
          <w:sz w:val="22"/>
          <w:szCs w:val="22"/>
        </w:rPr>
        <w:t xml:space="preserve">For-cause removal of any IG follows §9.15 Standard Track. The Judicial Track under §9.15 is additionally available where two of the three Inspectorates jointly certify for-cause grounds.</w:t>
      </w:r>
    </w:p>
    <w:p>
      <w:pPr>
        <w:spacing w:after="60" w:before="200"/>
        <w:ind w:left="431"/>
        <w:jc w:val="left"/>
      </w:pPr>
      <w:r>
        <w:rPr>
          <w:rFonts w:ascii="Courier New" w:cs="Courier New" w:eastAsia="Courier New" w:hAnsi="Courier New"/>
          <w:b/>
          <w:bCs/>
          <w:color w:val="1B2A4A"/>
          <w:sz w:val="18"/>
          <w:szCs w:val="18"/>
        </w:rPr>
        <w:t xml:space="preserve">§9.6  </w:t>
      </w:r>
      <w:r>
        <w:rPr>
          <w:rFonts w:ascii="Garamond" w:cs="Garamond" w:eastAsia="Garamond" w:hAnsi="Garamond"/>
          <w:b/>
          <w:bCs/>
          <w:i w:val="false"/>
          <w:iCs w:val="false"/>
          <w:color w:val="1B2A4A"/>
          <w:sz w:val="22"/>
          <w:szCs w:val="22"/>
        </w:rPr>
        <w:t xml:space="preserve">Inspectorate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Inspectorates publish findings; they do not issue binding orders or legal determinations. Every finding, report, and discrepancy notice must be published to the NRS permanently and free of charge; no official may suppress, delay, classify, or alter an Inspectorate report before publication. Inspectorate reports are permanently exempt from classification. Where any Inspectorate publishes a Critical Failure finding, the Legislature must publish a remediation plan with actions and timelines within the period defined by statute; failure to publish a remediation plan is a constitutional compliance breach certified by the LI. Any staff member may publish a minority report directly to the NRS if they believe a finding has been improperly omitted or suppressed — staff cannot be disciplined for doing so. All three Inspectorates jointly publish an annual State of the Republic report on a fixed date regardless of whether any political actor requests it. Where a compliance question spans multiple Inspectorate mandates, the Inspectorates may conduct a joint investigation; neither IG may veto the other's contribution. All three Inspectorates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1B2A4A"/>
          <w:sz w:val="18"/>
          <w:szCs w:val="18"/>
        </w:rPr>
        <w:t xml:space="preserve">§9.7  </w:t>
      </w:r>
      <w:r>
        <w:rPr>
          <w:rFonts w:ascii="Garamond" w:cs="Garamond" w:eastAsia="Garamond" w:hAnsi="Garamond"/>
          <w:b/>
          <w:bCs/>
          <w:i w:val="false"/>
          <w:iCs w:val="false"/>
          <w:color w:val="1B2A4A"/>
          <w:sz w:val="22"/>
          <w:szCs w:val="22"/>
        </w:rPr>
        <w:t xml:space="preserve">Triggered Investigations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EI may investigate a constitutional officer for dereliction — failure to perform a constitutionally mandated function within the required period where that failure was not caused by circumstances genuinely beyond the officer's control. Political disagreement with a constitutional requirement is not a defense. Dereliction findings are published to the NRS.</w:t>
      </w:r>
    </w:p>
    <w:p>
      <w:pPr>
        <w:spacing w:after="60" w:before="200"/>
        <w:ind w:left="431"/>
        <w:jc w:val="left"/>
      </w:pPr>
      <w:r>
        <w:rPr>
          <w:rFonts w:ascii="Courier New" w:cs="Courier New" w:eastAsia="Courier New" w:hAnsi="Courier New"/>
          <w:b/>
          <w:bCs/>
          <w:color w:val="1B2A4A"/>
          <w:sz w:val="18"/>
          <w:szCs w:val="18"/>
        </w:rPr>
        <w:t xml:space="preserve">§9.8  </w:t>
      </w:r>
      <w:r>
        <w:rPr>
          <w:rFonts w:ascii="Garamond" w:cs="Garamond" w:eastAsia="Garamond" w:hAnsi="Garamond"/>
          <w:b/>
          <w:bCs/>
          <w:i w:val="false"/>
          <w:iCs w:val="false"/>
          <w:color w:val="1B2A4A"/>
          <w:sz w:val="22"/>
          <w:szCs w:val="22"/>
        </w:rPr>
        <w:t xml:space="preserve">EI Annual Military Assessment</w:t>
      </w:r>
    </w:p>
    <w:p>
      <w:pPr>
        <w:spacing w:after="120" w:before="0"/>
        <w:ind w:left="431"/>
        <w:jc w:val="both"/>
      </w:pPr>
      <w:r>
        <w:rPr>
          <w:rFonts w:ascii="Garamond" w:cs="Garamond" w:eastAsia="Garamond" w:hAnsi="Garamond"/>
          <w:b w:val="false"/>
          <w:bCs w:val="false"/>
          <w:i w:val="false"/>
          <w:iCs w:val="false"/>
          <w:color w:val="2a2520"/>
          <w:sz w:val="22"/>
          <w:szCs w:val="22"/>
        </w:rPr>
        <w:t xml:space="preserve">A dedicated section within the EI's annual report covers: whether military operations in the prior year were authorized through the correct tier; whether the §2.3 intelligence warrant requirement was maintained throughout all operations; whether PM fund certifications were obtained and observed; and whether all military orders were published to the NRS within the required period.</w:t>
      </w:r>
    </w:p>
    <w:p>
      <w:pPr>
        <w:spacing w:after="60" w:before="200"/>
        <w:ind w:left="431"/>
        <w:jc w:val="left"/>
      </w:pPr>
      <w:r>
        <w:rPr>
          <w:rFonts w:ascii="Courier New" w:cs="Courier New" w:eastAsia="Courier New" w:hAnsi="Courier New"/>
          <w:b/>
          <w:bCs/>
          <w:color w:val="1B2A4A"/>
          <w:sz w:val="18"/>
          <w:szCs w:val="18"/>
        </w:rPr>
        <w:t xml:space="preserve">§9.9  </w:t>
      </w:r>
      <w:r>
        <w:rPr>
          <w:rFonts w:ascii="Garamond" w:cs="Garamond" w:eastAsia="Garamond" w:hAnsi="Garamond"/>
          <w:b/>
          <w:bCs/>
          <w:i w:val="false"/>
          <w:iCs w:val="false"/>
          <w:color w:val="1B2A4A"/>
          <w:sz w:val="22"/>
          <w:szCs w:val="22"/>
        </w:rPr>
        <w:t xml:space="preserve">Removal Grounds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To initiate a standard track removal vote under §9.15, the charging party — a concurrent resolution of 1/3 of either chamber, or two of the three Inspectorates jointly — must file stated grounds with the SC. The SC determines within 14 days whether the stated grounds constitute at least one statutory removal category for the subject office as defined by the Legislature. If grounds are confirmed, duty suspension activates immediately and the Legislature may proceed to a removal vote. If grounds are not confirmed: the process closes and may not be reinitiated on the same or substantially similar grounds within six months. The SC reviews constitutional category only — it does not assess the factual merits or credibility of the underlying allegations. No per-proceeding panel is required; the SC performs this function directly. The Legislature defines the enumerated removal categories for each constitutionally confirmed office by statute; no removal vote may proceed without the SC’s categorical confirmation under this section. Where the SC fails to publish its determination within 14 days, the stated grounds are deemed confirmed by constitutional operation and duty suspension activates immediately; the Legislature may proceed to a removal vote as if grounds had been confirmed.</w:t>
      </w:r>
    </w:p>
    <w:p>
      <w:pPr>
        <w:spacing w:after="60" w:before="200"/>
        <w:ind w:left="431"/>
        <w:jc w:val="left"/>
      </w:pPr>
      <w:r>
        <w:rPr>
          <w:rFonts w:ascii="Courier New" w:cs="Courier New" w:eastAsia="Courier New" w:hAnsi="Courier New"/>
          <w:b/>
          <w:bCs/>
          <w:color w:val="1B2A4A"/>
          <w:sz w:val="18"/>
          <w:szCs w:val="18"/>
        </w:rPr>
        <w:t xml:space="preserve">§9.10  </w:t>
      </w:r>
      <w:r>
        <w:rPr>
          <w:rFonts w:ascii="Garamond" w:cs="Garamond" w:eastAsia="Garamond" w:hAnsi="Garamond"/>
          <w:b/>
          <w:bCs/>
          <w:i w:val="false"/>
          <w:iCs w:val="false"/>
          <w:color w:val="1B2A4A"/>
          <w:sz w:val="22"/>
          <w:szCs w:val="22"/>
        </w:rPr>
        <w:t xml:space="preserve">Inspectorate Minimum Funding Guarantee</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annual appropriation for each Inspectorate may not fall below the inflation-adjusted equivalent of the prior fiscal year's funding level without a 2/3 vote of both chambers simultaneously. The Monetary Authority certifies each Inspectorate's prior-year funding level adjusted for inflation and publishes the certified floor to the NRS before the Legislature begins its annual budget process. Where a budget reduces any Inspectorate below its certified inflation-adjusted floor without the required supermajority, the prior-year funding level takes effect automatically for that Inspectorate by constitutional operation.</w:t>
      </w:r>
    </w:p>
    <w:p>
      <w:pPr>
        <w:spacing w:after="60" w:before="200"/>
        <w:ind w:left="431"/>
        <w:jc w:val="left"/>
      </w:pPr>
      <w:r>
        <w:rPr>
          <w:rFonts w:ascii="Courier New" w:cs="Courier New" w:eastAsia="Courier New" w:hAnsi="Courier New"/>
          <w:b/>
          <w:bCs/>
          <w:color w:val="1B2A4A"/>
          <w:sz w:val="18"/>
          <w:szCs w:val="18"/>
        </w:rPr>
        <w:t xml:space="preserve">§9.11  </w:t>
      </w:r>
      <w:r>
        <w:rPr>
          <w:rFonts w:ascii="Garamond" w:cs="Garamond" w:eastAsia="Garamond" w:hAnsi="Garamond"/>
          <w:b/>
          <w:bCs/>
          <w:i w:val="false"/>
          <w:iCs w:val="false"/>
          <w:color w:val="1B2A4A"/>
          <w:sz w:val="22"/>
          <w:szCs w:val="22"/>
        </w:rPr>
        <w:t xml:space="preserve">Joint Inspectorate Council</w:t>
      </w:r>
    </w:p>
    <w:p>
      <w:pPr>
        <w:spacing w:after="120" w:before="0"/>
        <w:ind w:left="431"/>
        <w:jc w:val="both"/>
      </w:pPr>
      <w:r>
        <w:rPr>
          <w:rFonts w:ascii="Garamond" w:cs="Garamond" w:eastAsia="Garamond" w:hAnsi="Garamond"/>
          <w:b w:val="false"/>
          <w:bCs w:val="false"/>
          <w:i w:val="false"/>
          <w:iCs w:val="false"/>
          <w:color w:val="2a2520"/>
          <w:sz w:val="22"/>
          <w:szCs w:val="22"/>
        </w:rPr>
        <w:t xml:space="preserve">The three Inspectors General jointly constitute the JIC as the standing coordination body for matters crossing Inspectorate jurisdictions. The JIC formally houses all jointly certified constitutional functions — including lottery draws and selection processes throughout the constitution. The chair of any joint session is the IG whose domain covers the primary subject matter; where all domains are equally engaged, the chair rotates annually. Where the IGs cannot reach consensus on a joint matter, each publishes their individual assessment and the disagreement is noted in the permanent NRS record. The JIC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JIC has no authority to override the individual mandate of any Inspectorate.</w:t>
      </w:r>
    </w:p>
    <w:p>
      <w:pPr>
        <w:spacing w:after="60" w:before="200"/>
        <w:ind w:left="431"/>
        <w:jc w:val="left"/>
      </w:pPr>
      <w:r>
        <w:rPr>
          <w:rFonts w:ascii="Courier New" w:cs="Courier New" w:eastAsia="Courier New" w:hAnsi="Courier New"/>
          <w:b/>
          <w:bCs/>
          <w:color w:val="1B2A4A"/>
          <w:sz w:val="18"/>
          <w:szCs w:val="18"/>
        </w:rPr>
        <w:t xml:space="preserve">§9.11.a  </w:t>
      </w:r>
      <w:r>
        <w:rPr>
          <w:rFonts w:ascii="Garamond" w:cs="Garamond" w:eastAsia="Garamond" w:hAnsi="Garamond"/>
          <w:b/>
          <w:b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two of the three Inspectorates jointly certify that the third is operating in demonstrable bad faith, they petition the SC directly for confirmation of the finding; the SC rules within 14 days. Upon filing the petition, the two petitioning Inspectorates jointly designate an Acting Inspector General as the longest-tenured member of the affected Inspectorate’s candidate pool who accepts the designation; both executives are notified immediately. The Acting IG assumes all constitutional functions of the compromised Inspectorate from the moment of designation. If the SC does not confirm the finding, the Acting IG stands down and all functions return immediately to the original IG. If confirmed, the Acting IG serves until either the original IG is restored to full function or a new permanent IG is confirmed under §9.3 — whichever occurs first. The Acting IG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1B2A4A"/>
          <w:sz w:val="18"/>
          <w:szCs w:val="18"/>
        </w:rPr>
        <w:t xml:space="preserve">§9.13  </w:t>
      </w:r>
      <w:r>
        <w:rPr>
          <w:rFonts w:ascii="Garamond" w:cs="Garamond" w:eastAsia="Garamond" w:hAnsi="Garamond"/>
          <w:b/>
          <w:bCs/>
          <w:i w:val="false"/>
          <w:iCs w:val="false"/>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The Elections Panel maintains all constitutional candidate registries and pools as the administrative keeper of record. The Elections Panel receives applications, stores records, provides public access via the NRS, and enters certified applicants into the relevant registry or pool. The Elections Panel may not exclude any applicant who has been certified as eligible by the appropriate Inspectorate. The appropriate Inspectorate reviews each applicant against the qualification requirements for that registry or pool and publishes a certification to the NRS. Where an office involves significant financial authority, the EI reviews financial disclosure concurrently. Pool records and certifications are public NRS records at all times. The Joint Inspectorate Council conducts the draw in a public session, certifies the result jointly, and publishes it to the NRS. Where selection is by deliberate nomination, the named officer nominates from certified pool members. Where confirmation is required, the Senate must act within the period defined by the establishing provision; failure to confirm within that period is a constitutional compliance breach certified by the LI. The JI monitors all constitutional pools annually and publishes a status report; where a pool falls below its constitutional minimum, the relevant nominating bodies must respond within 30 days.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§9.14  </w:t>
      </w:r>
      <w:r>
        <w:rPr>
          <w:rFonts w:ascii="Garamond" w:cs="Garamond" w:eastAsia="Garamond" w:hAnsi="Garamond"/>
          <w:b/>
          <w:bCs/>
          <w:color w:val="1B2A4A"/>
          <w:sz w:val="22"/>
          <w:szCs w:val="22"/>
        </w:rPr>
        <w:t xml:space="preserve">Registry Integrity Standards</w:t>
      </w:r>
    </w:p>
    <w:p>
      <w:pPr>
        <w:spacing w:after="120" w:before="0"/>
        <w:ind w:left="431"/>
        <w:jc w:val="both"/>
      </w:pPr>
      <w:r>
        <w:rPr>
          <w:rFonts w:ascii="Garamond" w:cs="Garamond" w:eastAsia="Garamond" w:hAnsi="Garamond"/>
          <w:b w:val="false"/>
          <w:bCs w:val="false"/>
          <w:i w:val="false"/>
          <w:iCs w:val="false"/>
          <w:color w:val="2a2520"/>
          <w:sz w:val="22"/>
          <w:szCs w:val="22"/>
        </w:rPr>
        <w:t xml:space="preserve">These standards apply to all registries and candidate pools maintained under constitutional mandate. Eligibility criteria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or removed applicant may petition the SC within 30 days of NRS publication; the SC reviews only whether the stated grounds correspond to an established eligibility criterion — it does not review the factual merits of the determination. The JIC annual audit must evaluate each registry for pool depth, distribution, and patterns in exclusion decisions.</w:t>
      </w:r>
    </w:p>
    <w:p>
      <w:pPr>
        <w:spacing w:after="60" w:before="200"/>
        <w:ind w:left="431"/>
        <w:jc w:val="left"/>
      </w:pPr>
      <w:r>
        <w:rPr>
          <w:rFonts w:ascii="Courier New" w:cs="Courier New" w:eastAsia="Courier New" w:hAnsi="Courier New"/>
          <w:b/>
          <w:bCs/>
          <w:color w:val="1B2A4A"/>
          <w:sz w:val="18"/>
          <w:szCs w:val="18"/>
        </w:rPr>
        <w:t xml:space="preserve">§9.15  </w:t>
      </w:r>
      <w:r>
        <w:rPr>
          <w:rFonts w:ascii="Garamond" w:cs="Garamond" w:eastAsia="Garamond" w:hAnsi="Garamond"/>
          <w:b/>
          <w:bCs/>
          <w:color w:val="1B2A4A"/>
          <w:sz w:val="22"/>
          <w:szCs w:val="22"/>
        </w:rPr>
        <w:t xml:space="preserve">Constitutional Officer Removal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section governs for-cause removal of all constitutionally confirmed independent officers except Supreme Court justices (§4.3.b) and elected executives. Two removal tracks are available. Under the Standard Track, the charging party files stated grounds with the SC under §9.9; the SC confirms grounds within 14 days; duty suspension activates immediately on confirmation; removal requires a 2/3 vote of both chambers simultaneously; no removal vote may be held within 180 days of a major national election without prior SC review within 48 hours. Under the Judicial Track, where two of the three Inspectorates jointly certify for-cause grounds and petition the SC, the SC determines within 30 days whether the certified grounds constitute sufficient cause for suspension; where the SC fails to rule within 30 days, cause is deemed found by constitutional operation; if cause is found or deemed found, the officer is suspended and the most senior deputy acts in the interim; the Senate has 60 days to hold a removal vote, with 3/5 required for permanent removal; a vote failing 3/5 reinstates the officer and closes the process; where the Senate fails to vote within 60 days, the matter is placed before the next federal electoral period ballot or a Legislature-set special election with a minimum 90-day notice period; removal by election requires 60% of votes cast. The Judicial Track is available where the Standard Track’s legislative threshold appears unreachable due to demonstrated political gridlock. Officers subject to this framework include the Inspector Generals and any other officers whose selection process is established by this Constitution rather than by statute. Officers of independent agencies established under §3.9 are not subject to this framework; their removal is governed by the statute establishing the relevant agency, which must preserve the for-cause removal principle. Provisions governing specific offices may cross-reference this section without restating its terms.</w:t>
      </w:r>
    </w:p>
    <w:p>
      <w:pPr>
        <w:spacing w:after="60" w:before="200"/>
        <w:jc w:val="left"/>
      </w:pPr>
      <w:r>
        <w:rPr>
          <w:rFonts w:ascii="Garamond" w:cs="Garamond" w:eastAsia="Garamond" w:hAnsi="Garamond"/>
          <w:b/>
          <w:bCs/>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1B2A4A"/>
          <w:sz w:val="18"/>
          <w:szCs w:val="18"/>
        </w:rPr>
        <w:t xml:space="preserve">§10.1  </w:t>
      </w:r>
      <w:r>
        <w:rPr>
          <w:rFonts w:ascii="Garamond" w:cs="Garamond" w:eastAsia="Garamond" w:hAnsi="Garamond"/>
          <w:b/>
          <w:bCs/>
          <w:i w:val="false"/>
          <w:iCs w:val="false"/>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authority of this Constitution is published to the NRS as a permanent record. No provision of this Constitution need state this obligation individually; it applies universally by operation of this section. Where this Constitution specifies a publication timeline, that timeline governs; in all other cases, publication occurs at or before the effective moment of the act. Records may not be deleted, altered, or reclassified after publication; corrections are published as new entries alongside the original. The NRS must remain fully functional in the event of localized technical failure — no single point of failure is constitutionally acceptable. The Legislature defines technical standards by statute. The NRS includes a permanent historical archive of all prior legislative acts, executive orders, judicial decisions, and government documents dating to the Republic's founding. Records published to the NRS by any jurisdiction within the Republic are recognized as authentic by all other jurisdictions without re-certification. Inspectorate reports are permanently exempt from classification. Citizens may submit corrections or context to any NRS record through a public mechanism maintained by the LI; submissions are published alongside the original after accuracy review. The NRS is the record of government, not a condition of it. Government acts take legal effect from the moment of issuance regardless of NRS status; the publication obligation applies from the moment the NRS is restored. The JI maintains a continuously operating parallel authentication system, physically and logistically independent of the NRS, capable of authenticating and preserving all constitutional acts without NRS connectivity. This system operates in parallel at all times — not merely as a contingency — and records all authenticated acts with full constitutional effect from the moment of their issuance. Upon NRS restoration, all parallel system records migrate to the NRS as permanent records with their original issuance timestamps. Where the NRS has not been restored within 180 days, the parallel system becomes the constitutional record of the Republic; the Legislature must by statute establish permanent restoration obligations and timelines within 90 days of that threshold. The Legislature defines the technical specifications, security standards, and operational parameters of the parallel system by statute; the constitutional obligation to maintain it is absolute and its funding floor follows the NRS funding floor in this section. Funding for the NRS may not be reduced below the prior year’s level without a 2/3 vote of both chambers. Classification used to conceal a constitutional violation or illegal order is itself a constitutional offense.</w:t>
      </w:r>
    </w:p>
    <w:p>
      <w:pPr>
        <w:spacing w:after="60" w:before="200"/>
        <w:ind w:left="431"/>
        <w:jc w:val="left"/>
      </w:pPr>
      <w:r>
        <w:rPr>
          <w:rFonts w:ascii="Courier New" w:cs="Courier New" w:eastAsia="Courier New" w:hAnsi="Courier New"/>
          <w:b/>
          <w:bCs/>
          <w:color w:val="1B2A4A"/>
          <w:sz w:val="18"/>
          <w:szCs w:val="18"/>
        </w:rPr>
        <w:t xml:space="preserve">§10.2  </w:t>
      </w:r>
      <w:r>
        <w:rPr>
          <w:rFonts w:ascii="Garamond" w:cs="Garamond" w:eastAsia="Garamond" w:hAnsi="Garamond"/>
          <w:b/>
          <w:bCs/>
          <w:i w:val="false"/>
          <w:iCs w:val="false"/>
          <w:color w:val="1B2A4A"/>
          <w:sz w:val="22"/>
          <w:szCs w:val="22"/>
        </w:rPr>
        <w:t xml:space="preserve">NRS and Electoral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electoral records — voter registration, ballot counts, audit trails, certification documents — must be published to the NRS within the timeframes specified by the Elections Panel's constitutional mandate under Article XVI. No classification exception applies to electoral records.</w:t>
      </w:r>
    </w:p>
    <w:p>
      <w:pPr>
        <w:spacing w:after="60" w:before="200"/>
        <w:ind w:left="431"/>
        <w:jc w:val="left"/>
      </w:pPr>
      <w:r>
        <w:rPr>
          <w:rFonts w:ascii="Courier New" w:cs="Courier New" w:eastAsia="Courier New" w:hAnsi="Courier New"/>
          <w:b/>
          <w:bCs/>
          <w:color w:val="1B2A4A"/>
          <w:sz w:val="18"/>
          <w:szCs w:val="18"/>
        </w:rPr>
        <w:t xml:space="preserve">§10.3  </w:t>
      </w:r>
      <w:r>
        <w:rPr>
          <w:rFonts w:ascii="Garamond" w:cs="Garamond" w:eastAsia="Garamond" w:hAnsi="Garamond"/>
          <w:b/>
          <w:b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520"/>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w:t>
      </w:r>
    </w:p>
    <w:p>
      <w:pPr>
        <w:spacing w:after="60" w:before="200"/>
        <w:ind w:left="431"/>
        <w:jc w:val="left"/>
      </w:pPr>
      <w:r>
        <w:rPr>
          <w:rFonts w:ascii="Courier New" w:cs="Courier New" w:eastAsia="Courier New" w:hAnsi="Courier New"/>
          <w:b/>
          <w:bCs/>
          <w:color w:val="1B2A4A"/>
          <w:sz w:val="18"/>
          <w:szCs w:val="18"/>
        </w:rPr>
        <w:t xml:space="preserve">§10.3.a  </w:t>
      </w:r>
      <w:r>
        <w:rPr>
          <w:rFonts w:ascii="Garamond" w:cs="Garamond" w:eastAsia="Garamond" w:hAnsi="Garamond"/>
          <w:b/>
          <w:bCs/>
          <w:color w:val="1B2A4A"/>
          <w:sz w:val="22"/>
          <w:szCs w:val="22"/>
        </w:rPr>
        <w:t xml:space="preserve">Duration Framework</w:t>
      </w:r>
    </w:p>
    <w:p>
      <w:pPr>
        <w:spacing w:after="120" w:before="0"/>
        <w:ind w:left="431"/>
        <w:jc w:val="both"/>
      </w:pPr>
      <w:r>
        <w:rPr>
          <w:rFonts w:ascii="Garamond" w:cs="Garamond" w:eastAsia="Garamond" w:hAnsi="Garamond"/>
          <w:b w:val="false"/>
          <w:bCs w:val="false"/>
          <w:i w:val="false"/>
          <w:iCs w:val="false"/>
          <w:color w:val="2a2520"/>
          <w:sz w:val="22"/>
          <w:szCs w:val="22"/>
        </w:rPr>
        <w:t xml:space="preserve">No record may remain classified beyond 25 years from the date of original classification. A single 5-year extension may be granted where the responsible executive publishes a justification to the EI; the EI certifies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spacing w:after="60" w:before="200"/>
        <w:jc w:val="left"/>
      </w:pPr>
      <w:r>
        <w:rPr>
          <w:rFonts w:ascii="Garamond" w:cs="Garamond" w:eastAsia="Garamond" w:hAnsi="Garamond"/>
          <w:b/>
          <w:bCs/>
          <w:i w:val="false"/>
          <w:iCs w:val="false"/>
          <w:color w:val="1B2A4A"/>
          <w:sz w:val="34"/>
          <w:szCs w:val="34"/>
        </w:rPr>
        <w:t xml:space="preserve">Article XI — NRS Panel and Elections Panel</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§11.1  </w:t>
      </w:r>
      <w:r>
        <w:rPr>
          <w:rFonts w:ascii="Garamond" w:cs="Garamond" w:eastAsia="Garamond" w:hAnsi="Garamond"/>
          <w:b/>
          <w:bCs/>
          <w:i w:val="false"/>
          <w:iCs w:val="false"/>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520"/>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operates the National Voting System and administers all federal elections, referenda, and confirmation votes. Each panel is operationally independent of the other and of both executives and the Legislature in the exercise of its functions; neither panel may direct the other. The Legislature defines qualification standards, panel composition, term lengths, and operational parameters for each panel by statute; panel members are appointed through the independent agency process under §3.9. The Chair of each panel is its most senior member by continuous service; where two or more members have equal continuous service, the Chair is determined by lot conducted by the JIC.</w:t>
      </w:r>
    </w:p>
    <w:p>
      <w:pPr>
        <w:spacing w:after="60" w:before="200"/>
        <w:ind w:left="431"/>
        <w:jc w:val="left"/>
      </w:pPr>
      <w:r>
        <w:rPr>
          <w:rFonts w:ascii="Courier New" w:cs="Courier New" w:eastAsia="Courier New" w:hAnsi="Courier New"/>
          <w:b/>
          <w:bCs/>
          <w:color w:val="1B2A4A"/>
          <w:sz w:val="18"/>
          <w:szCs w:val="18"/>
        </w:rPr>
        <w:t xml:space="preserve">§11.2  </w:t>
      </w:r>
      <w:r>
        <w:rPr>
          <w:rFonts w:ascii="Garamond" w:cs="Garamond" w:eastAsia="Garamond" w:hAnsi="Garamond"/>
          <w:b/>
          <w:bCs/>
          <w:i w:val="false"/>
          <w:iCs w:val="false"/>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Every citizen holds the right to vote in federal elections.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States may offer early voting, mail-in ballots, and alternative participation methods provided all methods connect to the NVS and meet its constitutional standards. No State may reduce NVS access, functionality, or availability within its territory.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1B2A4A"/>
          <w:sz w:val="18"/>
          <w:szCs w:val="18"/>
        </w:rPr>
        <w:t xml:space="preserve">§11.3  </w:t>
      </w:r>
      <w:r>
        <w:rPr>
          <w:rFonts w:ascii="Garamond" w:cs="Garamond" w:eastAsia="Garamond" w:hAnsi="Garamond"/>
          <w:b/>
          <w:bCs/>
          <w:i w:val="false"/>
          <w:iCs w:val="false"/>
          <w:color w:val="1B2A4A"/>
          <w:sz w:val="22"/>
          <w:szCs w:val="22"/>
        </w:rPr>
        <w:t xml:space="preserve">Panel Emergency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by statute a procedure for each panel to adopt temporary technical measures in response to imminent security threats or system failures within its domain; emergency measures may not change electoral rules, timelines, or NRS record permanence; they expire within 72 hours unless the seated members of the panel ratify them by majority vote of those able to act. The Legislature must by statute establish the transition from any predecessor voting infrastructure to the constitutionally required NVS, ensuring no gap in democratic participation.</w:t>
      </w:r>
    </w:p>
    <w:p>
      <w:pPr>
        <w:spacing w:after="60" w:before="200"/>
        <w:jc w:val="left"/>
      </w:pPr>
      <w:r>
        <w:rPr>
          <w:rFonts w:ascii="Garamond" w:cs="Garamond" w:eastAsia="Garamond" w:hAnsi="Garamond"/>
          <w:b/>
          <w:bCs/>
          <w:i w:val="false"/>
          <w:iCs w:val="false"/>
          <w:color w:val="1B2A4A"/>
          <w:sz w:val="34"/>
          <w:szCs w:val="34"/>
        </w:rPr>
        <w:t xml:space="preserve">Article XII — Social State and Economic Rights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§12.1  </w:t>
      </w:r>
      <w:r>
        <w:rPr>
          <w:rFonts w:ascii="Garamond" w:cs="Garamond" w:eastAsia="Garamond" w:hAnsi="Garamond"/>
          <w:b/>
          <w:bCs/>
          <w:i w:val="false"/>
          <w:iCs w:val="false"/>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 The Legislature must establish by statute an independent Monetary Authority responsible for monetary policy and fiscal integrity certification. The Legislature may not define MA independence standards in a manner that compromises the credibility of its certification functions; the EI audits MA operations and independence annually and publishes findings to the NRS.</w:t>
      </w:r>
    </w:p>
    <w:p>
      <w:pPr>
        <w:spacing w:after="60" w:before="200"/>
        <w:ind w:left="431"/>
        <w:jc w:val="left"/>
      </w:pPr>
      <w:r>
        <w:rPr>
          <w:rFonts w:ascii="Courier New" w:cs="Courier New" w:eastAsia="Courier New" w:hAnsi="Courier New"/>
          <w:b/>
          <w:bCs/>
          <w:color w:val="1B2A4A"/>
          <w:sz w:val="18"/>
          <w:szCs w:val="18"/>
        </w:rPr>
        <w:t xml:space="preserve">§12.2  </w:t>
      </w:r>
      <w:r>
        <w:rPr>
          <w:rFonts w:ascii="Garamond" w:cs="Garamond" w:eastAsia="Garamond" w:hAnsi="Garamond"/>
          <w:b/>
          <w:bCs/>
          <w:i w:val="false"/>
          <w:iCs w:val="false"/>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establish or adequately fund the Endowment is a compliance breach certified by the LI.</w:t>
      </w:r>
    </w:p>
    <w:p>
      <w:pPr>
        <w:spacing w:after="60" w:before="200"/>
        <w:ind w:left="431"/>
        <w:jc w:val="left"/>
      </w:pPr>
      <w:r>
        <w:rPr>
          <w:rFonts w:ascii="Courier New" w:cs="Courier New" w:eastAsia="Courier New" w:hAnsi="Courier New"/>
          <w:b/>
          <w:bCs/>
          <w:color w:val="1B2A4A"/>
          <w:sz w:val="18"/>
          <w:szCs w:val="18"/>
        </w:rPr>
        <w:t xml:space="preserve">§12.3  </w:t>
      </w:r>
      <w:r>
        <w:rPr>
          <w:rFonts w:ascii="Garamond" w:cs="Garamond" w:eastAsia="Garamond" w:hAnsi="Garamond"/>
          <w:b/>
          <w:bCs/>
          <w:i w:val="false"/>
          <w:iCs w:val="false"/>
          <w:color w:val="1B2A4A"/>
          <w:sz w:val="22"/>
          <w:szCs w:val="22"/>
        </w:rPr>
        <w:t xml:space="preserve">Public Campaign Financing</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public campaign financing system within the period defined by statute following the first Legislature convening; failure to do so is a constitutional compliance breach certified by the LI. The system must provide all registered candidates with equal access to public funds with no incumbent advantage in the allocation formula. Private contributions are capped at the de minimis threshold established by statute. Administered by the Elections Panel — not by either executive or the Legislature.</w:t>
      </w:r>
    </w:p>
    <w:p>
      <w:pPr>
        <w:spacing w:after="60" w:before="200"/>
        <w:ind w:left="431"/>
        <w:jc w:val="left"/>
      </w:pPr>
      <w:r>
        <w:rPr>
          <w:rFonts w:ascii="Courier New" w:cs="Courier New" w:eastAsia="Courier New" w:hAnsi="Courier New"/>
          <w:b/>
          <w:bCs/>
          <w:color w:val="1B2A4A"/>
          <w:sz w:val="18"/>
          <w:szCs w:val="18"/>
        </w:rPr>
        <w:t xml:space="preserve">§12.4  </w:t>
      </w:r>
      <w:r>
        <w:rPr>
          <w:rFonts w:ascii="Garamond" w:cs="Garamond" w:eastAsia="Garamond" w:hAnsi="Garamond"/>
          <w:b/>
          <w:bCs/>
          <w:i w:val="false"/>
          <w:iCs w:val="false"/>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520"/>
          <w:sz w:val="22"/>
          <w:szCs w:val="22"/>
        </w:rPr>
        <w:t xml:space="preserve">All constitutional officers must disclose all financial interests, holdings, income sources, and liabilities to the EI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EI certifies the conflict to the NRS and the relevant chamber may void the decision by simple majority within 90 days of that certification. Constitutional officers may not, for a period defined by statute after leaving office — which may not be less than two years — engage in any activity that monetizes or draws on non-public information, relationships, or access accumulated during service; the EI determines whether a post-service engagement falls within this restriction and the officer bears the burden of demonstrating it does not. Officers may not accept gifts above a de minimis threshold; all gifts above the threshold must be disclosed to the EI and deposited with the relevant treasury. All records created in the exercise of official functions are public records and may not be retained, destroyed, or removed by departing officers. The EI investigates alleged violations and publishes findings to the NRS; where findings warrant further action, the EI refers to the appropriate authority.</w:t>
      </w:r>
    </w:p>
    <w:p>
      <w:pPr>
        <w:spacing w:after="60" w:before="200"/>
        <w:ind w:left="431"/>
        <w:jc w:val="left"/>
      </w:pPr>
      <w:r>
        <w:rPr>
          <w:rFonts w:ascii="Courier New" w:cs="Courier New" w:eastAsia="Courier New" w:hAnsi="Courier New"/>
          <w:b/>
          <w:bCs/>
          <w:color w:val="1B2A4A"/>
          <w:sz w:val="18"/>
          <w:szCs w:val="18"/>
        </w:rPr>
        <w:t xml:space="preserve">§12.5  </w:t>
      </w:r>
      <w:r>
        <w:rPr>
          <w:rFonts w:ascii="Garamond" w:cs="Garamond" w:eastAsia="Garamond" w:hAnsi="Garamond"/>
          <w:b/>
          <w:bCs/>
          <w:i w:val="false"/>
          <w:iCs w:val="false"/>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Endowment is a constitutionally established reserve fund that backstops the Republic's social state obligations under §12.1 during periods of Severe Revenue Contraction, as certified by the independent Monetary Authority established under §12.1. It operates independently of the annual budget process. The Endowment is governed by a board of five trustees selected by public lottery from the National Endowment Trustee Pool. Each executive nominates qualified persons to the pool annually; pool entry follows §9.13 and eligibility is certified jointly by the EI and LI; the JIC conducts the trustee lottery under §9.13. Disbursements are activated on Monetary Authority certification of Severe Revenue Contraction and continue until the Monetary Authority certifies the contraction has ended. Trustees serve staggered 6-year non-renewable terms and may be removed only for cause under the framework established in §9.15. The board's sole mandate is to preserve and grow the Endowment for social state backstop purposes; it may not be directed to any other goal. All board decisions and performance reports are published to the NRS; the EI audits the board annually.</w:t>
      </w:r>
    </w:p>
    <w:p>
      <w:pPr>
        <w:spacing w:after="60" w:before="200"/>
        <w:ind w:left="431"/>
        <w:jc w:val="left"/>
      </w:pPr>
      <w:r>
        <w:rPr>
          <w:rFonts w:ascii="Courier New" w:cs="Courier New" w:eastAsia="Courier New" w:hAnsi="Courier New"/>
          <w:b/>
          <w:bCs/>
          <w:color w:val="1B2A4A"/>
          <w:sz w:val="18"/>
          <w:szCs w:val="18"/>
        </w:rPr>
        <w:t xml:space="preserve">§12.6  </w:t>
      </w:r>
      <w:r>
        <w:rPr>
          <w:rFonts w:ascii="Garamond" w:cs="Garamond" w:eastAsia="Garamond" w:hAnsi="Garamond"/>
          <w:b/>
          <w:bCs/>
          <w:i w:val="false"/>
          <w:iCs w:val="false"/>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520"/>
          <w:sz w:val="22"/>
          <w:szCs w:val="22"/>
        </w:rPr>
        <w:t xml:space="preserve">No government official may set their own compensation or the compensation of their direct supervisors. All official compensation is set by statute and is a public record on the NRS. Official benefits and accommodations beyond compensation reflect the functional requirements of the office, not the status of the officeholder. No benefit may exceed what the function genuinely requires. Departures from ordinary professional standards require a demonstrable operational need certified by the EI and are limited to the minimum extent that need requires.</w:t>
      </w:r>
    </w:p>
    <w:p>
      <w:pPr>
        <w:spacing w:after="60" w:before="200"/>
        <w:jc w:val="left"/>
      </w:pPr>
      <w:r>
        <w:rPr>
          <w:rFonts w:ascii="Garamond" w:cs="Garamond" w:eastAsia="Garamond" w:hAnsi="Garamond"/>
          <w:b/>
          <w:bCs/>
          <w:i w:val="false"/>
          <w:iCs w:val="false"/>
          <w:color w:val="1B2A4A"/>
          <w:sz w:val="34"/>
          <w:szCs w:val="34"/>
        </w:rPr>
        <w:t xml:space="preserve">Article XIII — Direct Democracy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§13.1  </w:t>
      </w:r>
      <w:r>
        <w:rPr>
          <w:rFonts w:ascii="Garamond" w:cs="Garamond" w:eastAsia="Garamond" w:hAnsi="Garamond"/>
          <w:b/>
          <w:bCs/>
          <w:i w:val="false"/>
          <w:iCs w:val="false"/>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initiate a national referendum to repeal enacted legislation by petition of 5% of eligible voters within 90 days of enactment. Laws that solely or primarily expand an Article I right, budget laws, and laws implementing a constitutionally mandated obligation are ineligible — the LI publishes an eligibility determination within 14 days of petition submission, challengeable in the Appellate Court within 7 days. If the threshold is met, the Elections Panel administers the referendum within 90 days of verification. A simple majority of votes cast, subject to the Legislature-defined turnout threshold, repeals the law immediately upon certification. A failed referendum cannot be re-initiated on the same or substantially similar grounds for 5 years; the Legislature may re-enact a repealed law, which is again subject to referendum.</w:t>
      </w:r>
    </w:p>
    <w:p>
      <w:pPr>
        <w:spacing w:after="60" w:before="200"/>
        <w:ind w:left="431"/>
        <w:jc w:val="left"/>
      </w:pPr>
      <w:r>
        <w:rPr>
          <w:rFonts w:ascii="Courier New" w:cs="Courier New" w:eastAsia="Courier New" w:hAnsi="Courier New"/>
          <w:b/>
          <w:bCs/>
          <w:color w:val="1B2A4A"/>
          <w:sz w:val="18"/>
          <w:szCs w:val="18"/>
        </w:rPr>
        <w:t xml:space="preserve">§13.2  </w:t>
      </w:r>
      <w:r>
        <w:rPr>
          <w:rFonts w:ascii="Garamond" w:cs="Garamond" w:eastAsia="Garamond" w:hAnsi="Garamond"/>
          <w:b/>
          <w:bCs/>
          <w:i w:val="false"/>
          <w:iCs w:val="false"/>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520"/>
          <w:sz w:val="22"/>
          <w:szCs w:val="22"/>
        </w:rPr>
        <w:t xml:space="preserve">Citizens may propose legislation directly to the Legislature by petition of 10% of eligible voters. The Legislature must vote on the proposal within 90 days; if it fails or is not voted on, the proposal proceeds to a direct citizen referendum; passage requires the same threshold as a citizen-initiated constitutional amendment under §17.1, reflecting the democratic mandate required to bypass the Legislature entirely.</w:t>
      </w:r>
    </w:p>
    <w:p>
      <w:pPr>
        <w:spacing w:after="60" w:before="200"/>
        <w:ind w:left="431"/>
        <w:jc w:val="left"/>
      </w:pPr>
      <w:r>
        <w:rPr>
          <w:rFonts w:ascii="Courier New" w:cs="Courier New" w:eastAsia="Courier New" w:hAnsi="Courier New"/>
          <w:b/>
          <w:bCs/>
          <w:color w:val="1B2A4A"/>
          <w:sz w:val="18"/>
          <w:szCs w:val="18"/>
        </w:rPr>
        <w:t xml:space="preserve">§13.3  </w:t>
      </w:r>
      <w:r>
        <w:rPr>
          <w:rFonts w:ascii="Garamond" w:cs="Garamond" w:eastAsia="Garamond" w:hAnsi="Garamond"/>
          <w:b/>
          <w:bCs/>
          <w:i w:val="false"/>
          <w:iCs w:val="false"/>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1B2A4A"/>
          <w:sz w:val="18"/>
          <w:szCs w:val="18"/>
        </w:rPr>
        <w:t xml:space="preserve">§13.4  </w:t>
      </w:r>
      <w:r>
        <w:rPr>
          <w:rFonts w:ascii="Garamond" w:cs="Garamond" w:eastAsia="Garamond" w:hAnsi="Garamond"/>
          <w:b/>
          <w:b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520"/>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presidential first-round threshold at which the State plurality requirement is waived (§7.2); public confirmation of a Supreme Court justice under the Senate bypass mechanism (§4.4.a); and public election removal of a constitutional officer under the Judicial Track (§9.15). The Legislature may not set a higher or lower threshold for any direct electoral supermajority determination without a constitutional amendment. This provision does not govern the optional referendum or citizen initiative under §13.1–§13.2, which require only a simple majority of votes cast; it governs determinations that require constitutional supermajority democratic consent.</w:t>
      </w:r>
    </w:p>
    <w:p>
      <w:pPr>
        <w:spacing w:after="60" w:before="200"/>
        <w:jc w:val="left"/>
      </w:pPr>
      <w:r>
        <w:rPr>
          <w:rFonts w:ascii="Garamond" w:cs="Garamond" w:eastAsia="Garamond" w:hAnsi="Garamond"/>
          <w:b/>
          <w:bCs/>
          <w:i w:val="false"/>
          <w:iCs w:val="false"/>
          <w:color w:val="1B2A4A"/>
          <w:sz w:val="34"/>
          <w:szCs w:val="34"/>
        </w:rPr>
        <w:t xml:space="preserve">Article XIV — Military Authorization and Accountability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§14.1  </w:t>
      </w:r>
      <w:r>
        <w:rPr>
          <w:rFonts w:ascii="Garamond" w:cs="Garamond" w:eastAsia="Garamond" w:hAnsi="Garamond"/>
          <w:b/>
          <w:bCs/>
          <w:i w:val="false"/>
          <w:iCs w:val="false"/>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force serves two authorized purposes: protection of the Republic's territory, citizens, and treaty allies; and, with legislative authorization stating the specific grounds, response to genocide as recognized under international law.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w:t>
      </w:r>
    </w:p>
    <w:p>
      <w:pPr>
        <w:spacing w:after="60" w:before="200"/>
        <w:ind w:left="431"/>
        <w:jc w:val="left"/>
      </w:pPr>
      <w:r>
        <w:rPr>
          <w:rFonts w:ascii="Courier New" w:cs="Courier New" w:eastAsia="Courier New" w:hAnsi="Courier New"/>
          <w:b/>
          <w:bCs/>
          <w:color w:val="1B2A4A"/>
          <w:sz w:val="18"/>
          <w:szCs w:val="18"/>
        </w:rPr>
        <w:t xml:space="preserve">§14.2  </w:t>
      </w:r>
      <w:r>
        <w:rPr>
          <w:rFonts w:ascii="Garamond" w:cs="Garamond" w:eastAsia="Garamond" w:hAnsi="Garamond"/>
          <w:b/>
          <w:bCs/>
          <w:i w:val="false"/>
          <w:iCs w:val="false"/>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Military expenditure is authorized through PM certification concurrent with legislative authorization. No military operation may be funded without PM certification; the PM may certify, condition, or decline certification on any operation. Expenditure in categories not covered by the certification requires supplementary PM certification. When legislative authorization expires or is not renewed, all military expenditure ceases; ongoing contracts may continue to wind down for the period the Legislature defines by statute; no new commitments may be entered after authorization expires. The EI audits all military expenditure during active operations and publishes findings to the NRS. Within the period the Legislature defines by statute following the conclusion of any military operation, not to exceed 180 days, the EI publishes a comprehensive expenditure accountability report. Where the PM declines certification for ongoing military operations that have been legislatively authorized, previously certified operational expenditure continues at maintenance-only levels for the period the Legislature defines by statute — covering only operations explicitly within the prior authorization, with no escalations, expansions, or new commitments permitted; the President must publish notice of the certification refusal to the NRS within 24 hours with stated grounds; both chambers must be notified simultaneously; if the Legislature does not act within the maintenance period, all expenditure ceases. A PM who declines certification bears the same constitutional attribution for the consequences of that decision as a President who orders an operation.</w:t>
      </w:r>
    </w:p>
    <w:p>
      <w:pPr>
        <w:spacing w:after="60" w:before="200"/>
        <w:ind w:left="431"/>
        <w:jc w:val="left"/>
      </w:pPr>
      <w:r>
        <w:rPr>
          <w:rFonts w:ascii="Courier New" w:cs="Courier New" w:eastAsia="Courier New" w:hAnsi="Courier New"/>
          <w:b/>
          <w:bCs/>
          <w:color w:val="1B2A4A"/>
          <w:sz w:val="18"/>
          <w:szCs w:val="18"/>
        </w:rPr>
        <w:t xml:space="preserve">§14.3  </w:t>
      </w:r>
      <w:r>
        <w:rPr>
          <w:rFonts w:ascii="Garamond" w:cs="Garamond" w:eastAsia="Garamond" w:hAnsi="Garamond"/>
          <w:b/>
          <w:bCs/>
          <w:i w:val="false"/>
          <w:iCs w:val="false"/>
          <w:color w:val="1B2A4A"/>
          <w:sz w:val="22"/>
          <w:szCs w:val="22"/>
        </w:rPr>
        <w:t xml:space="preserve">Military Intelligence Operations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Intelligence capabilities used in support of authorized military operations are subject to the §2.3 warrant requirement at all times — no military operation authorizes domestic intelligence collection against citizens without independent judicial authorization. Intelligence activities must be published to the NRS in classified summary form within the period defined by statute following military operations being fully concluded.</w:t>
      </w:r>
    </w:p>
    <w:p>
      <w:pPr>
        <w:spacing w:after="60" w:before="200"/>
        <w:ind w:left="431"/>
        <w:jc w:val="left"/>
      </w:pPr>
      <w:r>
        <w:rPr>
          <w:rFonts w:ascii="Courier New" w:cs="Courier New" w:eastAsia="Courier New" w:hAnsi="Courier New"/>
          <w:b/>
          <w:bCs/>
          <w:color w:val="1B2A4A"/>
          <w:sz w:val="18"/>
          <w:szCs w:val="18"/>
        </w:rPr>
        <w:t xml:space="preserve">§14.4  </w:t>
      </w:r>
      <w:r>
        <w:rPr>
          <w:rFonts w:ascii="Garamond" w:cs="Garamond" w:eastAsia="Garamond" w:hAnsi="Garamond"/>
          <w:b/>
          <w:bCs/>
          <w:i w:val="false"/>
          <w:iCs w:val="false"/>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Within the period defined by statute following legislative military authorization being renewed for a second time, the Senate must approve a Transition and Reconstruction Plan specifying the Republic's post-conflict obligations: status of alliance obligations, civilian reconstruction support, transitional justice support, and withdrawal timeline. The Plan is published to the NRS and is binding on both executives within their respective domains. If the Senate fails to approve a Plan within the required period, the LI certifies a constitutional compliance breach; the PM may provisionally authorize continued operations for up to 60 days total in two 30-day extensions, each requiring PM notification to the Senate Armed Services Committee and certification that operations remain within the Declaration's scope. Once the two extensions are exhausted, no further authorization renewals are permitted until the Senate approves a Plan.</w:t>
      </w:r>
    </w:p>
    <w:p>
      <w:pPr>
        <w:spacing w:after="60" w:before="200"/>
        <w:ind w:left="431"/>
        <w:jc w:val="left"/>
      </w:pPr>
      <w:r>
        <w:rPr>
          <w:rFonts w:ascii="Courier New" w:cs="Courier New" w:eastAsia="Courier New" w:hAnsi="Courier New"/>
          <w:b/>
          <w:bCs/>
          <w:color w:val="1B2A4A"/>
          <w:sz w:val="18"/>
          <w:szCs w:val="18"/>
        </w:rPr>
        <w:t xml:space="preserve">§14.5  </w:t>
      </w:r>
      <w:r>
        <w:rPr>
          <w:rFonts w:ascii="Garamond" w:cs="Garamond" w:eastAsia="Garamond" w:hAnsi="Garamond"/>
          <w:b/>
          <w:bCs/>
          <w:i w:val="false"/>
          <w:iCs w:val="false"/>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an existing treaty requires emergency military action, the President may act immediately and must notify both chambers and the PM within 12 hours, citing the specific treaty obligation triggered. The Legislature must then authorize continuation within the period defined by statute; absent authorization, operations cease. Treaties cannot substitute for legislative authorization of sustained engagement — each continued operation requires authorization regardless of what the treaty requires. PM certification of expenditure applies from the moment of action under §14.2.</w:t>
      </w:r>
    </w:p>
    <w:p>
      <w:pPr>
        <w:spacing w:after="60" w:before="200"/>
        <w:jc w:val="left"/>
      </w:pPr>
      <w:r>
        <w:rPr>
          <w:rFonts w:ascii="Garamond" w:cs="Garamond" w:eastAsia="Garamond" w:hAnsi="Garamond"/>
          <w:b/>
          <w:bCs/>
          <w:i w:val="false"/>
          <w:iCs w:val="false"/>
          <w:color w:val="1B2A4A"/>
          <w:sz w:val="34"/>
          <w:szCs w:val="34"/>
        </w:rPr>
        <w:t xml:space="preserve">Article XV — Territorial Structure and Statehood</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§15.1  </w:t>
      </w:r>
      <w:r>
        <w:rPr>
          <w:rFonts w:ascii="Garamond" w:cs="Garamond" w:eastAsia="Garamond" w:hAnsi="Garamond"/>
          <w:b/>
          <w:bCs/>
          <w:i w:val="false"/>
          <w:iCs w:val="false"/>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operates under a Territorial Compact, has federal protections under Article I, accesses social state systems under §12.1, and may begin the Statehood pathway under §15.2. Territories hold House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1B2A4A"/>
          <w:sz w:val="18"/>
          <w:szCs w:val="18"/>
        </w:rPr>
        <w:t xml:space="preserve">§15.2  </w:t>
      </w:r>
      <w:r>
        <w:rPr>
          <w:rFonts w:ascii="Garamond" w:cs="Garamond" w:eastAsia="Garamond" w:hAnsi="Garamond"/>
          <w:b/>
          <w:bCs/>
          <w:i w:val="false"/>
          <w:iCs w:val="false"/>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pathway from Territory to State is automatic upon passing the Statehood Audit and Provisional Membership Period — no political vote is required once the audit is passed. The audit has two components: the LI audits fiscal integrity; the JI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LI may grant provisional audit status for that cycle on joint Inspectorate certification;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1B2A4A"/>
          <w:sz w:val="18"/>
          <w:szCs w:val="18"/>
        </w:rPr>
        <w:t xml:space="preserve">§15.3  </w:t>
      </w:r>
      <w:r>
        <w:rPr>
          <w:rFonts w:ascii="Garamond" w:cs="Garamond" w:eastAsia="Garamond" w:hAnsi="Garamond"/>
          <w:b/>
          <w:bCs/>
          <w:i w:val="false"/>
          <w:iCs w:val="false"/>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enters Mandatory Devolution if it fails three consecutive annual Statehood Audits, certified by the LI and confirmed by both the EI and JI. After each failing audit, the LI publishes an Early Warning specifying compliance requirements; the State must publish a Remediation Plan within 60 days. After three consecutive failures, citizens vote on one of three paths: a two-year federal remediation commission; a State-managed remediation plan subject to LI quarterly certification of progress against the published compliance requirements; or devolution to Territory status. The chosen path is published to the NRS. A State-managed plan that fails two consecutive quarterly certifications automatically triggers a new citizen vote between the remaining two options. A devolved State returns to Territory status. Sitting senators complete their current elected terms — Senate seats are not vacated — but no new Senate elections may be held until Statehood is restored; existing House members complete their current terms; Article I rights and social state protections continue without interruption. Restoration to Statehood is automatic upon passing the Statehood Audit and completing the Provisional Membership Period. Within 30 days of devolution taking effect,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1B2A4A"/>
          <w:sz w:val="18"/>
          <w:szCs w:val="18"/>
        </w:rPr>
        <w:t xml:space="preserve">§15.4  </w:t>
      </w:r>
      <w:r>
        <w:rPr>
          <w:rFonts w:ascii="Garamond" w:cs="Garamond" w:eastAsia="Garamond" w:hAnsi="Garamond"/>
          <w:b/>
          <w:bCs/>
          <w:i w:val="false"/>
          <w:iCs w:val="false"/>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 may voluntarily restructure its relationship with the Republic. The process requires a State referendum achieving 60% approval of eligible voters on the specific proposed restructuring; and Senate approval of a negotiated restructuring agreement by 2/3 majority. The agreement specifies asset and liability allocation, transition timeline, constitutional status of successor jurisdictions, and continuing obligations; it is published to the NRS and legally binding. Social state protections and Article I rights continue through the transition. A Territory resulting from voluntary devolution enters the Statehood re-qualification pathway immediately. A Territory or defined portion of a Territory may merge with a geographically contiguous existing State, requiring a 60% referendum with at least 50% participation, approval by the existing State through its own constitutional process, a joint LI-JI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1B2A4A"/>
          <w:sz w:val="18"/>
          <w:szCs w:val="18"/>
        </w:rPr>
        <w:t xml:space="preserve">§15.5  </w:t>
      </w:r>
      <w:r>
        <w:rPr>
          <w:rFonts w:ascii="Garamond" w:cs="Garamond" w:eastAsia="Garamond" w:hAnsi="Garamond"/>
          <w:b/>
          <w:bCs/>
          <w:i w:val="false"/>
          <w:iCs w:val="false"/>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520"/>
          <w:sz w:val="22"/>
          <w:szCs w:val="22"/>
        </w:rPr>
        <w:t xml:space="preserve">A Territory resulting from mandatory or voluntary devolution enters the Statehood re-qualification pathway under §15.2 immediately upon the effective date of devolution. No additional political vote is required to begin the pathway.</w:t>
      </w:r>
    </w:p>
    <w:p>
      <w:pPr>
        <w:spacing w:after="60" w:before="200"/>
        <w:ind w:left="431"/>
        <w:jc w:val="left"/>
      </w:pPr>
      <w:r>
        <w:rPr>
          <w:rFonts w:ascii="Courier New" w:cs="Courier New" w:eastAsia="Courier New" w:hAnsi="Courier New"/>
          <w:b/>
          <w:bCs/>
          <w:color w:val="1B2A4A"/>
          <w:sz w:val="18"/>
          <w:szCs w:val="18"/>
        </w:rPr>
        <w:t xml:space="preserve">§15.6  </w:t>
      </w:r>
      <w:r>
        <w:rPr>
          <w:rFonts w:ascii="Garamond" w:cs="Garamond" w:eastAsia="Garamond" w:hAnsi="Garamond"/>
          <w:b/>
          <w:bCs/>
          <w:i w:val="false"/>
          <w:iCs w:val="false"/>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the JI's published assessment of whether the entity systematically violates any non-derogable right listed in §1.19.b; and acceptance by the Legislature by 2/3 of both chambers. An accepted petition produces an incorporation agreement specifying a transition period not exceeding 48 months.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1B2A4A"/>
          <w:sz w:val="18"/>
          <w:szCs w:val="18"/>
        </w:rPr>
        <w:t xml:space="preserve">§15.7  </w:t>
      </w:r>
      <w:r>
        <w:rPr>
          <w:rFonts w:ascii="Garamond" w:cs="Garamond" w:eastAsia="Garamond" w:hAnsi="Garamond"/>
          <w:b/>
          <w:bCs/>
          <w:i w:val="false"/>
          <w:iCs w:val="false"/>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w:t>
      </w:r>
    </w:p>
    <w:p>
      <w:pPr>
        <w:spacing w:after="60" w:before="200"/>
        <w:jc w:val="left"/>
      </w:pPr>
      <w:r>
        <w:rPr>
          <w:rFonts w:ascii="Garamond" w:cs="Garamond" w:eastAsia="Garamond" w:hAnsi="Garamond"/>
          <w:b/>
          <w:bCs/>
          <w:i w:val="false"/>
          <w:iCs w:val="false"/>
          <w:color w:val="1B2A4A"/>
          <w:sz w:val="34"/>
          <w:szCs w:val="34"/>
        </w:rPr>
        <w:t xml:space="preserve">Article XVI — Indigenous Sovereignty</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§16.1  </w:t>
      </w:r>
      <w:r>
        <w:rPr>
          <w:rFonts w:ascii="Garamond" w:cs="Garamond" w:eastAsia="Garamond" w:hAnsi="Garamond"/>
          <w:b/>
          <w:bCs/>
          <w:i w:val="false"/>
          <w:iCs w:val="false"/>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1B2A4A"/>
          <w:sz w:val="18"/>
          <w:szCs w:val="18"/>
        </w:rPr>
        <w:t xml:space="preserve">§16.2  </w:t>
      </w:r>
      <w:r>
        <w:rPr>
          <w:rFonts w:ascii="Garamond" w:cs="Garamond" w:eastAsia="Garamond" w:hAnsi="Garamond"/>
          <w:b/>
          <w:bCs/>
          <w:i w:val="false"/>
          <w:iCs w:val="false"/>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PM's domestic affairs office, with JI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1B2A4A"/>
          <w:sz w:val="18"/>
          <w:szCs w:val="18"/>
        </w:rPr>
        <w:t xml:space="preserve">§16.3  </w:t>
      </w:r>
      <w:r>
        <w:rPr>
          <w:rFonts w:ascii="Garamond" w:cs="Garamond" w:eastAsia="Garamond" w:hAnsi="Garamond"/>
          <w:b/>
          <w:bCs/>
          <w:i w:val="false"/>
          <w:iCs w:val="false"/>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1B2A4A"/>
          <w:sz w:val="18"/>
          <w:szCs w:val="18"/>
        </w:rPr>
        <w:t xml:space="preserve">§16.4  </w:t>
      </w:r>
      <w:r>
        <w:rPr>
          <w:rFonts w:ascii="Garamond" w:cs="Garamond" w:eastAsia="Garamond" w:hAnsi="Garamond"/>
          <w:b/>
          <w:bCs/>
          <w:i w:val="false"/>
          <w:iCs w:val="false"/>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are living agreements administered through joint mechanisms. Disputes are resolved through a Joint Compact Review Council with equal representation of the Nation and the Republic. The Republic is represented on the Council by the PM's designated Compact Officer for domestic and governance matters; the President's designated representative participates for any matter within the presidential domain under §2.1. Council decisions are binding on both parties within the scope of the compact; neither party may unilaterally declare a compact dispute resolved. Constitutional questions are appealed to the SC, which must rule within 90 days of petition; where the SC fails to rule within 90 days, the Nation’s position is upheld by constitutional operation pending any subsequent ruling. Compacts are reviewed on a schedule defined in the compact terms, minimum every 20 years; either party may request a review outside the schedule. The review may result in compact amendment by mutual agreement — neither party can impose amendments. A compact may be terminated by mutual agreement only; neither party may unilaterally terminate; only the Nation may initiate termination, and the Republic must negotiate exit terms within 2 years; if no agreement is reached the compact continues and the dispute is referred to the SC.</w:t>
      </w:r>
    </w:p>
    <w:p>
      <w:pPr>
        <w:spacing w:after="60" w:before="200"/>
        <w:ind w:left="431"/>
        <w:jc w:val="left"/>
      </w:pPr>
      <w:r>
        <w:rPr>
          <w:rFonts w:ascii="Courier New" w:cs="Courier New" w:eastAsia="Courier New" w:hAnsi="Courier New"/>
          <w:b/>
          <w:bCs/>
          <w:color w:val="1B2A4A"/>
          <w:sz w:val="18"/>
          <w:szCs w:val="18"/>
        </w:rPr>
        <w:t xml:space="preserve">§16.5  </w:t>
      </w:r>
      <w:r>
        <w:rPr>
          <w:rFonts w:ascii="Garamond" w:cs="Garamond" w:eastAsia="Garamond" w:hAnsi="Garamond"/>
          <w:b/>
          <w:bCs/>
          <w:i w:val="false"/>
          <w:iCs w:val="false"/>
          <w:color w:val="1B2A4A"/>
          <w:sz w:val="22"/>
          <w:szCs w:val="22"/>
        </w:rPr>
        <w:t xml:space="preserve">Federal Obligations and New Compact Petitions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affirmative obligations to compact territories: federal education funding, healthcare access, infrastructure investment, and emergency response. These obligations are enforceable by the Nation through the compact dispute resolution process. Any resident of compact territory who believes an Article I right has been violated may bring an Emergency Rights Writ directly to the SC, bypassing all lower courts and the compact dispute resolution process; the SC must rule within 7 days; where the SC fails to rule within 7 days, the Writ is granted and the alleged violation is treated as confirmed pending full SC review. Indigenous communities that do not currently hold a compact may petition the Senate for compact recognition; the Senate must consider the petition within 90 days and either begin negotiations or publish written reasons for declining.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1B2A4A"/>
          <w:sz w:val="18"/>
          <w:szCs w:val="18"/>
        </w:rPr>
        <w:t xml:space="preserve">§16.6  </w:t>
      </w:r>
      <w:r>
        <w:rPr>
          <w:rFonts w:ascii="Garamond" w:cs="Garamond" w:eastAsia="Garamond" w:hAnsi="Garamond"/>
          <w:b/>
          <w:bCs/>
          <w:i w:val="false"/>
          <w:iCs w:val="false"/>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w:t>
      </w:r>
    </w:p>
    <w:p>
      <w:pPr>
        <w:spacing w:after="60" w:before="200"/>
        <w:ind w:left="431"/>
        <w:jc w:val="left"/>
      </w:pPr>
      <w:r>
        <w:rPr>
          <w:rFonts w:ascii="Courier New" w:cs="Courier New" w:eastAsia="Courier New" w:hAnsi="Courier New"/>
          <w:b/>
          <w:bCs/>
          <w:color w:val="1B2A4A"/>
          <w:sz w:val="18"/>
          <w:szCs w:val="18"/>
        </w:rPr>
        <w:t xml:space="preserve">§16.7  </w:t>
      </w:r>
      <w:r>
        <w:rPr>
          <w:rFonts w:ascii="Garamond" w:cs="Garamond" w:eastAsia="Garamond" w:hAnsi="Garamond"/>
          <w:b/>
          <w:bCs/>
          <w:i w:val="false"/>
          <w:iCs w:val="false"/>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An indigenous nation with an established compact under Article XVI holds the constitutional right to initiate a status transition through its own democratic or traditional governance process. Three status options are available: (a) Compact Status — continued Article XVI compact relationship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JEC under §2.14, with the President holding primary authority on border and defense terms under §2.1 and the PM holding primary authority on domestic implementation terms under §2.5;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1B2A4A"/>
          <w:sz w:val="18"/>
          <w:szCs w:val="18"/>
        </w:rPr>
        <w:t xml:space="preserve">§16.7.a  </w:t>
      </w:r>
      <w:r>
        <w:rPr>
          <w:rFonts w:ascii="Garamond" w:cs="Garamond" w:eastAsia="Garamond" w:hAnsi="Garamond"/>
          <w:b/>
          <w:bCs/>
          <w:i w:val="false"/>
          <w:iCs w:val="false"/>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520"/>
          <w:sz w:val="22"/>
          <w:szCs w:val="22"/>
        </w:rPr>
        <w:t xml:space="preserve">A status election under §16.7 requires: (1) a decision by the nation's own governance process, meeting the standards the nation itself defines for major governance decisions; and (2) publication of the election to the NRS within 30 days of the governance decision. A status election is irrevocable — a Nation that elects Territorial Integration or Full Sovereign Independence may not subsequently return to Article XVI compact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compact status has no special pathway back to compact status;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compact status. At ratification, the Republic must formally notify all recognized indigenous compact nations of their rights under §16.7.</w:t>
      </w:r>
    </w:p>
    <w:p>
      <w:pPr>
        <w:spacing w:after="60" w:before="200"/>
        <w:jc w:val="left"/>
      </w:pPr>
      <w:r>
        <w:rPr>
          <w:rFonts w:ascii="Garamond" w:cs="Garamond" w:eastAsia="Garamond" w:hAnsi="Garamond"/>
          <w:b/>
          <w:bCs/>
          <w:i w:val="false"/>
          <w:iCs w:val="false"/>
          <w:color w:val="1B2A4A"/>
          <w:sz w:val="34"/>
          <w:szCs w:val="34"/>
        </w:rPr>
        <w:t xml:space="preserve">Article XVII — Constitutional Amendments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§17.1  </w:t>
      </w:r>
      <w:r>
        <w:rPr>
          <w:rFonts w:ascii="Garamond" w:cs="Garamond" w:eastAsia="Garamond" w:hAnsi="Garamond"/>
          <w:b/>
          <w:bCs/>
          <w:i w:val="false"/>
          <w:iCs w:val="false"/>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Any proposed constitutional amendment supported by a petition of at least 15% of eligible voters, as verified by the LI, proceeds directly to a national referendum. Passage requires 70% of votes cast with a minimum 65% citizen participation; where the participation floor is not met the initiative fails and may not be resubmitted on the same or substantially similar grounds for five years. No legislative or executive action is required to place the initiative on the ballot; the Elections Panel administers the referendum within 180 days of LI petition verification. Citizen initiative amendments are subject to §17.3 consistency analysis by the LI, advisory only.</w:t>
      </w:r>
    </w:p>
    <w:p>
      <w:pPr>
        <w:spacing w:after="60" w:before="200"/>
        <w:ind w:left="431"/>
        <w:jc w:val="left"/>
      </w:pPr>
      <w:r>
        <w:rPr>
          <w:rFonts w:ascii="Courier New" w:cs="Courier New" w:eastAsia="Courier New" w:hAnsi="Courier New"/>
          <w:b/>
          <w:bCs/>
          <w:color w:val="1B2A4A"/>
          <w:sz w:val="18"/>
          <w:szCs w:val="18"/>
        </w:rPr>
        <w:t xml:space="preserve">§17.2  </w:t>
      </w:r>
      <w:r>
        <w:rPr>
          <w:rFonts w:ascii="Garamond" w:cs="Garamond" w:eastAsia="Garamond" w:hAnsi="Garamond"/>
          <w:b/>
          <w:bCs/>
          <w:i w:val="false"/>
          <w:iCs w:val="false"/>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520"/>
          <w:sz w:val="22"/>
          <w:szCs w:val="22"/>
        </w:rPr>
        <w:t xml:space="preserve">Neither the President nor the PM has any role in the constitutional amendment process. No signature required. No veto available. An amendment takes effect immediately upon LI certification (State Ratification) or Elections Panel certification (Popular Ratification) and NRS publication — no implementation delay, no executive discretion over timing.</w:t>
      </w:r>
    </w:p>
    <w:p>
      <w:pPr>
        <w:spacing w:after="60" w:before="200"/>
        <w:ind w:left="431"/>
        <w:jc w:val="left"/>
      </w:pPr>
      <w:r>
        <w:rPr>
          <w:rFonts w:ascii="Courier New" w:cs="Courier New" w:eastAsia="Courier New" w:hAnsi="Courier New"/>
          <w:b/>
          <w:bCs/>
          <w:color w:val="1B2A4A"/>
          <w:sz w:val="18"/>
          <w:szCs w:val="18"/>
        </w:rPr>
        <w:t xml:space="preserve">§17.3  </w:t>
      </w:r>
      <w:r>
        <w:rPr>
          <w:rFonts w:ascii="Garamond" w:cs="Garamond" w:eastAsia="Garamond" w:hAnsi="Garamond"/>
          <w:b/>
          <w:bCs/>
          <w:i w:val="false"/>
          <w:iCs w:val="false"/>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520"/>
          <w:sz w:val="22"/>
          <w:szCs w:val="22"/>
        </w:rPr>
        <w:t xml:space="preserve">An amendment that is logically inconsistent with an existing provision must either explicitly repeal the inconsistent provision or the inconsistency is treated as void. The LI publishes a consistency analysis of any proposed amendment within 30 days of passage by both chambers for a parliamentary amendment, or within 30 days of LI petition verification for a citizen initiative amendment — advisory, but a permanent public record of what the amendment changes. If a ratified amendment's consistency with existing provisions is disputed, the SC resolves the dispute on expedited review; the SC may not refuse to apply an amendment that has met its procedural thresholds.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LI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1B2A4A"/>
          <w:sz w:val="18"/>
          <w:szCs w:val="18"/>
        </w:rPr>
        <w:t xml:space="preserve">§17.4  </w:t>
      </w:r>
      <w:r>
        <w:rPr>
          <w:rFonts w:ascii="Garamond" w:cs="Garamond" w:eastAsia="Garamond" w:hAnsi="Garamond"/>
          <w:b/>
          <w:bCs/>
          <w:i w:val="false"/>
          <w:iCs w:val="false"/>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spacing w:after="60" w:before="200"/>
        <w:jc w:val="left"/>
      </w:pPr>
      <w:r>
        <w:rPr>
          <w:rFonts w:ascii="Garamond" w:cs="Garamond" w:eastAsia="Garamond" w:hAnsi="Garamond"/>
          <w:b/>
          <w:bCs/>
          <w:i w:val="false"/>
          <w:iCs w:val="false"/>
          <w:color w:val="1B2A4A"/>
          <w:sz w:val="34"/>
          <w:szCs w:val="34"/>
        </w:rPr>
        <w:t xml:space="preserve">Article XVIII — Federal Property and National Trust</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§18.1  </w:t>
      </w:r>
      <w:r>
        <w:rPr>
          <w:rFonts w:ascii="Garamond" w:cs="Garamond" w:eastAsia="Garamond" w:hAnsi="Garamond"/>
          <w:b/>
          <w:bCs/>
          <w:i w:val="false"/>
          <w:iCs w:val="false"/>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w:t>
      </w:r>
    </w:p>
    <w:p>
      <w:pPr>
        <w:spacing w:after="60" w:before="200"/>
        <w:ind w:left="431"/>
        <w:jc w:val="left"/>
      </w:pPr>
      <w:r>
        <w:rPr>
          <w:rFonts w:ascii="Courier New" w:cs="Courier New" w:eastAsia="Courier New" w:hAnsi="Courier New"/>
          <w:b/>
          <w:bCs/>
          <w:color w:val="1B2A4A"/>
          <w:sz w:val="18"/>
          <w:szCs w:val="18"/>
        </w:rPr>
        <w:t xml:space="preserve">§18.2  </w:t>
      </w:r>
      <w:r>
        <w:rPr>
          <w:rFonts w:ascii="Garamond" w:cs="Garamond" w:eastAsia="Garamond" w:hAnsi="Garamond"/>
          <w:b/>
          <w:bCs/>
          <w:i w:val="false"/>
          <w:iCs w:val="false"/>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holds no territorial sovereignty at its Seat of Government. The Seat is hosted by a State or Territory selected through a competitive bid process. The PM publishes a Requirements Specification to the NRS defining minimum functional, security, physical, and operational requirements; the Legislature establishes specific standards by statute. Any State or Territory may submit a bid; the Legislature selects one by ordinary statute. The hosting arrangement grants the federal government Operational Use Rights over the designated footprint;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federal government must issue a new call for bids every twenty years; if no bids are submitted, or if bids are submitted but none meet the published Requirements Specification, the existing arrangement continues and the Legislature may revise the Specification for the next cycle. When the Seat moves to a new host, a two-year transition window begins; prior improvements revert to the departing host with the land unless a retention agreement is reached within the statutory window.</w:t>
      </w:r>
    </w:p>
    <w:p>
      <w:pPr>
        <w:spacing w:after="60" w:before="200"/>
        <w:ind w:left="431"/>
        <w:jc w:val="left"/>
      </w:pPr>
      <w:r>
        <w:rPr>
          <w:rFonts w:ascii="Courier New" w:cs="Courier New" w:eastAsia="Courier New" w:hAnsi="Courier New"/>
          <w:b/>
          <w:bCs/>
          <w:color w:val="1B2A4A"/>
          <w:sz w:val="18"/>
          <w:szCs w:val="18"/>
        </w:rPr>
        <w:t xml:space="preserve">§18.3  </w:t>
      </w:r>
      <w:r>
        <w:rPr>
          <w:rFonts w:ascii="Garamond" w:cs="Garamond" w:eastAsia="Garamond" w:hAnsi="Garamond"/>
          <w:b/>
          <w:bCs/>
          <w:i w:val="false"/>
          <w:iCs w:val="false"/>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520"/>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1B2A4A"/>
          <w:sz w:val="18"/>
          <w:szCs w:val="18"/>
        </w:rPr>
        <w:t xml:space="preserve">§18.4  </w:t>
      </w:r>
      <w:r>
        <w:rPr>
          <w:rFonts w:ascii="Garamond" w:cs="Garamond" w:eastAsia="Garamond" w:hAnsi="Garamond"/>
          <w:b/>
          <w:bCs/>
          <w:i w:val="false"/>
          <w:iCs w:val="false"/>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520"/>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threshold plus SC review within 60 days confirming compliance with any applicable international obligations. International conservation agreements require a 2/3 Senate vote to withdraw before the national removal process begins. Land designated National Trust carries an active stewardship obligation: the federal government must maintain ecological integrity and public accessibility; the EI monitors compliance annually cross-referenced with §1.18. States and indigenous nations may enter co-management agreements with the Domestic Affairs Council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EI's annual monitoring authority.</w:t>
      </w:r>
    </w:p>
    <w:p>
      <w:pPr>
        <w:spacing w:after="60" w:before="200"/>
        <w:ind w:left="431"/>
        <w:jc w:val="left"/>
      </w:pPr>
      <w:r>
        <w:rPr>
          <w:rFonts w:ascii="Courier New" w:cs="Courier New" w:eastAsia="Courier New" w:hAnsi="Courier New"/>
          <w:b/>
          <w:bCs/>
          <w:color w:val="1B2A4A"/>
          <w:sz w:val="18"/>
          <w:szCs w:val="18"/>
        </w:rPr>
        <w:t xml:space="preserve">§18.5  </w:t>
      </w:r>
      <w:r>
        <w:rPr>
          <w:rFonts w:ascii="Garamond" w:cs="Garamond" w:eastAsia="Garamond" w:hAnsi="Garamond"/>
          <w:b/>
          <w:bCs/>
          <w:i w:val="false"/>
          <w:iCs w:val="false"/>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Federal operational use rights in Territories follow the same framework as in States under §18.3 and §18.4. Host State legislative consent is not required because Territories have no State legislature; the Territory's representative body must publish a written position to the NRS within 60 days of the proposed use right registration; the LI confirms the position was published before the use right is registered; where no position is published within 60 days, the LI certifies the omission and the registration may proceed.</w:t>
      </w:r>
    </w:p>
    <w:p>
      <w:pPr>
        <w:spacing w:after="60" w:before="200"/>
        <w:jc w:val="left"/>
      </w:pPr>
      <w:r>
        <w:rPr>
          <w:rFonts w:ascii="Garamond" w:cs="Garamond" w:eastAsia="Garamond" w:hAnsi="Garamond"/>
          <w:b/>
          <w:bCs/>
          <w:i w:val="false"/>
          <w:iCs w:val="false"/>
          <w:color w:val="1B2A4A"/>
          <w:sz w:val="34"/>
          <w:szCs w:val="34"/>
        </w:rPr>
        <w:t xml:space="preserve">Article XIX — Transition and Ratification</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§19.1  </w:t>
      </w:r>
      <w:r>
        <w:rPr>
          <w:rFonts w:ascii="Garamond" w:cs="Garamond" w:eastAsia="Garamond" w:hAnsi="Garamond"/>
          <w:b/>
          <w:bCs/>
          <w:i w:val="false"/>
          <w:iCs w:val="false"/>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w:t>
      </w:r>
    </w:p>
    <w:p>
      <w:pPr>
        <w:spacing w:after="60" w:before="200"/>
        <w:ind w:left="431"/>
        <w:jc w:val="left"/>
      </w:pPr>
      <w:r>
        <w:rPr>
          <w:rFonts w:ascii="Courier New" w:cs="Courier New" w:eastAsia="Courier New" w:hAnsi="Courier New"/>
          <w:b/>
          <w:bCs/>
          <w:color w:val="1B2A4A"/>
          <w:sz w:val="18"/>
          <w:szCs w:val="18"/>
        </w:rPr>
        <w:t xml:space="preserve">§19.2  </w:t>
      </w:r>
      <w:r>
        <w:rPr>
          <w:rFonts w:ascii="Garamond" w:cs="Garamond" w:eastAsia="Garamond" w:hAnsi="Garamond"/>
          <w:b/>
          <w:bCs/>
          <w:i w:val="false"/>
          <w:iCs w:val="false"/>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520"/>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Inspectorate panel formed; Phase 1 — Emergency Stabilization (Days 1–90), during which existing officials serve as caretakers and social state continuity is the priority; Phase 2 — Institutional Construction (Days 91–270), during which Statehood Audits are conducted, Inspectorates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1B2A4A"/>
          <w:sz w:val="18"/>
          <w:szCs w:val="18"/>
        </w:rPr>
        <w:t xml:space="preserve">§19.3  </w:t>
      </w:r>
      <w:r>
        <w:rPr>
          <w:rFonts w:ascii="Garamond" w:cs="Garamond" w:eastAsia="Garamond" w:hAnsi="Garamond"/>
          <w:b/>
          <w:bCs/>
          <w:i w:val="false"/>
          <w:iCs w:val="false"/>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All existing government officials serve as caretakers during the Transition Window — restricted to maintaining existing services only; no new permanent legislation. Transition is supervised by a joint Inspectorate panel of one representative per Inspectorate appointed by their respective IGs; the panel dissolves automatically at the Transition Window's conclusion.</w:t>
      </w:r>
    </w:p>
    <w:p>
      <w:pPr>
        <w:spacing w:after="60" w:before="200"/>
        <w:ind w:left="431"/>
        <w:jc w:val="left"/>
      </w:pPr>
      <w:r>
        <w:rPr>
          <w:rFonts w:ascii="Courier New" w:cs="Courier New" w:eastAsia="Courier New" w:hAnsi="Courier New"/>
          <w:b/>
          <w:bCs/>
          <w:color w:val="1B2A4A"/>
          <w:sz w:val="18"/>
          <w:szCs w:val="18"/>
        </w:rPr>
        <w:t xml:space="preserve">§19.4  </w:t>
      </w:r>
      <w:r>
        <w:rPr>
          <w:rFonts w:ascii="Garamond" w:cs="Garamond" w:eastAsia="Garamond" w:hAnsi="Garamond"/>
          <w:b/>
          <w:bCs/>
          <w:i w:val="false"/>
          <w:iCs w:val="false"/>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Legislature must establish a Classification Review Commission within 90 days of Phase 4 activation.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1B2A4A"/>
          <w:sz w:val="18"/>
          <w:szCs w:val="18"/>
        </w:rPr>
        <w:t xml:space="preserve">§19.5  </w:t>
      </w:r>
      <w:r>
        <w:rPr>
          <w:rFonts w:ascii="Garamond" w:cs="Garamond" w:eastAsia="Garamond" w:hAnsi="Garamond"/>
          <w:b/>
          <w:bCs/>
          <w:i w:val="false"/>
          <w:iCs w:val="false"/>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tier framework can apply; the President, once inaugurated, must certify each active operation under the appropriate tier within 14 days or begin orderly cessation; operations not certified within 60 days cease unless the Legislature grants a one-time extension.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1B2A4A"/>
          <w:sz w:val="18"/>
          <w:szCs w:val="18"/>
        </w:rPr>
        <w:t xml:space="preserve">§19.6  </w:t>
      </w:r>
      <w:r>
        <w:rPr>
          <w:rFonts w:ascii="Garamond" w:cs="Garamond" w:eastAsia="Garamond" w:hAnsi="Garamond"/>
          <w:b/>
          <w:bCs/>
          <w:i w:val="false"/>
          <w:iCs w:val="false"/>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520"/>
          <w:sz w:val="22"/>
          <w:szCs w:val="22"/>
        </w:rPr>
        <w:t xml:space="preserve">Territories or subdivisions meeting the Statehood Audit Competency Baseline by Phase 2 end may petition to enter as State or Territory. Those failing the Baseline enter as Territory and may begin the Statehood Audit immediately. Any territory may choose Territory status by simple legislative vote regardless of whether it meets the Statehood Baseline.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House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1B2A4A"/>
          <w:sz w:val="18"/>
          <w:szCs w:val="18"/>
        </w:rPr>
        <w:t xml:space="preserve">§19.7  </w:t>
      </w:r>
      <w:r>
        <w:rPr>
          <w:rFonts w:ascii="Garamond" w:cs="Garamond" w:eastAsia="Garamond" w:hAnsi="Garamond"/>
          <w:b/>
          <w:bCs/>
          <w:i w:val="false"/>
          <w:iCs w:val="false"/>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520"/>
          <w:sz w:val="22"/>
          <w:szCs w:val="22"/>
        </w:rPr>
        <w:t xml:space="preserve">The joint Inspectorate panel assembles the initial Candidate Registers for all constitutionally established positions before Phase 3 elections can occur. The panel performs the register-assembly and vetting function that permanent Inspectorates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PM must nominate MA board members within 90 days of Phase 4 activation.</w:t>
      </w:r>
    </w:p>
    <w:p>
      <w:pPr>
        <w:spacing w:after="60" w:before="200"/>
        <w:ind w:left="431"/>
        <w:jc w:val="left"/>
      </w:pPr>
      <w:r>
        <w:rPr>
          <w:rFonts w:ascii="Courier New" w:cs="Courier New" w:eastAsia="Courier New" w:hAnsi="Courier New"/>
          <w:b/>
          <w:bCs/>
          <w:color w:val="1B2A4A"/>
          <w:sz w:val="18"/>
          <w:szCs w:val="18"/>
        </w:rPr>
        <w:t xml:space="preserve">§19.8  </w:t>
      </w:r>
      <w:r>
        <w:rPr>
          <w:rFonts w:ascii="Garamond" w:cs="Garamond" w:eastAsia="Garamond" w:hAnsi="Garamond"/>
          <w:b/>
          <w:bCs/>
          <w:i w:val="false"/>
          <w:iCs w:val="false"/>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1B2A4A"/>
          <w:sz w:val="18"/>
          <w:szCs w:val="18"/>
        </w:rPr>
        <w:t xml:space="preserve">§19.9  </w:t>
      </w:r>
      <w:r>
        <w:rPr>
          <w:rFonts w:ascii="Garamond" w:cs="Garamond" w:eastAsia="Garamond" w:hAnsi="Garamond"/>
          <w:b/>
          <w:bCs/>
          <w:i w:val="false"/>
          <w:iCs w:val="false"/>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520"/>
          <w:sz w:val="22"/>
          <w:szCs w:val="22"/>
        </w:rPr>
        <w:t xml:space="preserve">Where this Constitution assigns a specific function to a statutory independent agency under §3.9, the Legislature must establish that agency within the following timeframes from Phase 4 activation: the CLT Administrator under §5.1.a, within 180 days; the Census Bureau under §3.2, within 18 months. Where the Legislature fails to meet a deadline, §3.9 applies: the LI publishes a compliance notice certifying the breach, and the responsible Inspectorate reports on the unfilled mandate until the agency is established. The LI publishes a compliance notice when any establishment deadline is missed and again when the agency becomes operational. The Legislature may not permanently delegate a constitutionally required statutory function to an Inspectorate in lieu of establishing the required agency.</w:t>
      </w:r>
    </w:p>
    <w:p>
      <w:pPr>
        <w:spacing w:after="60" w:before="200"/>
        <w:jc w:val="left"/>
      </w:pPr>
      <w:r>
        <w:rPr>
          <w:rFonts w:ascii="Garamond" w:cs="Garamond" w:eastAsia="Garamond" w:hAnsi="Garamond"/>
          <w:b/>
          <w:bCs/>
          <w:i w:val="false"/>
          <w:iCs w:val="false"/>
          <w:color w:val="1B2A4A"/>
          <w:sz w:val="34"/>
          <w:szCs w:val="34"/>
        </w:rPr>
        <w:t xml:space="preserve">Article XX — Associated Communities</w:t>
      </w:r>
    </w:p>
    <w:p>
      <w:pPr>
        <w:spacing w:after="120" w:before="0"/>
      </w:pPr>
      <w:r>
        <w:t xml:space="preserve"/>
      </w:r>
    </w:p>
    <w:p>
      <w:pPr>
        <w:spacing w:after="60" w:before="200"/>
        <w:ind w:left="431"/>
        <w:jc w:val="left"/>
      </w:pPr>
      <w:r>
        <w:rPr>
          <w:rFonts w:ascii="Courier New" w:cs="Courier New" w:eastAsia="Courier New" w:hAnsi="Courier New"/>
          <w:b/>
          <w:bCs/>
          <w:color w:val="1B2A4A"/>
          <w:sz w:val="18"/>
          <w:szCs w:val="18"/>
        </w:rPr>
        <w:t xml:space="preserve">§20.1  </w:t>
      </w:r>
      <w:r>
        <w:rPr>
          <w:rFonts w:ascii="Garamond" w:cs="Garamond" w:eastAsia="Garamond" w:hAnsi="Garamond"/>
          <w:b/>
          <w:bCs/>
          <w:i w:val="false"/>
          <w:iCs w:val="false"/>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520"/>
          <w:sz w:val="22"/>
          <w:szCs w:val="22"/>
        </w:rPr>
        <w:t xml:space="preserve">Exclusively for sovereign entities — not a form of State or Territory status, not transitional, not incorporation. Available to nations that have completed the independence process under §15.7, to independent nations outside the Republic seeking a defined relationship, or to nations recognized as pre-existing sovereigns under Article XIV.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1B2A4A"/>
          <w:sz w:val="18"/>
          <w:szCs w:val="18"/>
        </w:rPr>
        <w:t xml:space="preserve">§20.2  </w:t>
      </w:r>
      <w:r>
        <w:rPr>
          <w:rFonts w:ascii="Garamond" w:cs="Garamond" w:eastAsia="Garamond" w:hAnsi="Garamond"/>
          <w:b/>
          <w:bCs/>
          <w:i w:val="false"/>
          <w:iCs w:val="false"/>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520"/>
          <w:sz w:val="22"/>
          <w:szCs w:val="22"/>
        </w:rPr>
        <w:t xml:space="preserve">Equal parties; neither constitutionally superior. Observing delegates attend House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1B2A4A"/>
          <w:sz w:val="18"/>
          <w:szCs w:val="18"/>
        </w:rPr>
        <w:t xml:space="preserve">§20.3  </w:t>
      </w:r>
      <w:r>
        <w:rPr>
          <w:rFonts w:ascii="Garamond" w:cs="Garamond" w:eastAsia="Garamond" w:hAnsi="Garamond"/>
          <w:b/>
          <w:bCs/>
          <w:i w:val="false"/>
          <w:iCs w:val="false"/>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520"/>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Judicial Inspectorate certifies compliance with this condition before parliamentary ratification of any compact; a compact negotiated with a non-compliant entity is void regardless of parliamentary ratification. The JI conducts annual compliance reviews and publishes findings to the NRS. Where the JI finds systematic violations of the non-derogable rights under §1.19.b, the compact is suspended pending Supreme Court review. The Court may terminate the compact on confirmed systematic violations without remediation within a period the Legislature defines by statute. Economic value of the compact relationship is not a factor in JI certification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The Legislature may not schedule a compact ratification vote until the JI publishes its certification finding.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1B2A4A"/>
          <w:sz w:val="18"/>
          <w:szCs w:val="18"/>
        </w:rPr>
        <w:t xml:space="preserve">§20.4  </w:t>
      </w:r>
      <w:r>
        <w:rPr>
          <w:rFonts w:ascii="Garamond" w:cs="Garamond" w:eastAsia="Garamond" w:hAnsi="Garamond"/>
          <w:b/>
          <w:bCs/>
          <w:i w:val="false"/>
          <w:iCs w:val="false"/>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520"/>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1B2A4A"/>
          <w:sz w:val="18"/>
          <w:szCs w:val="18"/>
        </w:rPr>
        <w:t xml:space="preserve">§20.5  </w:t>
      </w:r>
      <w:r>
        <w:rPr>
          <w:rFonts w:ascii="Garamond" w:cs="Garamond" w:eastAsia="Garamond" w:hAnsi="Garamond"/>
          <w:b/>
          <w:bCs/>
          <w:i w:val="false"/>
          <w:iCs w:val="false"/>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520"/>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1B2A4A"/>
          <w:sz w:val="18"/>
          <w:szCs w:val="18"/>
        </w:rPr>
        <w:t xml:space="preserve">§20.6  </w:t>
      </w:r>
      <w:r>
        <w:rPr>
          <w:rFonts w:ascii="Garamond" w:cs="Garamond" w:eastAsia="Garamond" w:hAnsi="Garamond"/>
          <w:b/>
          <w:bCs/>
          <w:i w:val="false"/>
          <w:iCs w:val="false"/>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520"/>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The JI certification under §20.3 must be published to the NRS before the Senate may hold a ratification vote.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1B2A4A"/>
          <w:sz w:val="18"/>
          <w:szCs w:val="18"/>
        </w:rPr>
        <w:t xml:space="preserve">§20.7  </w:t>
      </w:r>
      <w:r>
        <w:rPr>
          <w:rFonts w:ascii="Garamond" w:cs="Garamond" w:eastAsia="Garamond" w:hAnsi="Garamond"/>
          <w:b/>
          <w:bCs/>
          <w:i w:val="false"/>
          <w:iCs w:val="false"/>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520"/>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headerReference w:type="default" r:id="rId7"/>
      <w:footerReference w:type="default" r:id="rId8"/>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84C" w:sz="6" w:space="6"/>
      </w:pBdr>
      <w:tabs>
        <w:tab w:val="right" w:pos="9026"/>
      </w:tabs>
      <w:spacing w:before="120"/>
    </w:pPr>
    <w:r>
      <w:rPr>
        <w:rFonts w:ascii="Courier New" w:cs="Courier New" w:eastAsia="Courier New" w:hAnsi="Courier New"/>
        <w:b w:val="false"/>
        <w:bCs w:val="false"/>
        <w:color w:val="7a7060"/>
        <w:sz w:val="16"/>
        <w:szCs w:val="16"/>
      </w:rPr>
      <w:t xml:space="preserve">thefederatedrepublic.org</w:t>
    </w:r>
    <w:r>
      <w:rPr>
        <w:rFonts w:ascii="Courier New" w:cs="Courier New" w:eastAsia="Courier New" w:hAnsi="Courier New"/>
        <w:sz w:val="16"/>
        <w:szCs w:val="16"/>
      </w:rPr>
      <w:t xml:space="preserve">	</w:t>
    </w:r>
    <w:r>
      <w:rPr>
        <w:rFonts w:ascii="Courier New" w:cs="Courier New" w:eastAsia="Courier New" w:hAnsi="Courier New"/>
        <w:color w:val="7a706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6" w:space="6"/>
      </w:pBdr>
      <w:spacing w:after="120"/>
    </w:pPr>
    <w:r>
      <w:rPr>
        <w:rFonts w:ascii="Courier New" w:cs="Courier New" w:eastAsia="Courier New" w:hAnsi="Courier New"/>
        <w:b w:val="false"/>
        <w:bCs w:val="false"/>
        <w:color w:val="7a7060"/>
        <w:sz w:val="16"/>
        <w:szCs w:val="16"/>
      </w:rPr>
      <w:t xml:space="preserve">THE FEDERATED REPUBLIC — CONSTITUTION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94051c31ef06174dbc68ab8e9916156b6af92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2026-05-23T15:01:16.339Z</dcterms:created>
  <dcterms:modified xsi:type="dcterms:W3CDTF">2026-05-23T15:01:16.350Z</dcterms:modified>
</cp:coreProperties>
</file>

<file path=docProps/custom.xml><?xml version="1.0" encoding="utf-8"?>
<Properties xmlns="http://schemas.openxmlformats.org/officeDocument/2006/custom-properties" xmlns:vt="http://schemas.openxmlformats.org/officeDocument/2006/docPropsVTypes"/>
</file>