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BNF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BNF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BNF obligations,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States need only submit names to the LI for certification and pay their drawn representative during commission service.</w:t>
      </w:r>
    </w:p>
    <w:p>
      <w:pPr>
        <w:spacing w:after="60" w:before="200"/>
        <w:ind w:left="431"/>
        <w:jc w:val="left"/>
      </w:pPr>
      <w:r>
        <w:rPr>
          <w:rFonts w:ascii="Courier New" w:cs="Courier New" w:eastAsia="Courier New" w:hAnsi="Courier New"/>
          <w:b/>
          <w:bCs/>
          <w:color w:val="1B2A4A"/>
          <w:sz w:val="18"/>
          <w:szCs w:val="18"/>
        </w:rPr>
        <w:t xml:space="preserve">§7.2.c.ii  </w:t>
      </w:r>
      <w:r>
        <w:rPr>
          <w:rFonts w:ascii="Garamond" w:cs="Garamond" w:eastAsia="Garamond" w:hAnsi="Garamond"/>
          <w:b/>
          <w:bCs/>
          <w:i w:val="false"/>
          <w:iCs w:val="false"/>
          <w:color w:val="1B2A4A"/>
          <w:sz w:val="22"/>
          <w:szCs w:val="22"/>
        </w:rPr>
        <w:t xml:space="preserve">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431"/>
        <w:jc w:val="left"/>
      </w:pPr>
      <w:r>
        <w:rPr>
          <w:rFonts w:ascii="Courier New" w:cs="Courier New" w:eastAsia="Courier New" w:hAnsi="Courier New"/>
          <w:b/>
          <w:bCs/>
          <w:color w:val="1B2A4A"/>
          <w:sz w:val="18"/>
          <w:szCs w:val="18"/>
        </w:rPr>
        <w:t xml:space="preserve">§7.2.c.iii  </w:t>
      </w:r>
      <w:r>
        <w:rPr>
          <w:rFonts w:ascii="Garamond" w:cs="Garamond" w:eastAsia="Garamond" w:hAnsi="Garamond"/>
          <w:b/>
          <w:bCs/>
          <w:i w:val="false"/>
          <w:iCs w:val="false"/>
          <w:color w:val="1B2A4A"/>
          <w:sz w:val="22"/>
          <w:szCs w:val="22"/>
        </w:rPr>
        <w:t xml:space="preserve">Pool Health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431"/>
        <w:jc w:val="left"/>
      </w:pPr>
      <w:r>
        <w:rPr>
          <w:rFonts w:ascii="Courier New" w:cs="Courier New" w:eastAsia="Courier New" w:hAnsi="Courier New"/>
          <w:b/>
          <w:bCs/>
          <w:color w:val="1B2A4A"/>
          <w:sz w:val="18"/>
          <w:szCs w:val="18"/>
        </w:rPr>
        <w:t xml:space="preserve">§7.2.c.v  </w:t>
      </w:r>
      <w:r>
        <w:rPr>
          <w:rFonts w:ascii="Garamond" w:cs="Garamond" w:eastAsia="Garamond" w:hAnsi="Garamond"/>
          <w:b/>
          <w:bCs/>
          <w:i w:val="false"/>
          <w:iCs w:val="false"/>
          <w:color w:val="1B2A4A"/>
          <w:sz w:val="22"/>
          <w:szCs w:val="22"/>
        </w:rPr>
        <w:t xml:space="preserve">Commission 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431"/>
        <w:jc w:val="left"/>
      </w:pPr>
      <w:r>
        <w:rPr>
          <w:rFonts w:ascii="Courier New" w:cs="Courier New" w:eastAsia="Courier New" w:hAnsi="Courier New"/>
          <w:b/>
          <w:bCs/>
          <w:color w:val="1B2A4A"/>
          <w:sz w:val="18"/>
          <w:szCs w:val="18"/>
        </w:rPr>
        <w:t xml:space="preserve">§8.9.b  </w:t>
      </w:r>
      <w:r>
        <w:rPr>
          <w:rFonts w:ascii="Garamond" w:cs="Garamond" w:eastAsia="Garamond" w:hAnsi="Garamond"/>
          <w:b/>
          <w:bCs/>
          <w:i w:val="false"/>
          <w:iCs w:val="false"/>
          <w:color w:val="1B2A4A"/>
          <w:sz w:val="22"/>
          <w:szCs w:val="22"/>
        </w:rPr>
        <w:t xml:space="preserve">Designee Pool 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431"/>
        <w:jc w:val="left"/>
      </w:pPr>
      <w:r>
        <w:rPr>
          <w:rFonts w:ascii="Courier New" w:cs="Courier New" w:eastAsia="Courier New" w:hAnsi="Courier New"/>
          <w:b/>
          <w:bCs/>
          <w:color w:val="1B2A4A"/>
          <w:sz w:val="18"/>
          <w:szCs w:val="18"/>
        </w:rPr>
        <w:t xml:space="preserve">§8.9.b.i  </w:t>
      </w:r>
      <w:r>
        <w:rPr>
          <w:rFonts w:ascii="Garamond" w:cs="Garamond" w:eastAsia="Garamond" w:hAnsi="Garamond"/>
          <w:b/>
          <w:bCs/>
          <w:i w:val="false"/>
          <w:iCs w:val="false"/>
          <w:color w:val="1B2A4A"/>
          <w:sz w:val="22"/>
          <w:szCs w:val="22"/>
        </w:rPr>
        <w:t xml:space="preserve">Mandatory State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431"/>
        <w:jc w:val="left"/>
      </w:pPr>
      <w:r>
        <w:rPr>
          <w:rFonts w:ascii="Courier New" w:cs="Courier New" w:eastAsia="Courier New" w:hAnsi="Courier New"/>
          <w:b/>
          <w:bCs/>
          <w:color w:val="1B2A4A"/>
          <w:sz w:val="18"/>
          <w:szCs w:val="18"/>
        </w:rPr>
        <w:t xml:space="preserve">§8.9.c  </w:t>
      </w:r>
      <w:r>
        <w:rPr>
          <w:rFonts w:ascii="Garamond" w:cs="Garamond" w:eastAsia="Garamond" w:hAnsi="Garamond"/>
          <w:b/>
          <w:bCs/>
          <w:i w:val="false"/>
          <w:iCs w:val="false"/>
          <w:color w:val="1B2A4A"/>
          <w:sz w:val="22"/>
          <w:szCs w:val="22"/>
        </w:rPr>
        <w:t xml:space="preserve">Pool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431"/>
        <w:jc w:val="left"/>
      </w:pPr>
      <w:r>
        <w:rPr>
          <w:rFonts w:ascii="Courier New" w:cs="Courier New" w:eastAsia="Courier New" w:hAnsi="Courier New"/>
          <w:b/>
          <w:bCs/>
          <w:color w:val="1B2A4A"/>
          <w:sz w:val="18"/>
          <w:szCs w:val="18"/>
        </w:rPr>
        <w:t xml:space="preserve">§8.9.d.i  </w:t>
      </w:r>
      <w:r>
        <w:rPr>
          <w:rFonts w:ascii="Garamond" w:cs="Garamond" w:eastAsia="Garamond" w:hAnsi="Garamond"/>
          <w:b/>
          <w:bCs/>
          <w:i w:val="false"/>
          <w:iCs w:val="false"/>
          <w:color w:val="1B2A4A"/>
          <w:sz w:val="22"/>
          <w:szCs w:val="22"/>
        </w:rPr>
        <w:t xml:space="preserve">Draw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431"/>
        <w:jc w:val="left"/>
      </w:pPr>
      <w:r>
        <w:rPr>
          <w:rFonts w:ascii="Courier New" w:cs="Courier New" w:eastAsia="Courier New" w:hAnsi="Courier New"/>
          <w:b/>
          <w:bCs/>
          <w:color w:val="1B2A4A"/>
          <w:sz w:val="18"/>
          <w:szCs w:val="18"/>
        </w:rPr>
        <w:t xml:space="preserve">§8.9.e  </w:t>
      </w:r>
      <w:r>
        <w:rPr>
          <w:rFonts w:ascii="Garamond" w:cs="Garamond" w:eastAsia="Garamond" w:hAnsi="Garamond"/>
          <w:b/>
          <w:bCs/>
          <w:i w:val="false"/>
          <w:iCs w:val="false"/>
          <w:color w:val="1B2A4A"/>
          <w:sz w:val="22"/>
          <w:szCs w:val="22"/>
        </w:rPr>
        <w:t xml:space="preserve">Ongoing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§8.9.j  </w:t>
      </w:r>
      <w:r>
        <w:rPr>
          <w:rFonts w:ascii="Garamond" w:cs="Garamond" w:eastAsia="Garamond" w:hAnsi="Garamond"/>
          <w:b/>
          <w:bCs/>
          <w:i w:val="false"/>
          <w:iCs w:val="false"/>
          <w:color w:val="1B2A4A"/>
          <w:sz w:val="22"/>
          <w:szCs w:val="22"/>
        </w:rPr>
        <w:t xml:space="preserve">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The Legislature must respond within 90 days with a published statement addressing each domain. Findings and responses form a permanent longitudinal record of constitutional performance.</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RSA Technical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System Administrator operates the NRS under the oversight of the Legislative Inspectorate. The RSA Director is a statutory independent officer whose independence is protected by §9.5.a. A decennial Technical Integrity Commission reviews whether the NRS architecture continues to meet the constitutional requirements for distributed custody, cryptographic verification, and public accessibility under §9.1.</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RSA Technical Integrity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The Commission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If the LI's annual audit under §9.1.e identifies a critical architectural failure — defined as a finding that the NRS no longer meets the constitutional requirements for tamper-evident operation or distributed custody — the LI may declare an emergency review, triggering an extraordinary Commission draw from the current confirmed pool under §9.3.d. An emergency Commission draw does not reset the decennial clock.</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RSA Technical Pool —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Commission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Commission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Commission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 Where an Emergency RSA Commission has been constituted under §9.3.h since the prior decennial review, the next regularly scheduled decennial Commission must include in its scope a review of the emergency findings — assessing whether the remediation was adequate and making architectural recommendations to prevent recurrence. These findings are published as a dedicated section of the decennial report.</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Emergency RSA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declared an emergency review under §9.3.a, the LI formally alerts the PM and publishes the emergency finding to the NRS. The PM requests each State to nominate one qualified person to an Emergency Technical Pool within 14 days. The LI certifies each nominee's qualifications against the statutory standard established under §9.3.b. All three Inspectorates then conduct a public lottery draw of five members from the certified nominees using the procedure under §9.3.d — the draw is published to the NRS before the session closes. The Emergency Commission's scope is limited to the specific architectural failure identified in the LI's emergency finding; it may not expand its mandate beyond that scope. Findings are published jointly by all three Inspectorates to the NRS upon completion. Senate confirmation is not required for Emergency Commission members; the mandatory Senate accountability session under §9.3.i provides accountability in lieu of confirmation. The Emergency Commission does not trigger a pool reset; the regular decennial pool and clock are unaffected. The Emergency Technical Pool dissolves upon conclusion of the Senate accountability session.</w:t>
      </w:r>
    </w:p>
    <w:p>
      <w:pPr>
        <w:spacing w:after="60" w:before="200"/>
        <w:ind w:left="431"/>
        <w:jc w:val="left"/>
      </w:pPr>
      <w:r>
        <w:rPr>
          <w:rFonts w:ascii="Courier New" w:cs="Courier New" w:eastAsia="Courier New" w:hAnsi="Courier New"/>
          <w:b/>
          <w:bCs/>
          <w:color w:val="1B2A4A"/>
          <w:sz w:val="18"/>
          <w:szCs w:val="18"/>
        </w:rPr>
        <w:t xml:space="preserve">§9.3.i  </w:t>
      </w:r>
      <w:r>
        <w:rPr>
          <w:rFonts w:ascii="Garamond" w:cs="Garamond" w:eastAsia="Garamond" w:hAnsi="Garamond"/>
          <w:b/>
          <w:bCs/>
          <w:i w:val="false"/>
          <w:iCs w:val="false"/>
          <w:color w:val="1B2A4A"/>
          <w:sz w:val="22"/>
          <w:szCs w:val="22"/>
        </w:rPr>
        <w:t xml:space="preserve">Emergency Commission Senate Accountability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Emergency Commission's appointment under §9.3.h, the Senate must schedule a mandatory public accountability session. The session must occur within 90 days of the Emergency Commission's appointment. Emergency Commission members appear before the Senate, present their findings, and respond to questions from senators. The session is published in full to the NRS. Failure to schedule the session within 30 days of appointment is a constitutional compliance breach certified by the LI and published to the NRS. The Senate accountability session provides the legitimacy in lieu of Senate confirmation — the Commission's findings carry full constitutional weight upon NRS publication regardless of whether the session has yet occurred.</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NRS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administered by a technically independent office under LI oversight.</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i w:val="false"/>
          <w:iCs w:val="false"/>
          <w:color w:val="1B2A4A"/>
          <w:sz w:val="22"/>
          <w:szCs w:val="22"/>
        </w:rPr>
        <w:t xml:space="preserve">NRS Staffing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Basic Needs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guarantees every Inhabitant access to a minimum basket of goods and services — food, housing, healthcare, education, and utilities — at a level adequate for a dignified life. Funded by a constitutionally reserved 5% of gross domestic revenue — this percentage cannot be reduced without a constitutional amendment.</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BNF Funding Reserve</w:t>
      </w:r>
    </w:p>
    <w:p>
      <w:pPr>
        <w:spacing w:after="120" w:before="0"/>
        <w:ind w:left="431"/>
        <w:jc w:val="both"/>
      </w:pPr>
      <w:r>
        <w:rPr>
          <w:rFonts w:ascii="Garamond" w:cs="Garamond" w:eastAsia="Garamond" w:hAnsi="Garamond"/>
          <w:b w:val="false"/>
          <w:bCs w:val="false"/>
          <w:i w:val="false"/>
          <w:iCs w:val="false"/>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BNF Adequacy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BNF Coverage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BNF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BNF Administration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431"/>
        <w:jc w:val="left"/>
      </w:pPr>
      <w:r>
        <w:rPr>
          <w:rFonts w:ascii="Courier New" w:cs="Courier New" w:eastAsia="Courier New" w:hAnsi="Courier New"/>
          <w:b/>
          <w:bCs/>
          <w:color w:val="1B2A4A"/>
          <w:sz w:val="18"/>
          <w:szCs w:val="18"/>
        </w:rPr>
        <w:t xml:space="preserve">§10.1.f  </w:t>
      </w:r>
      <w:r>
        <w:rPr>
          <w:rFonts w:ascii="Garamond" w:cs="Garamond" w:eastAsia="Garamond" w:hAnsi="Garamond"/>
          <w:b/>
          <w:bCs/>
          <w:i w:val="false"/>
          <w:iCs w:val="false"/>
          <w:color w:val="1B2A4A"/>
          <w:sz w:val="22"/>
          <w:szCs w:val="22"/>
        </w:rPr>
        <w:t xml:space="preserve">Severe Revenue Contraction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431"/>
        <w:jc w:val="left"/>
      </w:pPr>
      <w:r>
        <w:rPr>
          <w:rFonts w:ascii="Courier New" w:cs="Courier New" w:eastAsia="Courier New" w:hAnsi="Courier New"/>
          <w:b/>
          <w:bCs/>
          <w:color w:val="1B2A4A"/>
          <w:sz w:val="18"/>
          <w:szCs w:val="18"/>
        </w:rPr>
        <w:t xml:space="preserve">§10.1.g  </w:t>
      </w:r>
      <w:r>
        <w:rPr>
          <w:rFonts w:ascii="Garamond" w:cs="Garamond" w:eastAsia="Garamond" w:hAnsi="Garamond"/>
          <w:b/>
          <w:bCs/>
          <w:i w:val="false"/>
          <w:iCs w:val="false"/>
          <w:color w:val="1B2A4A"/>
          <w:sz w:val="22"/>
          <w:szCs w:val="22"/>
        </w:rPr>
        <w:t xml:space="preserve">BNF and Emergency Declarations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BNF backstop purposes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§10.5.f  </w:t>
      </w:r>
      <w:r>
        <w:rPr>
          <w:rFonts w:ascii="Garamond" w:cs="Garamond" w:eastAsia="Garamond" w:hAnsi="Garamond"/>
          <w:b/>
          <w:bCs/>
          <w:i w:val="false"/>
          <w:iCs w:val="false"/>
          <w:color w:val="1B2A4A"/>
          <w:sz w:val="22"/>
          <w:szCs w:val="22"/>
        </w:rPr>
        <w:t xml:space="preserve">Revolving Door — see §10.5.c</w:t>
      </w:r>
    </w:p>
    <w:p>
      <w:pPr>
        <w:spacing w:after="120" w:before="0"/>
        <w:ind w:left="431"/>
        <w:jc w:val="both"/>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431"/>
        <w:jc w:val="left"/>
      </w:pPr>
      <w:r>
        <w:rPr>
          <w:rFonts w:ascii="Courier New" w:cs="Courier New" w:eastAsia="Courier New" w:hAnsi="Courier New"/>
          <w:b/>
          <w:bCs/>
          <w:color w:val="1B2A4A"/>
          <w:sz w:val="18"/>
          <w:szCs w:val="18"/>
        </w:rPr>
        <w:t xml:space="preserve">§10.7.a  </w:t>
      </w:r>
      <w:r>
        <w:rPr>
          <w:rFonts w:ascii="Garamond" w:cs="Garamond" w:eastAsia="Garamond" w:hAnsi="Garamond"/>
          <w:b/>
          <w:bCs/>
          <w:i w:val="false"/>
          <w:iCs w:val="false"/>
          <w:color w:val="1B2A4A"/>
          <w:sz w:val="22"/>
          <w:szCs w:val="22"/>
        </w:rPr>
        <w:t xml:space="preserve">Jury Service — see §4.5</w:t>
      </w:r>
    </w:p>
    <w:p>
      <w:pPr>
        <w:spacing w:after="120" w:before="0"/>
        <w:ind w:left="431"/>
        <w:jc w:val="both"/>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Electoral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Electoral Commission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Electoral Commission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Electoral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Commission's independence does not place it above accountability.</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Campaign Funding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Campaigns for Electoral Commission seats are publicly funded in full. No private money may be spent on EC campaigns.</w:t>
      </w:r>
    </w:p>
    <w:p>
      <w:pPr>
        <w:spacing w:after="60" w:before="200"/>
        <w:ind w:left="431"/>
        <w:jc w:val="left"/>
      </w:pPr>
      <w:r>
        <w:rPr>
          <w:rFonts w:ascii="Courier New" w:cs="Courier New" w:eastAsia="Courier New" w:hAnsi="Courier New"/>
          <w:b/>
          <w:bCs/>
          <w:color w:val="1B2A4A"/>
          <w:sz w:val="18"/>
          <w:szCs w:val="18"/>
        </w:rPr>
        <w:t xml:space="preserve">§16.5.b  </w:t>
      </w:r>
      <w:r>
        <w:rPr>
          <w:rFonts w:ascii="Garamond" w:cs="Garamond" w:eastAsia="Garamond" w:hAnsi="Garamond"/>
          <w:b/>
          <w:bCs/>
          <w:i w:val="false"/>
          <w:iCs w:val="false"/>
          <w:color w:val="1B2A4A"/>
          <w:sz w:val="22"/>
          <w:szCs w:val="22"/>
        </w:rPr>
        <w:t xml:space="preserve">JI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431"/>
        <w:jc w:val="left"/>
      </w:pPr>
      <w:r>
        <w:rPr>
          <w:rFonts w:ascii="Courier New" w:cs="Courier New" w:eastAsia="Courier New" w:hAnsi="Courier New"/>
          <w:b/>
          <w:bCs/>
          <w:color w:val="1B2A4A"/>
          <w:sz w:val="18"/>
          <w:szCs w:val="18"/>
        </w:rPr>
        <w:t xml:space="preserve">§16.5.c  </w:t>
      </w:r>
      <w:r>
        <w:rPr>
          <w:rFonts w:ascii="Garamond" w:cs="Garamond" w:eastAsia="Garamond" w:hAnsi="Garamond"/>
          <w:b/>
          <w:bCs/>
          <w:i w:val="false"/>
          <w:iCs w:val="false"/>
          <w:color w:val="1B2A4A"/>
          <w:sz w:val="22"/>
          <w:szCs w:val="22"/>
        </w:rPr>
        <w:t xml:space="preserve">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The proximity restriction applies to the removal vote only — Panel-triggered suspension of duties under §16.2.a is not subject to the proximity window.</w:t>
      </w:r>
    </w:p>
    <w:p>
      <w:pPr>
        <w:spacing w:after="60" w:before="200"/>
        <w:ind w:left="431"/>
        <w:jc w:val="left"/>
      </w:pPr>
      <w:r>
        <w:rPr>
          <w:rFonts w:ascii="Courier New" w:cs="Courier New" w:eastAsia="Courier New" w:hAnsi="Courier New"/>
          <w:b/>
          <w:bCs/>
          <w:color w:val="1B2A4A"/>
          <w:sz w:val="18"/>
          <w:szCs w:val="18"/>
        </w:rPr>
        <w:t xml:space="preserve">§16.5.d  </w:t>
      </w:r>
      <w:r>
        <w:rPr>
          <w:rFonts w:ascii="Garamond" w:cs="Garamond" w:eastAsia="Garamond" w:hAnsi="Garamond"/>
          <w:b/>
          <w:bCs/>
          <w:i w:val="false"/>
          <w:iCs w:val="false"/>
          <w:color w:val="1B2A4A"/>
          <w:sz w:val="22"/>
          <w:szCs w:val="22"/>
        </w:rPr>
        <w:t xml:space="preserve">Mid-Term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Electoral Commission Technical Deadlock</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2026-05-21T17:44:04.325Z</dcterms:created>
  <dcterms:modified xsi:type="dcterms:W3CDTF">2026-05-21T17:44:04.325Z</dcterms:modified>
</cp:coreProperties>
</file>

<file path=docProps/custom.xml><?xml version="1.0" encoding="utf-8"?>
<Properties xmlns="http://schemas.openxmlformats.org/officeDocument/2006/custom-properties" xmlns:vt="http://schemas.openxmlformats.org/officeDocument/2006/docPropsVTypes"/>
</file>