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600" w:before="0"/>
        <w:jc w:val="center"/>
      </w:pPr>
      <w:r>
        <w:drawing>
          <wp:inline distT="0" distB="0" distL="0" distR="0">
            <wp:extent cx="100012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1000125"/>
                    </a:xfrm>
                    <a:prstGeom prst="rect">
                      <a:avLst/>
                    </a:prstGeom>
                  </pic:spPr>
                </pic:pic>
              </a:graphicData>
            </a:graphic>
          </wp:inline>
        </w:drawing>
      </w:r>
    </w:p>
    <w:p>
      <w:pPr>
        <w:spacing w:after="200" w:before="0"/>
        <w:jc w:val="center"/>
      </w:pPr>
      <w:r>
        <w:rPr>
          <w:rFonts w:ascii="Garamond" w:cs="Garamond" w:eastAsia="Garamond" w:hAnsi="Garamond"/>
          <w:b/>
          <w:bCs/>
          <w:i w:val="false"/>
          <w:iCs w:val="false"/>
          <w:color w:val="1B2A4A"/>
          <w:sz w:val="44"/>
          <w:szCs w:val="44"/>
        </w:rPr>
        <w:t xml:space="preserve">THE FEDERATED REPUBLIC</w:t>
      </w:r>
    </w:p>
    <w:p>
      <w:pPr>
        <w:spacing w:after="200" w:before="0"/>
        <w:jc w:val="center"/>
      </w:pPr>
      <w:r>
        <w:rPr>
          <w:rFonts w:ascii="Garamond" w:cs="Garamond" w:eastAsia="Garamond" w:hAnsi="Garamond"/>
          <w:b w:val="false"/>
          <w:bCs w:val="false"/>
          <w:i w:val="false"/>
          <w:iCs w:val="false"/>
          <w:color w:val="C9A84C"/>
          <w:sz w:val="32"/>
          <w:szCs w:val="32"/>
        </w:rPr>
        <w:t xml:space="preserve">Constitution</w:t>
      </w:r>
    </w:p>
    <w:p>
      <w:pPr>
        <w:pBdr>
          <w:bottom w:val="single" w:color="C9A84C" w:sz="6" w:space="1"/>
        </w:pBdr>
        <w:spacing w:after="400" w:before="0"/>
        <w:jc w:val="center"/>
      </w:pPr>
      <w:r>
        <w:t xml:space="preserve"/>
      </w:r>
    </w:p>
    <w:p>
      <w:pPr>
        <w:spacing w:after="800" w:before="0"/>
        <w:jc w:val="center"/>
      </w:pPr>
      <w:r>
        <w:rPr>
          <w:rFonts w:ascii="Garamond" w:cs="Garamond" w:eastAsia="Garamond" w:hAnsi="Garamond"/>
          <w:b w:val="false"/>
          <w:bCs w:val="false"/>
          <w:i w:val="false"/>
          <w:iCs w:val="false"/>
          <w:color w:val="7a7060"/>
          <w:sz w:val="22"/>
          <w:szCs w:val="22"/>
        </w:rPr>
        <w:t xml:space="preserve">May 2026</w:t>
      </w:r>
    </w:p>
    <w:p>
      <w:pPr>
        <w:spacing w:after="200" w:before="0"/>
        <w:jc w:val="center"/>
      </w:pPr>
      <w:r>
        <w:rPr>
          <w:rFonts w:ascii="Courier New" w:cs="Courier New" w:eastAsia="Courier New" w:hAnsi="Courier New"/>
          <w:b w:val="false"/>
          <w:bCs w:val="false"/>
          <w:color w:val="7a7060"/>
          <w:sz w:val="18"/>
          <w:szCs w:val="18"/>
        </w:rPr>
        <w:t xml:space="preserve">thefederatedrepublic.org</w:t>
      </w:r>
    </w:p>
    <w:p>
      <w:pPr>
        <w:spacing w:after="0" w:before="0"/>
      </w:pPr>
      <w:r>
        <w:br/>
        <w:t xml:space="preserve"/>
      </w:r>
    </w:p>
    <w:p>
      <w:pPr>
        <w:spacing w:after="240" w:before="480"/>
      </w:pPr>
      <w:r>
        <w:rPr>
          <w:rFonts w:ascii="Garamond" w:cs="Garamond" w:eastAsia="Garamond" w:hAnsi="Garamond"/>
          <w:b/>
          <w:bCs/>
          <w:i w:val="false"/>
          <w:iCs w:val="false"/>
          <w:color w:val="1B2A4A"/>
          <w:sz w:val="32"/>
          <w:szCs w:val="32"/>
        </w:rPr>
        <w:t xml:space="preserve">Preamble</w:t>
      </w:r>
    </w:p>
    <w:p>
      <w:pPr>
        <w:spacing w:after="480" w:before="0"/>
        <w:jc w:val="both"/>
      </w:pPr>
      <w:r>
        <w:rPr>
          <w:rFonts w:ascii="Garamond" w:cs="Garamond" w:eastAsia="Garamond" w:hAnsi="Garamond"/>
          <w:b w:val="false"/>
          <w:bCs w:val="false"/>
          <w:i/>
          <w:iCs/>
          <w:color w:val="2a2520"/>
          <w:sz w:val="24"/>
          <w:szCs w:val="24"/>
        </w:rPr>
        <w:t xml:space="preserve">We, the people of the Federated Republic, recognising that legitimate government derives its authority solely from the consent of the governed; that individual rights precede and constrain all governmental authority; that transparency and accountability are prerequisites for democratic legitimacy; and that the diversity of our communities and the integrity of our federation are both worth protecting — do ordain and establish this Constitution.</w:t>
      </w:r>
    </w:p>
    <w:p>
      <w:pPr>
        <w:spacing w:after="60" w:before="200"/>
        <w:jc w:val="left"/>
      </w:pPr>
      <w:r>
        <w:rPr>
          <w:rFonts w:ascii="Garamond" w:cs="Garamond" w:eastAsia="Garamond" w:hAnsi="Garamond"/>
          <w:b/>
          <w:bCs/>
          <w:i w:val="false"/>
          <w:iCs w:val="false"/>
          <w:color w:val="1B2A4A"/>
          <w:sz w:val="34"/>
          <w:szCs w:val="34"/>
        </w:rPr>
        <w:t xml:space="preserve">Article I — Individual Sovereignty and Rights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§1.1  </w:t>
      </w:r>
      <w:r>
        <w:rPr>
          <w:rFonts w:ascii="Garamond" w:cs="Garamond" w:eastAsia="Garamond" w:hAnsi="Garamond"/>
          <w:b/>
          <w:bCs/>
          <w:i w:val="false"/>
          <w:iCs w:val="false"/>
          <w:color w:val="1B2A4A"/>
          <w:sz w:val="22"/>
          <w:szCs w:val="22"/>
        </w:rPr>
        <w:t xml:space="preserve">Right of Access to Courts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may seek legal remedy for any rights violation — a self-executing right that courts may not make meaninglessly expensive through procedural costs. If the Legislature fails to fund legal aid, courts appoint counsel at public expense until a statutory framework exists — the self-executing default ensures the right is never purely nominal.</w:t>
      </w:r>
    </w:p>
    <w:p>
      <w:pPr>
        <w:spacing w:after="60" w:before="200"/>
        <w:ind w:left="431"/>
        <w:jc w:val="left"/>
      </w:pPr>
      <w:r>
        <w:rPr>
          <w:rFonts w:ascii="Courier New" w:cs="Courier New" w:eastAsia="Courier New" w:hAnsi="Courier New"/>
          <w:b/>
          <w:bCs/>
          <w:color w:val="1B2A4A"/>
          <w:sz w:val="18"/>
          <w:szCs w:val="18"/>
        </w:rPr>
        <w:t xml:space="preserve">§1.2  </w:t>
      </w:r>
      <w:r>
        <w:rPr>
          <w:rFonts w:ascii="Garamond" w:cs="Garamond" w:eastAsia="Garamond" w:hAnsi="Garamond"/>
          <w:b/>
          <w:bCs/>
          <w:i w:val="false"/>
          <w:iCs w:val="false"/>
          <w:color w:val="1B2A4A"/>
          <w:sz w:val="22"/>
          <w:szCs w:val="22"/>
        </w:rPr>
        <w:t xml:space="preserve">Individual Sovereignty Floor</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an individual sovereignty that government authority may limit only as this Constitution permits — and may never eliminate. No official, institution, or emergency suspends this floor. The State may deprive a person of life only as the lawful consequence of a sentence imposed by a court following conviction. Any method a legislature permits remains subject to §1.11's prohibition on cruel, degrading, or inhumane treatment. The State's obligations attach from the moment of live birth.</w:t>
      </w:r>
    </w:p>
    <w:p>
      <w:pPr>
        <w:spacing w:after="60" w:before="200"/>
        <w:ind w:left="431"/>
        <w:jc w:val="left"/>
      </w:pPr>
      <w:r>
        <w:rPr>
          <w:rFonts w:ascii="Courier New" w:cs="Courier New" w:eastAsia="Courier New" w:hAnsi="Courier New"/>
          <w:b/>
          <w:bCs/>
          <w:color w:val="1B2A4A"/>
          <w:sz w:val="18"/>
          <w:szCs w:val="18"/>
        </w:rPr>
        <w:t xml:space="preserve">§1.3  </w:t>
      </w:r>
      <w:r>
        <w:rPr>
          <w:rFonts w:ascii="Garamond" w:cs="Garamond" w:eastAsia="Garamond" w:hAnsi="Garamond"/>
          <w:b/>
          <w:bCs/>
          <w:i w:val="false"/>
          <w:iCs w:val="false"/>
          <w:color w:val="1B2A4A"/>
          <w:sz w:val="22"/>
          <w:szCs w:val="22"/>
        </w:rPr>
        <w:t xml:space="preserve">Prohibition of Torture and Cruel Treatment</w:t>
      </w:r>
    </w:p>
    <w:p>
      <w:pPr>
        <w:spacing w:after="120" w:before="0"/>
        <w:ind w:left="431"/>
        <w:jc w:val="both"/>
      </w:pPr>
      <w:r>
        <w:rPr>
          <w:rFonts w:ascii="Garamond" w:cs="Garamond" w:eastAsia="Garamond" w:hAnsi="Garamond"/>
          <w:b w:val="false"/>
          <w:bCs w:val="false"/>
          <w:i w:val="false"/>
          <w:iCs w:val="false"/>
          <w:color w:val="2a2520"/>
          <w:sz w:val="22"/>
          <w:szCs w:val="22"/>
        </w:rPr>
        <w:t xml:space="preserve">Absolute prohibition on torture, cruel treatment, and degrading punishment. No exception exists — not for national security, not for emergency, not for military operations. One of six permanently unamendable provisions under §15.3.a.</w:t>
      </w:r>
    </w:p>
    <w:p>
      <w:pPr>
        <w:spacing w:after="60" w:before="200"/>
        <w:ind w:left="431"/>
        <w:jc w:val="left"/>
      </w:pPr>
      <w:r>
        <w:rPr>
          <w:rFonts w:ascii="Courier New" w:cs="Courier New" w:eastAsia="Courier New" w:hAnsi="Courier New"/>
          <w:b/>
          <w:bCs/>
          <w:color w:val="1B2A4A"/>
          <w:sz w:val="18"/>
          <w:szCs w:val="18"/>
        </w:rPr>
        <w:t xml:space="preserve">§1.4  </w:t>
      </w:r>
      <w:r>
        <w:rPr>
          <w:rFonts w:ascii="Garamond" w:cs="Garamond" w:eastAsia="Garamond" w:hAnsi="Garamond"/>
          <w:b/>
          <w:bCs/>
          <w:i w:val="false"/>
          <w:iCs w:val="false"/>
          <w:color w:val="1B2A4A"/>
          <w:sz w:val="22"/>
          <w:szCs w:val="22"/>
        </w:rPr>
        <w:t xml:space="preserve">Prohibition of Slavery and Forced Labor</w:t>
      </w:r>
    </w:p>
    <w:p>
      <w:pPr>
        <w:spacing w:after="120" w:before="0"/>
        <w:ind w:left="431"/>
        <w:jc w:val="both"/>
      </w:pPr>
      <w:r>
        <w:rPr>
          <w:rFonts w:ascii="Garamond" w:cs="Garamond" w:eastAsia="Garamond" w:hAnsi="Garamond"/>
          <w:b w:val="false"/>
          <w:bCs w:val="false"/>
          <w:i w:val="false"/>
          <w:iCs w:val="false"/>
          <w:color w:val="2a2520"/>
          <w:sz w:val="22"/>
          <w:szCs w:val="22"/>
        </w:rPr>
        <w:t xml:space="preserve">Slavery, forced labor, debt bondage, and compelled service are prohibited absolutely and in all forms. The prohibition extends to all persons within the Republic's jurisdiction, not merely to citizens. Jury service required under §4.5 and lawful sentences of community service imposed by a court do not constitute forced labor under this provision.</w:t>
      </w:r>
    </w:p>
    <w:p>
      <w:pPr>
        <w:spacing w:after="60" w:before="200"/>
        <w:ind w:left="431"/>
        <w:jc w:val="left"/>
      </w:pPr>
      <w:r>
        <w:rPr>
          <w:rFonts w:ascii="Courier New" w:cs="Courier New" w:eastAsia="Courier New" w:hAnsi="Courier New"/>
          <w:b/>
          <w:bCs/>
          <w:color w:val="1B2A4A"/>
          <w:sz w:val="18"/>
          <w:szCs w:val="18"/>
        </w:rPr>
        <w:t xml:space="preserve">§1.5  </w:t>
      </w:r>
      <w:r>
        <w:rPr>
          <w:rFonts w:ascii="Garamond" w:cs="Garamond" w:eastAsia="Garamond" w:hAnsi="Garamond"/>
          <w:b/>
          <w:bCs/>
          <w:i w:val="false"/>
          <w:iCs w:val="false"/>
          <w:color w:val="1B2A4A"/>
          <w:sz w:val="22"/>
          <w:szCs w:val="22"/>
        </w:rPr>
        <w:t xml:space="preserve">Freedom of Expression</w:t>
      </w:r>
    </w:p>
    <w:p>
      <w:pPr>
        <w:spacing w:after="120" w:before="0"/>
        <w:ind w:left="431"/>
        <w:jc w:val="both"/>
      </w:pPr>
      <w:r>
        <w:rPr>
          <w:rFonts w:ascii="Garamond" w:cs="Garamond" w:eastAsia="Garamond" w:hAnsi="Garamond"/>
          <w:b w:val="false"/>
          <w:bCs w:val="false"/>
          <w:i w:val="false"/>
          <w:iCs w:val="false"/>
          <w:color w:val="2a2520"/>
          <w:sz w:val="22"/>
          <w:szCs w:val="22"/>
        </w:rPr>
        <w:t xml:space="preserve">No branch, agency, official, or instrumentality of the Republic or any State may abridge the freedom of speech, press, or assembly in any medium — physical or digital.</w:t>
      </w:r>
    </w:p>
    <w:p>
      <w:pPr>
        <w:spacing w:after="60" w:before="200"/>
        <w:ind w:left="431"/>
        <w:jc w:val="left"/>
      </w:pPr>
      <w:r>
        <w:rPr>
          <w:rFonts w:ascii="Courier New" w:cs="Courier New" w:eastAsia="Courier New" w:hAnsi="Courier New"/>
          <w:b/>
          <w:bCs/>
          <w:color w:val="1B2A4A"/>
          <w:sz w:val="18"/>
          <w:szCs w:val="18"/>
        </w:rPr>
        <w:t xml:space="preserve">§1.5.a  </w:t>
      </w:r>
      <w:r>
        <w:rPr>
          <w:rFonts w:ascii="Garamond" w:cs="Garamond" w:eastAsia="Garamond" w:hAnsi="Garamond"/>
          <w:b/>
          <w:bCs/>
          <w:i w:val="false"/>
          <w:iCs w:val="false"/>
          <w:color w:val="1B2A4A"/>
          <w:sz w:val="22"/>
          <w:szCs w:val="22"/>
        </w:rPr>
        <w:t xml:space="preserve">Censorship by Proxy</w:t>
      </w:r>
    </w:p>
    <w:p>
      <w:pPr>
        <w:spacing w:after="120" w:before="0"/>
        <w:ind w:left="431"/>
        <w:jc w:val="both"/>
      </w:pPr>
      <w:r>
        <w:rPr>
          <w:rFonts w:ascii="Garamond" w:cs="Garamond" w:eastAsia="Garamond" w:hAnsi="Garamond"/>
          <w:b w:val="false"/>
          <w:bCs w:val="false"/>
          <w:i w:val="false"/>
          <w:iCs w:val="false"/>
          <w:color w:val="2a2520"/>
          <w:sz w:val="22"/>
          <w:szCs w:val="22"/>
        </w:rPr>
        <w:t xml:space="preserve">Government actors may not pressure, incentivize, or coerce private platforms or institutions to suppress speech on their behalf. Such an act constitutes the same constitutional violation as direct censorship. This prohibition applies equally to digital and physical media. Government may not impose viewpoint-based conditions on benefits, contracts, or licensing.</w:t>
      </w:r>
    </w:p>
    <w:p>
      <w:pPr>
        <w:spacing w:after="60" w:before="200"/>
        <w:ind w:left="431"/>
        <w:jc w:val="left"/>
      </w:pPr>
      <w:r>
        <w:rPr>
          <w:rFonts w:ascii="Courier New" w:cs="Courier New" w:eastAsia="Courier New" w:hAnsi="Courier New"/>
          <w:b/>
          <w:bCs/>
          <w:color w:val="1B2A4A"/>
          <w:sz w:val="18"/>
          <w:szCs w:val="18"/>
        </w:rPr>
        <w:t xml:space="preserve">§1.6  </w:t>
      </w:r>
      <w:r>
        <w:rPr>
          <w:rFonts w:ascii="Garamond" w:cs="Garamond" w:eastAsia="Garamond" w:hAnsi="Garamond"/>
          <w:b/>
          <w:bCs/>
          <w:i w:val="false"/>
          <w:iCs w:val="false"/>
          <w:color w:val="1B2A4A"/>
          <w:sz w:val="22"/>
          <w:szCs w:val="22"/>
        </w:rPr>
        <w:t xml:space="preserve">Freedom of Thought, Conscience, and Religion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has the right to hold, practice, change, or decline any belief and to manifest it through worship, observance, practice, and teaching. No person may be compelled to participate in any religious observance contrary to their beliefs. Free exercise does not authorize harm to others and creates no exemption from laws protecting other enumerated rights.</w:t>
      </w:r>
    </w:p>
    <w:p>
      <w:pPr>
        <w:spacing w:after="60" w:before="200"/>
        <w:ind w:left="431"/>
        <w:jc w:val="left"/>
      </w:pPr>
      <w:r>
        <w:rPr>
          <w:rFonts w:ascii="Courier New" w:cs="Courier New" w:eastAsia="Courier New" w:hAnsi="Courier New"/>
          <w:b/>
          <w:bCs/>
          <w:color w:val="1B2A4A"/>
          <w:sz w:val="18"/>
          <w:szCs w:val="18"/>
        </w:rPr>
        <w:t xml:space="preserve">§1.6.a  </w:t>
      </w:r>
      <w:r>
        <w:rPr>
          <w:rFonts w:ascii="Garamond" w:cs="Garamond" w:eastAsia="Garamond" w:hAnsi="Garamond"/>
          <w:b/>
          <w:bCs/>
          <w:i w:val="false"/>
          <w:iCs w:val="false"/>
          <w:color w:val="1B2A4A"/>
          <w:sz w:val="22"/>
          <w:szCs w:val="22"/>
        </w:rPr>
        <w:t xml:space="preserve">Separation of Church and State</w:t>
      </w:r>
    </w:p>
    <w:p>
      <w:pPr>
        <w:spacing w:after="120" w:before="0"/>
        <w:ind w:left="431"/>
        <w:jc w:val="both"/>
      </w:pPr>
      <w:r>
        <w:rPr>
          <w:rFonts w:ascii="Garamond" w:cs="Garamond" w:eastAsia="Garamond" w:hAnsi="Garamond"/>
          <w:b w:val="false"/>
          <w:bCs w:val="false"/>
          <w:i w:val="false"/>
          <w:iCs w:val="false"/>
          <w:color w:val="2a2520"/>
          <w:sz w:val="22"/>
          <w:szCs w:val="22"/>
        </w:rPr>
        <w:t xml:space="preserve">No religion may be established by law, and public funds directed to religious organizations must comply with the equality requirements of §1.9. The separation of church and state is structural, not merely preferential.</w:t>
      </w:r>
    </w:p>
    <w:p>
      <w:pPr>
        <w:spacing w:after="60" w:before="200"/>
        <w:ind w:left="431"/>
        <w:jc w:val="left"/>
      </w:pPr>
      <w:r>
        <w:rPr>
          <w:rFonts w:ascii="Courier New" w:cs="Courier New" w:eastAsia="Courier New" w:hAnsi="Courier New"/>
          <w:b/>
          <w:bCs/>
          <w:color w:val="1B2A4A"/>
          <w:sz w:val="18"/>
          <w:szCs w:val="18"/>
        </w:rPr>
        <w:t xml:space="preserve">§1.7  </w:t>
      </w:r>
      <w:r>
        <w:rPr>
          <w:rFonts w:ascii="Garamond" w:cs="Garamond" w:eastAsia="Garamond" w:hAnsi="Garamond"/>
          <w:b/>
          <w:bCs/>
          <w:i w:val="false"/>
          <w:iCs w:val="false"/>
          <w:color w:val="1B2A4A"/>
          <w:sz w:val="22"/>
          <w:szCs w:val="22"/>
        </w:rPr>
        <w:t xml:space="preserve">Freedom of Association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has the right to freely associate with others for any lawful purpose — including political parties, trade unions, civic organizations, and professional associations. The State may not compel membership as a condition of employment or civic participation, nor prohibit any association solely on ideological grounds unless it advocates violent overthrow of this Constitution or the denial of enumerated rights.</w:t>
      </w:r>
    </w:p>
    <w:p>
      <w:pPr>
        <w:spacing w:after="60" w:before="200"/>
        <w:ind w:left="431"/>
        <w:jc w:val="left"/>
      </w:pPr>
      <w:r>
        <w:rPr>
          <w:rFonts w:ascii="Courier New" w:cs="Courier New" w:eastAsia="Courier New" w:hAnsi="Courier New"/>
          <w:b/>
          <w:bCs/>
          <w:color w:val="1B2A4A"/>
          <w:sz w:val="18"/>
          <w:szCs w:val="18"/>
        </w:rPr>
        <w:t xml:space="preserve">§1.8  </w:t>
      </w:r>
      <w:r>
        <w:rPr>
          <w:rFonts w:ascii="Garamond" w:cs="Garamond" w:eastAsia="Garamond" w:hAnsi="Garamond"/>
          <w:b/>
          <w:bCs/>
          <w:i w:val="false"/>
          <w:iCs w:val="false"/>
          <w:color w:val="1B2A4A"/>
          <w:sz w:val="22"/>
          <w:szCs w:val="22"/>
        </w:rPr>
        <w:t xml:space="preserve">Right to Petition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Inhabitant has the right to petition any branch of government on any matter of public or personal concern. All petitions must receive a formal response within a Legislature-defined period. The subject and status of petitions are published to the National Record System; petitioner identity is withheld where the petitioner requests anonymity. The right includes the right to file formal complaints against government officials and agencies.</w:t>
      </w:r>
    </w:p>
    <w:p>
      <w:pPr>
        <w:spacing w:after="60" w:before="200"/>
        <w:ind w:left="431"/>
        <w:jc w:val="left"/>
      </w:pPr>
      <w:r>
        <w:rPr>
          <w:rFonts w:ascii="Courier New" w:cs="Courier New" w:eastAsia="Courier New" w:hAnsi="Courier New"/>
          <w:b/>
          <w:bCs/>
          <w:color w:val="1B2A4A"/>
          <w:sz w:val="18"/>
          <w:szCs w:val="18"/>
        </w:rPr>
        <w:t xml:space="preserve">§1.9  </w:t>
      </w:r>
      <w:r>
        <w:rPr>
          <w:rFonts w:ascii="Garamond" w:cs="Garamond" w:eastAsia="Garamond" w:hAnsi="Garamond"/>
          <w:b/>
          <w:bCs/>
          <w:i w:val="false"/>
          <w:iCs w:val="false"/>
          <w:color w:val="1B2A4A"/>
          <w:sz w:val="22"/>
          <w:szCs w:val="22"/>
        </w:rPr>
        <w:t xml:space="preserve">Equality and Non-Discrimination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is equal before the law. No person may be discriminated against on the basis of the enumerated characteristics. Distinctions based on race, ethnicity, religion, sex, sexual orientation, gender identity, national origin, or disability are presumptively unconstitutional, requiring a compelling government purpose achievable by no less discriminatory means. Distinctions based on age or economic status require only rational connection to a legitimate purpose.</w:t>
      </w:r>
    </w:p>
    <w:p>
      <w:pPr>
        <w:spacing w:after="60" w:before="200"/>
        <w:ind w:left="431"/>
        <w:jc w:val="left"/>
      </w:pPr>
      <w:r>
        <w:rPr>
          <w:rFonts w:ascii="Courier New" w:cs="Courier New" w:eastAsia="Courier New" w:hAnsi="Courier New"/>
          <w:b/>
          <w:bCs/>
          <w:color w:val="1B2A4A"/>
          <w:sz w:val="18"/>
          <w:szCs w:val="18"/>
        </w:rPr>
        <w:t xml:space="preserve">§1.10  </w:t>
      </w:r>
      <w:r>
        <w:rPr>
          <w:rFonts w:ascii="Garamond" w:cs="Garamond" w:eastAsia="Garamond" w:hAnsi="Garamond"/>
          <w:b/>
          <w:bCs/>
          <w:i w:val="false"/>
          <w:iCs w:val="false"/>
          <w:color w:val="1B2A4A"/>
          <w:sz w:val="22"/>
          <w:szCs w:val="22"/>
        </w:rPr>
        <w:t xml:space="preserve">Bodily Autonomy and Digital Privacy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bodily and digital sovereignty against government intrusion. No government actor may compel medical procedures, appropriate personal data, or obtain cryptographic keys without express constitutional authorization.</w:t>
      </w:r>
    </w:p>
    <w:p>
      <w:pPr>
        <w:spacing w:after="60" w:before="200"/>
        <w:ind w:left="431"/>
        <w:jc w:val="left"/>
      </w:pPr>
      <w:r>
        <w:rPr>
          <w:rFonts w:ascii="Courier New" w:cs="Courier New" w:eastAsia="Courier New" w:hAnsi="Courier New"/>
          <w:b/>
          <w:bCs/>
          <w:color w:val="1B2A4A"/>
          <w:sz w:val="18"/>
          <w:szCs w:val="18"/>
        </w:rPr>
        <w:t xml:space="preserve">§1.10.a  </w:t>
      </w:r>
      <w:r>
        <w:rPr>
          <w:rFonts w:ascii="Garamond" w:cs="Garamond" w:eastAsia="Garamond" w:hAnsi="Garamond"/>
          <w:b/>
          <w:bCs/>
          <w:i w:val="false"/>
          <w:iCs w:val="false"/>
          <w:color w:val="1B2A4A"/>
          <w:sz w:val="22"/>
          <w:szCs w:val="22"/>
        </w:rPr>
        <w:t xml:space="preserve">Physical Sovereignty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200"/>
        <w:ind w:left="431"/>
        <w:jc w:val="left"/>
      </w:pPr>
      <w:r>
        <w:rPr>
          <w:rFonts w:ascii="Courier New" w:cs="Courier New" w:eastAsia="Courier New" w:hAnsi="Courier New"/>
          <w:b/>
          <w:bCs/>
          <w:color w:val="1B2A4A"/>
          <w:sz w:val="18"/>
          <w:szCs w:val="18"/>
        </w:rPr>
        <w:t xml:space="preserve">§1.10.b  </w:t>
      </w:r>
      <w:r>
        <w:rPr>
          <w:rFonts w:ascii="Garamond" w:cs="Garamond" w:eastAsia="Garamond" w:hAnsi="Garamond"/>
          <w:b/>
          <w:bCs/>
          <w:i w:val="false"/>
          <w:iCs w:val="false"/>
          <w:color w:val="1B2A4A"/>
          <w:sz w:val="22"/>
          <w:szCs w:val="22"/>
        </w:rPr>
        <w:t xml:space="preserve">Data Ownership</w:t>
      </w:r>
    </w:p>
    <w:p>
      <w:pPr>
        <w:spacing w:after="120" w:before="0"/>
        <w:ind w:left="431"/>
        <w:jc w:val="both"/>
      </w:pPr>
      <w:r>
        <w:rPr>
          <w:rFonts w:ascii="Garamond" w:cs="Garamond" w:eastAsia="Garamond" w:hAnsi="Garamond"/>
          <w:b w:val="false"/>
          <w:bCs w:val="false"/>
          <w:i w:val="false"/>
          <w:iCs w:val="false"/>
          <w:color w:val="2a252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w:t>
      </w:r>
    </w:p>
    <w:p>
      <w:pPr>
        <w:spacing w:after="60" w:before="200"/>
        <w:ind w:left="431"/>
        <w:jc w:val="left"/>
      </w:pPr>
      <w:r>
        <w:rPr>
          <w:rFonts w:ascii="Courier New" w:cs="Courier New" w:eastAsia="Courier New" w:hAnsi="Courier New"/>
          <w:b/>
          <w:bCs/>
          <w:color w:val="1B2A4A"/>
          <w:sz w:val="18"/>
          <w:szCs w:val="18"/>
        </w:rPr>
        <w:t xml:space="preserve">§1.10.c  </w:t>
      </w:r>
      <w:r>
        <w:rPr>
          <w:rFonts w:ascii="Garamond" w:cs="Garamond" w:eastAsia="Garamond" w:hAnsi="Garamond"/>
          <w:b/>
          <w:bCs/>
          <w:i w:val="false"/>
          <w:iCs w:val="false"/>
          <w:color w:val="1B2A4A"/>
          <w:sz w:val="22"/>
          <w:szCs w:val="22"/>
        </w:rPr>
        <w:t xml:space="preserve">Encryption Protection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Cryptographic keys are private property. No court or agency may compel their disclosure.</w:t>
      </w:r>
    </w:p>
    <w:p>
      <w:pPr>
        <w:spacing w:after="60" w:before="200"/>
        <w:ind w:left="431"/>
        <w:jc w:val="left"/>
      </w:pPr>
      <w:r>
        <w:rPr>
          <w:rFonts w:ascii="Courier New" w:cs="Courier New" w:eastAsia="Courier New" w:hAnsi="Courier New"/>
          <w:b/>
          <w:bCs/>
          <w:color w:val="1B2A4A"/>
          <w:sz w:val="18"/>
          <w:szCs w:val="18"/>
        </w:rPr>
        <w:t xml:space="preserve">§1.11  </w:t>
      </w:r>
      <w:r>
        <w:rPr>
          <w:rFonts w:ascii="Garamond" w:cs="Garamond" w:eastAsia="Garamond" w:hAnsi="Garamond"/>
          <w:b/>
          <w:bCs/>
          <w:i w:val="false"/>
          <w:iCs w:val="false"/>
          <w:color w:val="1B2A4A"/>
          <w:sz w:val="22"/>
          <w:szCs w:val="22"/>
        </w:rPr>
        <w:t xml:space="preserve">Inviolability of the Home and Property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person's home is inviolable against government access without judicial warrant. Private property may not be taken except by absolute public necessity under the conditions of §1.11.b. The definition of "home" for purposes of this provision is established in §1.11.a.</w:t>
      </w:r>
    </w:p>
    <w:p>
      <w:pPr>
        <w:spacing w:after="60" w:before="200"/>
        <w:ind w:left="431"/>
        <w:jc w:val="left"/>
      </w:pPr>
      <w:r>
        <w:rPr>
          <w:rFonts w:ascii="Courier New" w:cs="Courier New" w:eastAsia="Courier New" w:hAnsi="Courier New"/>
          <w:b/>
          <w:bCs/>
          <w:color w:val="1B2A4A"/>
          <w:sz w:val="18"/>
          <w:szCs w:val="18"/>
        </w:rPr>
        <w:t xml:space="preserve">§1.11.a  </w:t>
      </w:r>
      <w:r>
        <w:rPr>
          <w:rFonts w:ascii="Garamond" w:cs="Garamond" w:eastAsia="Garamond" w:hAnsi="Garamond"/>
          <w:b/>
          <w:bCs/>
          <w:i w:val="false"/>
          <w:iCs w:val="false"/>
          <w:color w:val="1B2A4A"/>
          <w:sz w:val="22"/>
          <w:szCs w:val="22"/>
        </w:rPr>
        <w:t xml:space="preserve">Home and Digital Privacy</w:t>
      </w:r>
    </w:p>
    <w:p>
      <w:pPr>
        <w:spacing w:after="120" w:before="0"/>
        <w:ind w:left="431"/>
        <w:jc w:val="both"/>
      </w:pPr>
      <w:r>
        <w:rPr>
          <w:rFonts w:ascii="Garamond" w:cs="Garamond" w:eastAsia="Garamond" w:hAnsi="Garamond"/>
          <w:b w:val="false"/>
          <w:bCs w:val="false"/>
          <w:i w:val="false"/>
          <w:iCs w:val="false"/>
          <w:color w:val="2a2520"/>
          <w:sz w:val="22"/>
          <w:szCs w:val="22"/>
        </w:rPr>
        <w:t xml:space="preserve">'Home' extends to all physical residences and all digital spaces secured by private cryptographic keys. Access requires a warrant specifying the precise data target or physical space, verified on the NRS before execution. General warrants — broad or unspecified authorizations — are absolutely prohibited.</w:t>
      </w:r>
    </w:p>
    <w:p>
      <w:pPr>
        <w:spacing w:after="60" w:before="200"/>
        <w:ind w:left="431"/>
        <w:jc w:val="left"/>
      </w:pPr>
      <w:r>
        <w:rPr>
          <w:rFonts w:ascii="Courier New" w:cs="Courier New" w:eastAsia="Courier New" w:hAnsi="Courier New"/>
          <w:b/>
          <w:bCs/>
          <w:color w:val="1B2A4A"/>
          <w:sz w:val="18"/>
          <w:szCs w:val="18"/>
        </w:rPr>
        <w:t xml:space="preserve">§1.11.b  </w:t>
      </w:r>
      <w:r>
        <w:rPr>
          <w:rFonts w:ascii="Garamond" w:cs="Garamond" w:eastAsia="Garamond" w:hAnsi="Garamond"/>
          <w:b/>
          <w:bCs/>
          <w:i w:val="false"/>
          <w:iCs w:val="false"/>
          <w:color w:val="1B2A4A"/>
          <w:sz w:val="22"/>
          <w:szCs w:val="22"/>
        </w:rPr>
        <w:t xml:space="preserve">Eminent Domain</w:t>
      </w:r>
    </w:p>
    <w:p>
      <w:pPr>
        <w:spacing w:after="120" w:before="0"/>
        <w:ind w:left="431"/>
        <w:jc w:val="both"/>
      </w:pPr>
      <w:r>
        <w:rPr>
          <w:rFonts w:ascii="Garamond" w:cs="Garamond" w:eastAsia="Garamond" w:hAnsi="Garamond"/>
          <w:b w:val="false"/>
          <w:bCs w:val="false"/>
          <w:i w:val="false"/>
          <w:iCs w:val="false"/>
          <w:color w:val="2a2520"/>
          <w:sz w:val="22"/>
          <w:szCs w:val="22"/>
        </w:rPr>
        <w:t xml:space="preserve">Seizure of private property requires proof of absolute public necessity, payment of 150% of fair market value, and NRS publication. Private-to-private transfer via eminent domain — using government condemnation to benefit another private party — is constitutionally prohibited.</w:t>
      </w:r>
    </w:p>
    <w:p>
      <w:pPr>
        <w:spacing w:after="60" w:before="200"/>
        <w:ind w:left="431"/>
        <w:jc w:val="left"/>
      </w:pPr>
      <w:r>
        <w:rPr>
          <w:rFonts w:ascii="Courier New" w:cs="Courier New" w:eastAsia="Courier New" w:hAnsi="Courier New"/>
          <w:b/>
          <w:bCs/>
          <w:color w:val="1B2A4A"/>
          <w:sz w:val="18"/>
          <w:szCs w:val="18"/>
        </w:rPr>
        <w:t xml:space="preserve">§1.12  </w:t>
      </w:r>
      <w:r>
        <w:rPr>
          <w:rFonts w:ascii="Garamond" w:cs="Garamond" w:eastAsia="Garamond" w:hAnsi="Garamond"/>
          <w:b/>
          <w:bCs/>
          <w:i w:val="false"/>
          <w:iCs w:val="false"/>
          <w:color w:val="1B2A4A"/>
          <w:sz w:val="22"/>
          <w:szCs w:val="22"/>
        </w:rPr>
        <w:t xml:space="preserve">Self-Defense and the Right to Bear Arms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right to keep and bear arms for personal defense and hunting must not be infringed. The scope and limits of this right are established in §1.12.a through §1.12.c.</w:t>
      </w:r>
    </w:p>
    <w:p>
      <w:pPr>
        <w:spacing w:after="60" w:before="200"/>
        <w:ind w:left="431"/>
        <w:jc w:val="left"/>
      </w:pPr>
      <w:r>
        <w:rPr>
          <w:rFonts w:ascii="Courier New" w:cs="Courier New" w:eastAsia="Courier New" w:hAnsi="Courier New"/>
          <w:b/>
          <w:bCs/>
          <w:color w:val="1B2A4A"/>
          <w:sz w:val="18"/>
          <w:szCs w:val="18"/>
        </w:rPr>
        <w:t xml:space="preserve">§1.12.a  </w:t>
      </w:r>
      <w:r>
        <w:rPr>
          <w:rFonts w:ascii="Garamond" w:cs="Garamond" w:eastAsia="Garamond" w:hAnsi="Garamond"/>
          <w:b/>
          <w:bCs/>
          <w:i w:val="false"/>
          <w:iCs w:val="false"/>
          <w:color w:val="1B2A4A"/>
          <w:sz w:val="22"/>
          <w:szCs w:val="22"/>
        </w:rPr>
        <w:t xml:space="preserve">Right to Bear Arms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right to keep and bear arms is a personal right held by each individual. It is not a collective right conditional on militia service or membership, and does not require any governmental authorization for keeping arms in the home.</w:t>
      </w:r>
    </w:p>
    <w:p>
      <w:pPr>
        <w:spacing w:after="60" w:before="200"/>
        <w:ind w:left="431"/>
        <w:jc w:val="left"/>
      </w:pPr>
      <w:r>
        <w:rPr>
          <w:rFonts w:ascii="Courier New" w:cs="Courier New" w:eastAsia="Courier New" w:hAnsi="Courier New"/>
          <w:b/>
          <w:bCs/>
          <w:color w:val="1B2A4A"/>
          <w:sz w:val="18"/>
          <w:szCs w:val="18"/>
        </w:rPr>
        <w:t xml:space="preserve">§1.12.b  </w:t>
      </w:r>
      <w:r>
        <w:rPr>
          <w:rFonts w:ascii="Garamond" w:cs="Garamond" w:eastAsia="Garamond" w:hAnsi="Garamond"/>
          <w:b/>
          <w:bCs/>
          <w:i w:val="false"/>
          <w:iCs w:val="false"/>
          <w:color w:val="1B2A4A"/>
          <w:sz w:val="22"/>
          <w:szCs w:val="22"/>
        </w:rPr>
        <w:t xml:space="preserve">State Licensing Latitude</w:t>
      </w:r>
    </w:p>
    <w:p>
      <w:pPr>
        <w:spacing w:after="120" w:before="0"/>
        <w:ind w:left="431"/>
        <w:jc w:val="both"/>
      </w:pPr>
      <w:r>
        <w:rPr>
          <w:rFonts w:ascii="Garamond" w:cs="Garamond" w:eastAsia="Garamond" w:hAnsi="Garamond"/>
          <w:b w:val="false"/>
          <w:bCs w:val="false"/>
          <w:i w:val="false"/>
          <w:iCs w:val="false"/>
          <w:color w:val="2a2520"/>
          <w:sz w:val="22"/>
          <w:szCs w:val="22"/>
        </w:rPr>
        <w:t xml:space="preserve">States may establish licensing and safety training requirements as a condition of carrying or possessing firearms. States may regulate the exercise of the right but may not use regulation as a prohibition by another name.</w:t>
      </w:r>
    </w:p>
    <w:p>
      <w:pPr>
        <w:spacing w:after="60" w:before="200"/>
        <w:ind w:left="431"/>
        <w:jc w:val="left"/>
      </w:pPr>
      <w:r>
        <w:rPr>
          <w:rFonts w:ascii="Courier New" w:cs="Courier New" w:eastAsia="Courier New" w:hAnsi="Courier New"/>
          <w:b/>
          <w:bCs/>
          <w:color w:val="1B2A4A"/>
          <w:sz w:val="18"/>
          <w:szCs w:val="18"/>
        </w:rPr>
        <w:t xml:space="preserve">§1.12.c  </w:t>
      </w:r>
      <w:r>
        <w:rPr>
          <w:rFonts w:ascii="Garamond" w:cs="Garamond" w:eastAsia="Garamond" w:hAnsi="Garamond"/>
          <w:b/>
          <w:bCs/>
          <w:i w:val="false"/>
          <w:iCs w:val="false"/>
          <w:color w:val="1B2A4A"/>
          <w:sz w:val="22"/>
          <w:szCs w:val="22"/>
        </w:rPr>
        <w:t xml:space="preserve">Non-Prohibition Principle</w:t>
      </w:r>
    </w:p>
    <w:p>
      <w:pPr>
        <w:spacing w:after="120" w:before="0"/>
        <w:ind w:left="431"/>
        <w:jc w:val="both"/>
      </w:pPr>
      <w:r>
        <w:rPr>
          <w:rFonts w:ascii="Garamond" w:cs="Garamond" w:eastAsia="Garamond" w:hAnsi="Garamond"/>
          <w:b w:val="false"/>
          <w:bCs w:val="false"/>
          <w:i w:val="false"/>
          <w:iCs w:val="false"/>
          <w:color w:val="2a2520"/>
          <w:sz w:val="22"/>
          <w:szCs w:val="22"/>
        </w:rPr>
        <w:t xml:space="preserve">No State requirement may function as an effective prohibition on keeping or bearing arms. A requirement is an effective prohibition if it imposes costs, delays, or conditions that make lawful ownership practically inaccessible to ordinary citizens. The burden of proof lies with the State to demonstrate proportionality.</w:t>
      </w:r>
    </w:p>
    <w:p>
      <w:pPr>
        <w:spacing w:after="60" w:before="200"/>
        <w:ind w:left="431"/>
        <w:jc w:val="left"/>
      </w:pPr>
      <w:r>
        <w:rPr>
          <w:rFonts w:ascii="Courier New" w:cs="Courier New" w:eastAsia="Courier New" w:hAnsi="Courier New"/>
          <w:b/>
          <w:bCs/>
          <w:color w:val="1B2A4A"/>
          <w:sz w:val="18"/>
          <w:szCs w:val="18"/>
        </w:rPr>
        <w:t xml:space="preserve">§1.13  </w:t>
      </w:r>
      <w:r>
        <w:rPr>
          <w:rFonts w:ascii="Garamond" w:cs="Garamond" w:eastAsia="Garamond" w:hAnsi="Garamond"/>
          <w:b/>
          <w:bCs/>
          <w:i w:val="false"/>
          <w:iCs w:val="false"/>
          <w:color w:val="1B2A4A"/>
          <w:sz w:val="22"/>
          <w:szCs w:val="22"/>
        </w:rPr>
        <w:t xml:space="preserve">Freedom of Movement and Labor</w:t>
      </w:r>
    </w:p>
    <w:p>
      <w:pPr>
        <w:spacing w:after="120" w:before="0"/>
        <w:ind w:left="431"/>
        <w:jc w:val="both"/>
      </w:pPr>
      <w:r>
        <w:rPr>
          <w:rFonts w:ascii="Garamond" w:cs="Garamond" w:eastAsia="Garamond" w:hAnsi="Garamond"/>
          <w:b w:val="false"/>
          <w:bCs w:val="false"/>
          <w:i w:val="false"/>
          <w:iCs w:val="false"/>
          <w:color w:val="2a2520"/>
          <w:sz w:val="22"/>
          <w:szCs w:val="22"/>
        </w:rPr>
        <w:t xml:space="preserve">All Inhabitants have the right to travel and reside anywhere within the Republic. State professional licensing requirements may not create barriers to labor mobility; licenses issued under State law are recognized throughout the Republic. Every person has the right to form and join trade unions and bargain collectively; the right to strike as a collective work stoppage is protected, subject to reasonable regulation of essential services.</w:t>
      </w:r>
    </w:p>
    <w:p>
      <w:pPr>
        <w:spacing w:after="60" w:before="200"/>
        <w:ind w:left="431"/>
        <w:jc w:val="left"/>
      </w:pPr>
      <w:r>
        <w:rPr>
          <w:rFonts w:ascii="Courier New" w:cs="Courier New" w:eastAsia="Courier New" w:hAnsi="Courier New"/>
          <w:b/>
          <w:bCs/>
          <w:color w:val="1B2A4A"/>
          <w:sz w:val="18"/>
          <w:szCs w:val="18"/>
        </w:rPr>
        <w:t xml:space="preserve">§1.14  </w:t>
      </w:r>
      <w:r>
        <w:rPr>
          <w:rFonts w:ascii="Garamond" w:cs="Garamond" w:eastAsia="Garamond" w:hAnsi="Garamond"/>
          <w:b/>
          <w:bCs/>
          <w:i w:val="false"/>
          <w:iCs w:val="false"/>
          <w:color w:val="1B2A4A"/>
          <w:sz w:val="22"/>
          <w:szCs w:val="22"/>
        </w:rPr>
        <w:t xml:space="preserve">Detention and Habeas Corpus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Any person taken into custody by the State holds the rights established in this section. These rights are self-executing and may not be suspended by statute or executive order.</w:t>
      </w:r>
    </w:p>
    <w:p>
      <w:pPr>
        <w:spacing w:after="60" w:before="200"/>
        <w:ind w:left="431"/>
        <w:jc w:val="left"/>
      </w:pPr>
      <w:r>
        <w:rPr>
          <w:rFonts w:ascii="Courier New" w:cs="Courier New" w:eastAsia="Courier New" w:hAnsi="Courier New"/>
          <w:b/>
          <w:bCs/>
          <w:color w:val="1B2A4A"/>
          <w:sz w:val="18"/>
          <w:szCs w:val="18"/>
        </w:rPr>
        <w:t xml:space="preserve">§1.14.a  </w:t>
      </w:r>
      <w:r>
        <w:rPr>
          <w:rFonts w:ascii="Garamond" w:cs="Garamond" w:eastAsia="Garamond" w:hAnsi="Garamond"/>
          <w:b/>
          <w:bCs/>
          <w:i w:val="false"/>
          <w:iCs w:val="false"/>
          <w:color w:val="1B2A4A"/>
          <w:sz w:val="22"/>
          <w:szCs w:val="22"/>
        </w:rPr>
        <w:t xml:space="preserve">First Appearance</w:t>
      </w:r>
    </w:p>
    <w:p>
      <w:pPr>
        <w:spacing w:after="120" w:before="0"/>
        <w:ind w:left="431"/>
        <w:jc w:val="both"/>
      </w:pPr>
      <w:r>
        <w:rPr>
          <w:rFonts w:ascii="Garamond" w:cs="Garamond" w:eastAsia="Garamond" w:hAnsi="Garamond"/>
          <w:b w:val="false"/>
          <w:bCs w:val="false"/>
          <w:i w:val="false"/>
          <w:iCs w:val="false"/>
          <w:color w:val="2a2520"/>
          <w:sz w:val="22"/>
          <w:szCs w:val="22"/>
        </w:rPr>
        <w:t xml:space="preserve">Any person taken into custody must appear before a judicial officer within 72 hours of arrest. At the First Appearance, the judge must determine whether custody is lawful and whether conditions of release are appropriate.</w:t>
      </w:r>
    </w:p>
    <w:p>
      <w:pPr>
        <w:spacing w:after="60" w:before="200"/>
        <w:ind w:left="431"/>
        <w:jc w:val="left"/>
      </w:pPr>
      <w:r>
        <w:rPr>
          <w:rFonts w:ascii="Courier New" w:cs="Courier New" w:eastAsia="Courier New" w:hAnsi="Courier New"/>
          <w:b/>
          <w:bCs/>
          <w:color w:val="1B2A4A"/>
          <w:sz w:val="18"/>
          <w:szCs w:val="18"/>
        </w:rPr>
        <w:t xml:space="preserve">§1.14.b  </w:t>
      </w:r>
      <w:r>
        <w:rPr>
          <w:rFonts w:ascii="Garamond" w:cs="Garamond" w:eastAsia="Garamond" w:hAnsi="Garamond"/>
          <w:b/>
          <w:bCs/>
          <w:i w:val="false"/>
          <w:iCs w:val="false"/>
          <w:color w:val="1B2A4A"/>
          <w:sz w:val="22"/>
          <w:szCs w:val="22"/>
        </w:rPr>
        <w:t xml:space="preserve">Habeas Corpus Response Deadline</w:t>
      </w:r>
    </w:p>
    <w:p>
      <w:pPr>
        <w:spacing w:after="120" w:before="0"/>
        <w:ind w:left="431"/>
        <w:jc w:val="both"/>
      </w:pPr>
      <w:r>
        <w:rPr>
          <w:rFonts w:ascii="Garamond" w:cs="Garamond" w:eastAsia="Garamond" w:hAnsi="Garamond"/>
          <w:b w:val="false"/>
          <w:bCs w:val="false"/>
          <w:i w:val="false"/>
          <w:iCs w:val="false"/>
          <w:color w:val="2a2520"/>
          <w:sz w:val="22"/>
          <w:szCs w:val="22"/>
        </w:rPr>
        <w:t xml:space="preserve">A court receiving a habeas corpus petition must rule within 48 hours of filing. No procedural rule may extend this deadline. A court that fails to rule within 48 hours is deemed to have found the detention unlawful — the detained person must be released or brought before a judicial officer immediately.</w:t>
      </w:r>
    </w:p>
    <w:p>
      <w:pPr>
        <w:spacing w:after="60" w:before="200"/>
        <w:ind w:left="431"/>
        <w:jc w:val="left"/>
      </w:pPr>
      <w:r>
        <w:rPr>
          <w:rFonts w:ascii="Courier New" w:cs="Courier New" w:eastAsia="Courier New" w:hAnsi="Courier New"/>
          <w:b/>
          <w:bCs/>
          <w:color w:val="1B2A4A"/>
          <w:sz w:val="18"/>
          <w:szCs w:val="18"/>
        </w:rPr>
        <w:t xml:space="preserve">§1.14.c  </w:t>
      </w:r>
      <w:r>
        <w:rPr>
          <w:rFonts w:ascii="Garamond" w:cs="Garamond" w:eastAsia="Garamond" w:hAnsi="Garamond"/>
          <w:b/>
          <w:bCs/>
          <w:i w:val="false"/>
          <w:iCs w:val="false"/>
          <w:color w:val="1B2A4A"/>
          <w:sz w:val="22"/>
          <w:szCs w:val="22"/>
        </w:rPr>
        <w:t xml:space="preserve">Habeas Corpus</w:t>
      </w:r>
    </w:p>
    <w:p>
      <w:pPr>
        <w:spacing w:after="120" w:before="0"/>
        <w:ind w:left="431"/>
        <w:jc w:val="both"/>
      </w:pPr>
      <w:r>
        <w:rPr>
          <w:rFonts w:ascii="Garamond" w:cs="Garamond" w:eastAsia="Garamond" w:hAnsi="Garamond"/>
          <w:b w:val="false"/>
          <w:bCs w:val="false"/>
          <w:i w:val="false"/>
          <w:iCs w:val="false"/>
          <w:color w:val="2a2520"/>
          <w:sz w:val="22"/>
          <w:szCs w:val="22"/>
        </w:rPr>
        <w:t xml:space="preserve">Any person detained by the State has the absolute right to challenge the lawfulness of their confinement before a judge at any time. The right cannot be suspended by emergency declaration — it appears in §1.26.b's list of absolutely non-derogable rights.</w:t>
      </w:r>
    </w:p>
    <w:p>
      <w:pPr>
        <w:spacing w:after="60" w:before="200"/>
        <w:ind w:left="431"/>
        <w:jc w:val="left"/>
      </w:pPr>
      <w:r>
        <w:rPr>
          <w:rFonts w:ascii="Courier New" w:cs="Courier New" w:eastAsia="Courier New" w:hAnsi="Courier New"/>
          <w:b/>
          <w:bCs/>
          <w:color w:val="1B2A4A"/>
          <w:sz w:val="18"/>
          <w:szCs w:val="18"/>
        </w:rPr>
        <w:t xml:space="preserve">§1.15  </w:t>
      </w:r>
      <w:r>
        <w:rPr>
          <w:rFonts w:ascii="Garamond" w:cs="Garamond" w:eastAsia="Garamond" w:hAnsi="Garamond"/>
          <w:b/>
          <w:bCs/>
          <w:i w:val="false"/>
          <w:iCs w:val="false"/>
          <w:color w:val="1B2A4A"/>
          <w:sz w:val="22"/>
          <w:szCs w:val="22"/>
        </w:rPr>
        <w:t xml:space="preserve">Rights of the Accused</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accused of a crime or subject to criminal proceedings holds the rights established in this section from the moment of accusation through final disposition.</w:t>
      </w:r>
    </w:p>
    <w:p>
      <w:pPr>
        <w:spacing w:after="60" w:before="200"/>
        <w:ind w:left="431"/>
        <w:jc w:val="left"/>
      </w:pPr>
      <w:r>
        <w:rPr>
          <w:rFonts w:ascii="Courier New" w:cs="Courier New" w:eastAsia="Courier New" w:hAnsi="Courier New"/>
          <w:b/>
          <w:bCs/>
          <w:color w:val="1B2A4A"/>
          <w:sz w:val="18"/>
          <w:szCs w:val="18"/>
        </w:rPr>
        <w:t xml:space="preserve">§1.15.a  </w:t>
      </w:r>
      <w:r>
        <w:rPr>
          <w:rFonts w:ascii="Garamond" w:cs="Garamond" w:eastAsia="Garamond" w:hAnsi="Garamond"/>
          <w:b/>
          <w:bCs/>
          <w:i w:val="false"/>
          <w:iCs w:val="false"/>
          <w:color w:val="1B2A4A"/>
          <w:sz w:val="22"/>
          <w:szCs w:val="22"/>
        </w:rPr>
        <w:t xml:space="preserve">Right to Counsel</w:t>
      </w:r>
    </w:p>
    <w:p>
      <w:pPr>
        <w:spacing w:after="120" w:before="0"/>
        <w:ind w:left="431"/>
        <w:jc w:val="both"/>
      </w:pPr>
      <w:r>
        <w:rPr>
          <w:rFonts w:ascii="Garamond" w:cs="Garamond" w:eastAsia="Garamond" w:hAnsi="Garamond"/>
          <w:b w:val="false"/>
          <w:bCs w:val="false"/>
          <w:i w:val="false"/>
          <w:iCs w:val="false"/>
          <w:color w:val="2a2520"/>
          <w:sz w:val="22"/>
          <w:szCs w:val="22"/>
        </w:rPr>
        <w:t xml:space="preserve">Any person accused of a crime or subject to detention has the right to retain and consult with a lawyer before questioning. If they cannot afford counsel, the Republic provides it. The right attaches from the moment of accusation or detention, not from formal charging.</w:t>
      </w:r>
    </w:p>
    <w:p>
      <w:pPr>
        <w:spacing w:after="60" w:before="200"/>
        <w:ind w:left="431"/>
        <w:jc w:val="left"/>
      </w:pPr>
      <w:r>
        <w:rPr>
          <w:rFonts w:ascii="Courier New" w:cs="Courier New" w:eastAsia="Courier New" w:hAnsi="Courier New"/>
          <w:b/>
          <w:bCs/>
          <w:color w:val="1B2A4A"/>
          <w:sz w:val="18"/>
          <w:szCs w:val="18"/>
        </w:rPr>
        <w:t xml:space="preserve">§1.15.b  </w:t>
      </w:r>
      <w:r>
        <w:rPr>
          <w:rFonts w:ascii="Garamond" w:cs="Garamond" w:eastAsia="Garamond" w:hAnsi="Garamond"/>
          <w:b/>
          <w:bCs/>
          <w:i w:val="false"/>
          <w:iCs w:val="false"/>
          <w:color w:val="1B2A4A"/>
          <w:sz w:val="22"/>
          <w:szCs w:val="22"/>
        </w:rPr>
        <w:t xml:space="preserve">Caseload Guarantee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establish maximum caseload limits for publicly funded defense — ensuring that the right to counsel means genuine preparation, not nominal presence. Public defenders must be resourced equivalently to prosecutorial offices handling comparable cases.</w:t>
      </w:r>
    </w:p>
    <w:p>
      <w:pPr>
        <w:spacing w:after="60" w:before="200"/>
        <w:ind w:left="431"/>
        <w:jc w:val="left"/>
      </w:pPr>
      <w:r>
        <w:rPr>
          <w:rFonts w:ascii="Courier New" w:cs="Courier New" w:eastAsia="Courier New" w:hAnsi="Courier New"/>
          <w:b/>
          <w:bCs/>
          <w:color w:val="1B2A4A"/>
          <w:sz w:val="18"/>
          <w:szCs w:val="18"/>
        </w:rPr>
        <w:t xml:space="preserve">§1.15.c  </w:t>
      </w:r>
      <w:r>
        <w:rPr>
          <w:rFonts w:ascii="Garamond" w:cs="Garamond" w:eastAsia="Garamond" w:hAnsi="Garamond"/>
          <w:b/>
          <w:bCs/>
          <w:i w:val="false"/>
          <w:iCs w:val="false"/>
          <w:color w:val="1B2A4A"/>
          <w:sz w:val="22"/>
          <w:szCs w:val="22"/>
        </w:rPr>
        <w:t xml:space="preserve">Right to Be Informed of Charges</w:t>
      </w:r>
    </w:p>
    <w:p>
      <w:pPr>
        <w:spacing w:after="120" w:before="0"/>
        <w:ind w:left="431"/>
        <w:jc w:val="both"/>
      </w:pPr>
      <w:r>
        <w:rPr>
          <w:rFonts w:ascii="Garamond" w:cs="Garamond" w:eastAsia="Garamond" w:hAnsi="Garamond"/>
          <w:b w:val="false"/>
          <w:bCs w:val="false"/>
          <w:i w:val="false"/>
          <w:iCs w:val="false"/>
          <w:color w:val="2a2520"/>
          <w:sz w:val="22"/>
          <w:szCs w:val="22"/>
        </w:rPr>
        <w:t xml:space="preserve">Any person detained or accused must be informed promptly, in plain language they understand, of the specific grounds for their detention and the charges being considered. Detention without meaningful explanation of its basis is unconstitutional from its first moment.</w:t>
      </w:r>
    </w:p>
    <w:p>
      <w:pPr>
        <w:spacing w:after="60" w:before="200"/>
        <w:ind w:left="431"/>
        <w:jc w:val="left"/>
      </w:pPr>
      <w:r>
        <w:rPr>
          <w:rFonts w:ascii="Courier New" w:cs="Courier New" w:eastAsia="Courier New" w:hAnsi="Courier New"/>
          <w:b/>
          <w:bCs/>
          <w:color w:val="1B2A4A"/>
          <w:sz w:val="18"/>
          <w:szCs w:val="18"/>
        </w:rPr>
        <w:t xml:space="preserve">§1.15.d  </w:t>
      </w:r>
      <w:r>
        <w:rPr>
          <w:rFonts w:ascii="Garamond" w:cs="Garamond" w:eastAsia="Garamond" w:hAnsi="Garamond"/>
          <w:b/>
          <w:bCs/>
          <w:i w:val="false"/>
          <w:iCs w:val="false"/>
          <w:color w:val="1B2A4A"/>
          <w:sz w:val="22"/>
          <w:szCs w:val="22"/>
        </w:rPr>
        <w:t xml:space="preserve">Right to Full Disclosure</w:t>
      </w:r>
    </w:p>
    <w:p>
      <w:pPr>
        <w:spacing w:after="120" w:before="0"/>
        <w:ind w:left="431"/>
        <w:jc w:val="both"/>
      </w:pPr>
      <w:r>
        <w:rPr>
          <w:rFonts w:ascii="Garamond" w:cs="Garamond" w:eastAsia="Garamond" w:hAnsi="Garamond"/>
          <w:b w:val="false"/>
          <w:bCs w:val="false"/>
          <w:i w:val="false"/>
          <w:iCs w:val="false"/>
          <w:color w:val="2a2520"/>
          <w:sz w:val="22"/>
          <w:szCs w:val="22"/>
        </w:rPr>
        <w:t xml:space="preserve">Any accused person has the right to full disclosure of all State evidence — including evidence the prosecution does not intend to use — before trial. Any withholding of exculpatory evidence is a constitutional violation, not a procedural irregularity.</w:t>
      </w:r>
    </w:p>
    <w:p>
      <w:pPr>
        <w:spacing w:after="60" w:before="200"/>
        <w:ind w:left="431"/>
        <w:jc w:val="left"/>
      </w:pPr>
      <w:r>
        <w:rPr>
          <w:rFonts w:ascii="Courier New" w:cs="Courier New" w:eastAsia="Courier New" w:hAnsi="Courier New"/>
          <w:b/>
          <w:bCs/>
          <w:color w:val="1B2A4A"/>
          <w:sz w:val="18"/>
          <w:szCs w:val="18"/>
        </w:rPr>
        <w:t xml:space="preserve">§1.16  </w:t>
      </w:r>
      <w:r>
        <w:rPr>
          <w:rFonts w:ascii="Garamond" w:cs="Garamond" w:eastAsia="Garamond" w:hAnsi="Garamond"/>
          <w:b/>
          <w:bCs/>
          <w:i w:val="false"/>
          <w:iCs w:val="false"/>
          <w:color w:val="1B2A4A"/>
          <w:sz w:val="22"/>
          <w:szCs w:val="22"/>
        </w:rPr>
        <w:t xml:space="preserve">Fair Trial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subject to criminal proceedings has the right to a fair and timely trial. These rights may not be waived by prosecutorial pressure, plea incentive, or judicial scheduling convenience.</w:t>
      </w:r>
    </w:p>
    <w:p>
      <w:pPr>
        <w:spacing w:after="60" w:before="200"/>
        <w:ind w:left="431"/>
        <w:jc w:val="left"/>
      </w:pPr>
      <w:r>
        <w:rPr>
          <w:rFonts w:ascii="Courier New" w:cs="Courier New" w:eastAsia="Courier New" w:hAnsi="Courier New"/>
          <w:b/>
          <w:bCs/>
          <w:color w:val="1B2A4A"/>
          <w:sz w:val="18"/>
          <w:szCs w:val="18"/>
        </w:rPr>
        <w:t xml:space="preserve">§1.16.a  </w:t>
      </w:r>
      <w:r>
        <w:rPr>
          <w:rFonts w:ascii="Garamond" w:cs="Garamond" w:eastAsia="Garamond" w:hAnsi="Garamond"/>
          <w:b/>
          <w:bCs/>
          <w:i w:val="false"/>
          <w:iCs w:val="false"/>
          <w:color w:val="1B2A4A"/>
          <w:sz w:val="22"/>
          <w:szCs w:val="22"/>
        </w:rPr>
        <w:t xml:space="preserve">Speedy Trial Principle</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accused person has the right to trial without unreasonable delay. Delay caused by the State is not a neutral fact — prolonged pre-trial detention is itself a punishment imposed without verdict. What constitutes unreasonable delay is defined by the Legislature in statute, subject to judicial review.</w:t>
      </w:r>
    </w:p>
    <w:p>
      <w:pPr>
        <w:spacing w:after="60" w:before="200"/>
        <w:ind w:left="431"/>
        <w:jc w:val="left"/>
      </w:pPr>
      <w:r>
        <w:rPr>
          <w:rFonts w:ascii="Courier New" w:cs="Courier New" w:eastAsia="Courier New" w:hAnsi="Courier New"/>
          <w:b/>
          <w:bCs/>
          <w:color w:val="1B2A4A"/>
          <w:sz w:val="18"/>
          <w:szCs w:val="18"/>
        </w:rPr>
        <w:t xml:space="preserve">§1.16.b  </w:t>
      </w:r>
      <w:r>
        <w:rPr>
          <w:rFonts w:ascii="Garamond" w:cs="Garamond" w:eastAsia="Garamond" w:hAnsi="Garamond"/>
          <w:b/>
          <w:bCs/>
          <w:i w:val="false"/>
          <w:iCs w:val="false"/>
          <w:color w:val="1B2A4A"/>
          <w:sz w:val="22"/>
          <w:szCs w:val="22"/>
        </w:rPr>
        <w:t xml:space="preserve">Bail Proportionality</w:t>
      </w:r>
    </w:p>
    <w:p>
      <w:pPr>
        <w:spacing w:after="120" w:before="0"/>
        <w:ind w:left="431"/>
        <w:jc w:val="both"/>
      </w:pPr>
      <w:r>
        <w:rPr>
          <w:rFonts w:ascii="Garamond" w:cs="Garamond" w:eastAsia="Garamond" w:hAnsi="Garamond"/>
          <w:b w:val="false"/>
          <w:bCs w:val="false"/>
          <w:i w:val="false"/>
          <w:iCs w:val="false"/>
          <w:color w:val="2a2520"/>
          <w:sz w:val="22"/>
          <w:szCs w:val="22"/>
        </w:rPr>
        <w:t xml:space="preserve">Pre-trial detention may only be ordered where the court makes a specific, individualized finding that the accused poses a genuine flight risk or documented danger to an identifiable person. Financial inability to post bail does not justify detention — bail conditions must be proportionate to what the accused can actually pay.</w:t>
      </w:r>
    </w:p>
    <w:p>
      <w:pPr>
        <w:spacing w:after="60" w:before="200"/>
        <w:ind w:left="431"/>
        <w:jc w:val="left"/>
      </w:pPr>
      <w:r>
        <w:rPr>
          <w:rFonts w:ascii="Courier New" w:cs="Courier New" w:eastAsia="Courier New" w:hAnsi="Courier New"/>
          <w:b/>
          <w:bCs/>
          <w:color w:val="1B2A4A"/>
          <w:sz w:val="18"/>
          <w:szCs w:val="18"/>
        </w:rPr>
        <w:t xml:space="preserve">§1.16.c  </w:t>
      </w:r>
      <w:r>
        <w:rPr>
          <w:rFonts w:ascii="Garamond" w:cs="Garamond" w:eastAsia="Garamond" w:hAnsi="Garamond"/>
          <w:b/>
          <w:bCs/>
          <w:i w:val="false"/>
          <w:iCs w:val="false"/>
          <w:color w:val="1B2A4A"/>
          <w:sz w:val="22"/>
          <w:szCs w:val="22"/>
        </w:rPr>
        <w:t xml:space="preserve">Protection from Trial Penalties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right to trial may not be penalized. A defendant who exercises their right to trial may not receive a harsher sentence than they would have received by entering a guilty plea for the same offense. Sentencing 'trial penalties' are constitutionally prohibited.</w:t>
      </w:r>
    </w:p>
    <w:p>
      <w:pPr>
        <w:spacing w:after="60" w:before="200"/>
        <w:ind w:left="431"/>
        <w:jc w:val="left"/>
      </w:pPr>
      <w:r>
        <w:rPr>
          <w:rFonts w:ascii="Courier New" w:cs="Courier New" w:eastAsia="Courier New" w:hAnsi="Courier New"/>
          <w:b/>
          <w:bCs/>
          <w:color w:val="1B2A4A"/>
          <w:sz w:val="18"/>
          <w:szCs w:val="18"/>
        </w:rPr>
        <w:t xml:space="preserve">§1.16.d  </w:t>
      </w:r>
      <w:r>
        <w:rPr>
          <w:rFonts w:ascii="Garamond" w:cs="Garamond" w:eastAsia="Garamond" w:hAnsi="Garamond"/>
          <w:b/>
          <w:bCs/>
          <w:i w:val="false"/>
          <w:iCs w:val="false"/>
          <w:color w:val="1B2A4A"/>
          <w:sz w:val="22"/>
          <w:szCs w:val="22"/>
        </w:rPr>
        <w:t xml:space="preserve">Source Code Right</w:t>
      </w:r>
    </w:p>
    <w:p>
      <w:pPr>
        <w:spacing w:after="120" w:before="0"/>
        <w:ind w:left="431"/>
        <w:jc w:val="both"/>
      </w:pPr>
      <w:r>
        <w:rPr>
          <w:rFonts w:ascii="Garamond" w:cs="Garamond" w:eastAsia="Garamond" w:hAnsi="Garamond"/>
          <w:b w:val="false"/>
          <w:bCs w:val="false"/>
          <w:i w:val="false"/>
          <w:iCs w:val="false"/>
          <w:color w:val="2a2520"/>
          <w:sz w:val="22"/>
          <w:szCs w:val="22"/>
        </w:rPr>
        <w:t xml:space="preserve">Any accused person has the right to inspect, challenge, and rebut any algorithm, automated system, statistical model, or raw dataset used as evidence or to generate a score influencing their case. Technology-opaque evidence against which no defense can be mounted is constitutionally inadmissible.</w:t>
      </w:r>
    </w:p>
    <w:p>
      <w:pPr>
        <w:spacing w:after="60" w:before="200"/>
        <w:ind w:left="431"/>
        <w:jc w:val="left"/>
      </w:pPr>
      <w:r>
        <w:rPr>
          <w:rFonts w:ascii="Courier New" w:cs="Courier New" w:eastAsia="Courier New" w:hAnsi="Courier New"/>
          <w:b/>
          <w:bCs/>
          <w:color w:val="1B2A4A"/>
          <w:sz w:val="18"/>
          <w:szCs w:val="18"/>
        </w:rPr>
        <w:t xml:space="preserve">§1.17  </w:t>
      </w:r>
      <w:r>
        <w:rPr>
          <w:rFonts w:ascii="Garamond" w:cs="Garamond" w:eastAsia="Garamond" w:hAnsi="Garamond"/>
          <w:b/>
          <w:bCs/>
          <w:i w:val="false"/>
          <w:iCs w:val="false"/>
          <w:color w:val="1B2A4A"/>
          <w:sz w:val="22"/>
          <w:szCs w:val="22"/>
        </w:rPr>
        <w:t xml:space="preserve">Right to Silence</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may be compelled to testify against themselves or to produce self-incriminating evidence. The right of silence is complete — silence may not be commented upon or used to draw adverse inferences. Consistent with §1.10.c, this extends to cryptographic keys.</w:t>
      </w:r>
    </w:p>
    <w:p>
      <w:pPr>
        <w:spacing w:after="60" w:before="200"/>
        <w:ind w:left="431"/>
        <w:jc w:val="left"/>
      </w:pPr>
      <w:r>
        <w:rPr>
          <w:rFonts w:ascii="Courier New" w:cs="Courier New" w:eastAsia="Courier New" w:hAnsi="Courier New"/>
          <w:b/>
          <w:bCs/>
          <w:color w:val="1B2A4A"/>
          <w:sz w:val="18"/>
          <w:szCs w:val="18"/>
        </w:rPr>
        <w:t xml:space="preserve">§1.18  </w:t>
      </w:r>
      <w:r>
        <w:rPr>
          <w:rFonts w:ascii="Garamond" w:cs="Garamond" w:eastAsia="Garamond" w:hAnsi="Garamond"/>
          <w:b/>
          <w:bCs/>
          <w:i w:val="false"/>
          <w:iCs w:val="false"/>
          <w:color w:val="1B2A4A"/>
          <w:sz w:val="22"/>
          <w:szCs w:val="22"/>
        </w:rPr>
        <w:t xml:space="preserve">Right to a Public Trial</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accused person has the right to a public trial before a judge and, in criminal matters, a jury of peers. Secret or closed proceedings are constitutionally prohibited except for the minimal portion where a specific witness's safety requires it — and even then the verdict must be public. Also permanently unamendable.</w:t>
      </w:r>
    </w:p>
    <w:p>
      <w:pPr>
        <w:spacing w:after="60" w:before="200"/>
        <w:ind w:left="431"/>
        <w:jc w:val="left"/>
      </w:pPr>
      <w:r>
        <w:rPr>
          <w:rFonts w:ascii="Courier New" w:cs="Courier New" w:eastAsia="Courier New" w:hAnsi="Courier New"/>
          <w:b/>
          <w:bCs/>
          <w:color w:val="1B2A4A"/>
          <w:sz w:val="18"/>
          <w:szCs w:val="18"/>
        </w:rPr>
        <w:t xml:space="preserve">§1.19  </w:t>
      </w:r>
      <w:r>
        <w:rPr>
          <w:rFonts w:ascii="Garamond" w:cs="Garamond" w:eastAsia="Garamond" w:hAnsi="Garamond"/>
          <w:b/>
          <w:bCs/>
          <w:i w:val="false"/>
          <w:iCs w:val="false"/>
          <w:color w:val="1B2A4A"/>
          <w:sz w:val="22"/>
          <w:szCs w:val="22"/>
        </w:rPr>
        <w:t xml:space="preserve">Criminal Law Limits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criminal law may not be applied retroactively or used to punish a person more than once for the same conduct. These prohibitions apply equally to the federal government and to every State.</w:t>
      </w:r>
    </w:p>
    <w:p>
      <w:pPr>
        <w:spacing w:after="60" w:before="200"/>
        <w:ind w:left="431"/>
        <w:jc w:val="left"/>
      </w:pPr>
      <w:r>
        <w:rPr>
          <w:rFonts w:ascii="Courier New" w:cs="Courier New" w:eastAsia="Courier New" w:hAnsi="Courier New"/>
          <w:b/>
          <w:bCs/>
          <w:color w:val="1B2A4A"/>
          <w:sz w:val="18"/>
          <w:szCs w:val="18"/>
        </w:rPr>
        <w:t xml:space="preserve">§1.19.a  </w:t>
      </w:r>
      <w:r>
        <w:rPr>
          <w:rFonts w:ascii="Garamond" w:cs="Garamond" w:eastAsia="Garamond" w:hAnsi="Garamond"/>
          <w:b/>
          <w:bCs/>
          <w:i w:val="false"/>
          <w:iCs w:val="false"/>
          <w:color w:val="1B2A4A"/>
          <w:sz w:val="22"/>
          <w:szCs w:val="22"/>
        </w:rPr>
        <w:t xml:space="preserve">No Retroactive Criminal Laws</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may be convicted of an act that was not defined as a criminal offense at the time it was committed. No sentence may exceed the maximum available at the time of the offense. The prohibition on retroactive criminal law is absolute and permanently unamendable.</w:t>
      </w:r>
    </w:p>
    <w:p>
      <w:pPr>
        <w:spacing w:after="60" w:before="200"/>
        <w:ind w:left="431"/>
        <w:jc w:val="left"/>
      </w:pPr>
      <w:r>
        <w:rPr>
          <w:rFonts w:ascii="Courier New" w:cs="Courier New" w:eastAsia="Courier New" w:hAnsi="Courier New"/>
          <w:b/>
          <w:bCs/>
          <w:color w:val="1B2A4A"/>
          <w:sz w:val="18"/>
          <w:szCs w:val="18"/>
        </w:rPr>
        <w:t xml:space="preserve">§1.19.b  </w:t>
      </w:r>
      <w:r>
        <w:rPr>
          <w:rFonts w:ascii="Garamond" w:cs="Garamond" w:eastAsia="Garamond" w:hAnsi="Garamond"/>
          <w:b/>
          <w:bCs/>
          <w:i w:val="false"/>
          <w:iCs w:val="false"/>
          <w:color w:val="1B2A4A"/>
          <w:sz w:val="22"/>
          <w:szCs w:val="22"/>
        </w:rPr>
        <w:t xml:space="preserve">Double Jeopardy</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may be tried or punished more than once for the same offense arising from the same factual events. Acquittal is final. This applies across all levels of the Republic's court system — a State court acquittal cannot be retried in a federal court on the same facts.</w:t>
      </w:r>
    </w:p>
    <w:p>
      <w:pPr>
        <w:spacing w:after="60" w:before="200"/>
        <w:ind w:left="431"/>
        <w:jc w:val="left"/>
      </w:pPr>
      <w:r>
        <w:rPr>
          <w:rFonts w:ascii="Courier New" w:cs="Courier New" w:eastAsia="Courier New" w:hAnsi="Courier New"/>
          <w:b/>
          <w:bCs/>
          <w:color w:val="1B2A4A"/>
          <w:sz w:val="18"/>
          <w:szCs w:val="18"/>
        </w:rPr>
        <w:t xml:space="preserve">§1.20  </w:t>
      </w:r>
      <w:r>
        <w:rPr>
          <w:rFonts w:ascii="Garamond" w:cs="Garamond" w:eastAsia="Garamond" w:hAnsi="Garamond"/>
          <w:b/>
          <w:bCs/>
          <w:i w:val="false"/>
          <w:iCs w:val="false"/>
          <w:color w:val="1B2A4A"/>
          <w:sz w:val="22"/>
          <w:szCs w:val="22"/>
        </w:rPr>
        <w:t xml:space="preserve">Right to Democratic Participation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No government action may make voting materially more difficult for any eligible citizen. This covers not only formal disenfranchisement but practical barriers: polling place closures, identification requirements that function as wealth or document-access tests, registration obstacles designed to suppress participation, and reductions in early or mail voting access. This right is self-executing: a citizen facing a material barrier may bring a constitutional claim directly in court. Eligibility to vote is established in §16.4.</w:t>
      </w:r>
    </w:p>
    <w:p>
      <w:pPr>
        <w:spacing w:after="60" w:before="200"/>
        <w:ind w:left="431"/>
        <w:jc w:val="left"/>
      </w:pPr>
      <w:r>
        <w:rPr>
          <w:rFonts w:ascii="Courier New" w:cs="Courier New" w:eastAsia="Courier New" w:hAnsi="Courier New"/>
          <w:b/>
          <w:bCs/>
          <w:color w:val="1B2A4A"/>
          <w:sz w:val="18"/>
          <w:szCs w:val="18"/>
        </w:rPr>
        <w:t xml:space="preserve">§1.21  </w:t>
      </w:r>
      <w:r>
        <w:rPr>
          <w:rFonts w:ascii="Garamond" w:cs="Garamond" w:eastAsia="Garamond" w:hAnsi="Garamond"/>
          <w:b/>
          <w:bCs/>
          <w:i w:val="false"/>
          <w:iCs w:val="false"/>
          <w:color w:val="1B2A4A"/>
          <w:sz w:val="22"/>
          <w:szCs w:val="22"/>
        </w:rPr>
        <w:t xml:space="preserve">Right to Marry and Found a Family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right to marry or form a legally recognized partnership belongs to any two consenting adults regardless of sex, gender, or sexual orientation. The Republic must recognize such partnerships for all legal purposes. The Legislature and States may not create hierarchies of partnership recognition based on the characteristics of the parties.</w:t>
      </w:r>
    </w:p>
    <w:p>
      <w:pPr>
        <w:spacing w:after="60" w:before="200"/>
        <w:ind w:left="431"/>
        <w:jc w:val="left"/>
      </w:pPr>
      <w:r>
        <w:rPr>
          <w:rFonts w:ascii="Courier New" w:cs="Courier New" w:eastAsia="Courier New" w:hAnsi="Courier New"/>
          <w:b/>
          <w:bCs/>
          <w:color w:val="1B2A4A"/>
          <w:sz w:val="18"/>
          <w:szCs w:val="18"/>
        </w:rPr>
        <w:t xml:space="preserve">§1.22  </w:t>
      </w:r>
      <w:r>
        <w:rPr>
          <w:rFonts w:ascii="Garamond" w:cs="Garamond" w:eastAsia="Garamond" w:hAnsi="Garamond"/>
          <w:b/>
          <w:bCs/>
          <w:i w:val="false"/>
          <w:iCs w:val="false"/>
          <w:color w:val="1B2A4A"/>
          <w:sz w:val="22"/>
          <w:szCs w:val="22"/>
        </w:rPr>
        <w:t xml:space="preserve">Rights of Children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child has the right to protection from exploitation, abuse, and neglect. In all State actions affecting minors, the welfare and best interests of the child are the primary consideration — not merely one factor to be weighed.</w:t>
      </w:r>
    </w:p>
    <w:p>
      <w:pPr>
        <w:spacing w:after="60" w:before="200"/>
        <w:ind w:left="431"/>
        <w:jc w:val="left"/>
      </w:pPr>
      <w:r>
        <w:rPr>
          <w:rFonts w:ascii="Courier New" w:cs="Courier New" w:eastAsia="Courier New" w:hAnsi="Courier New"/>
          <w:b/>
          <w:bCs/>
          <w:color w:val="1B2A4A"/>
          <w:sz w:val="18"/>
          <w:szCs w:val="18"/>
        </w:rPr>
        <w:t xml:space="preserve">§1.23  </w:t>
      </w:r>
      <w:r>
        <w:rPr>
          <w:rFonts w:ascii="Garamond" w:cs="Garamond" w:eastAsia="Garamond" w:hAnsi="Garamond"/>
          <w:b/>
          <w:bCs/>
          <w:i w:val="false"/>
          <w:iCs w:val="false"/>
          <w:color w:val="1B2A4A"/>
          <w:sz w:val="22"/>
          <w:szCs w:val="22"/>
        </w:rPr>
        <w:t xml:space="preserve">Environmental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federal government holds an enforceable constitutional obligation to protect communities from government-caused environmental harm and to maintain the long-term ecological integrity of the Republic's natural environment. Both obligations are subject to annual Inspectorate reporting under §8.1.</w:t>
      </w:r>
    </w:p>
    <w:p>
      <w:pPr>
        <w:spacing w:after="60" w:before="200"/>
        <w:ind w:left="431"/>
        <w:jc w:val="left"/>
      </w:pPr>
      <w:r>
        <w:rPr>
          <w:rFonts w:ascii="Courier New" w:cs="Courier New" w:eastAsia="Courier New" w:hAnsi="Courier New"/>
          <w:b/>
          <w:bCs/>
          <w:color w:val="1B2A4A"/>
          <w:sz w:val="18"/>
          <w:szCs w:val="18"/>
        </w:rPr>
        <w:t xml:space="preserve">§1.23.a  </w:t>
      </w:r>
      <w:r>
        <w:rPr>
          <w:rFonts w:ascii="Garamond" w:cs="Garamond" w:eastAsia="Garamond" w:hAnsi="Garamond"/>
          <w:b/>
          <w:bCs/>
          <w:i w:val="false"/>
          <w:iCs w:val="false"/>
          <w:color w:val="1B2A4A"/>
          <w:sz w:val="22"/>
          <w:szCs w:val="22"/>
        </w:rPr>
        <w:t xml:space="preserve">Government Non-Harm</w:t>
      </w:r>
    </w:p>
    <w:p>
      <w:pPr>
        <w:spacing w:after="120" w:before="0"/>
        <w:ind w:left="431"/>
        <w:jc w:val="both"/>
      </w:pPr>
      <w:r>
        <w:rPr>
          <w:rFonts w:ascii="Garamond" w:cs="Garamond" w:eastAsia="Garamond" w:hAnsi="Garamond"/>
          <w:b w:val="false"/>
          <w:bCs w:val="false"/>
          <w:i w:val="false"/>
          <w:iCs w:val="false"/>
          <w:color w:val="2a2520"/>
          <w:sz w:val="22"/>
          <w:szCs w:val="22"/>
        </w:rPr>
        <w:t xml:space="preserve">No government authority may knowingly expose any community of Inhabitants to environmental hazards without full disclosure, meaningful consultation, and proportionate mitigation. The Government Non-Harm principle makes environmental poisoning of communities a constitutional violation, not merely a policy failure.</w:t>
      </w:r>
    </w:p>
    <w:p>
      <w:pPr>
        <w:spacing w:after="60" w:before="200"/>
        <w:ind w:left="431"/>
        <w:jc w:val="left"/>
      </w:pPr>
      <w:r>
        <w:rPr>
          <w:rFonts w:ascii="Courier New" w:cs="Courier New" w:eastAsia="Courier New" w:hAnsi="Courier New"/>
          <w:b/>
          <w:bCs/>
          <w:color w:val="1B2A4A"/>
          <w:sz w:val="18"/>
          <w:szCs w:val="18"/>
        </w:rPr>
        <w:t xml:space="preserve">§1.23.b  </w:t>
      </w:r>
      <w:r>
        <w:rPr>
          <w:rFonts w:ascii="Garamond" w:cs="Garamond" w:eastAsia="Garamond" w:hAnsi="Garamond"/>
          <w:b/>
          <w:bCs/>
          <w:i w:val="false"/>
          <w:iCs w:val="false"/>
          <w:color w:val="1B2A4A"/>
          <w:sz w:val="22"/>
          <w:szCs w:val="22"/>
        </w:rPr>
        <w:t xml:space="preserve">Environmental Stewardship</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long-term stewardship of the Republic's natural environment is a constitutional obligation of the federal government — not aspirational language. It creates an enforceable duty to maintain ecological integrity that the Inspectorates are mandated to report on annually.</w:t>
      </w:r>
    </w:p>
    <w:p>
      <w:pPr>
        <w:spacing w:after="60" w:before="200"/>
        <w:ind w:left="431"/>
        <w:jc w:val="left"/>
      </w:pPr>
      <w:r>
        <w:rPr>
          <w:rFonts w:ascii="Courier New" w:cs="Courier New" w:eastAsia="Courier New" w:hAnsi="Courier New"/>
          <w:b/>
          <w:bCs/>
          <w:color w:val="1B2A4A"/>
          <w:sz w:val="18"/>
          <w:szCs w:val="18"/>
        </w:rPr>
        <w:t xml:space="preserve">§1.24  </w:t>
      </w:r>
      <w:r>
        <w:rPr>
          <w:rFonts w:ascii="Garamond" w:cs="Garamond" w:eastAsia="Garamond" w:hAnsi="Garamond"/>
          <w:b/>
          <w:bCs/>
          <w:i w:val="false"/>
          <w:iCs w:val="false"/>
          <w:color w:val="1B2A4A"/>
          <w:sz w:val="22"/>
          <w:szCs w:val="22"/>
        </w:rPr>
        <w:t xml:space="preserve">Education and Literacy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child holds a constitutional right to education adequate to participate fully in civic life. The Republic's obligation under this section is both corrective — addressing wealth-based inequality in educational opportunity — and foundational — ensuring public education equips every student to meet the constitutional literacy standard. Parents retain the right to educate through alternative means that meet that standard.</w:t>
      </w:r>
    </w:p>
    <w:p>
      <w:pPr>
        <w:spacing w:after="60" w:before="200"/>
        <w:ind w:left="431"/>
        <w:jc w:val="left"/>
      </w:pPr>
      <w:r>
        <w:rPr>
          <w:rFonts w:ascii="Courier New" w:cs="Courier New" w:eastAsia="Courier New" w:hAnsi="Courier New"/>
          <w:b/>
          <w:bCs/>
          <w:color w:val="1B2A4A"/>
          <w:sz w:val="18"/>
          <w:szCs w:val="18"/>
        </w:rPr>
        <w:t xml:space="preserve">§1.24.a  </w:t>
      </w:r>
      <w:r>
        <w:rPr>
          <w:rFonts w:ascii="Garamond" w:cs="Garamond" w:eastAsia="Garamond" w:hAnsi="Garamond"/>
          <w:b/>
          <w:bCs/>
          <w:i w:val="false"/>
          <w:iCs w:val="false"/>
          <w:color w:val="1B2A4A"/>
          <w:sz w:val="22"/>
          <w:szCs w:val="22"/>
        </w:rPr>
        <w:t xml:space="preserve">Federal Education Assistance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must provide adequate education assistance to States and Territories so that no child's educational opportunity is determined primarily by the wealth of their territory. Federal assistance must address the gap between what a jurisdiction can fund locally and what the constitutional literacy standard requires.</w:t>
      </w:r>
    </w:p>
    <w:p>
      <w:pPr>
        <w:spacing w:after="60" w:before="200"/>
        <w:ind w:left="431"/>
        <w:jc w:val="left"/>
      </w:pPr>
      <w:r>
        <w:rPr>
          <w:rFonts w:ascii="Courier New" w:cs="Courier New" w:eastAsia="Courier New" w:hAnsi="Courier New"/>
          <w:b/>
          <w:bCs/>
          <w:color w:val="1B2A4A"/>
          <w:sz w:val="18"/>
          <w:szCs w:val="18"/>
        </w:rPr>
        <w:t xml:space="preserve">§1.24.b  </w:t>
      </w:r>
      <w:r>
        <w:rPr>
          <w:rFonts w:ascii="Garamond" w:cs="Garamond" w:eastAsia="Garamond" w:hAnsi="Garamond"/>
          <w:b/>
          <w:bCs/>
          <w:i w:val="false"/>
          <w:iCs w:val="false"/>
          <w:color w:val="1B2A4A"/>
          <w:sz w:val="22"/>
          <w:szCs w:val="22"/>
        </w:rPr>
        <w:t xml:space="preserve">Constitutional Literacy</w:t>
      </w:r>
    </w:p>
    <w:p>
      <w:pPr>
        <w:spacing w:after="120" w:before="0"/>
        <w:ind w:left="431"/>
        <w:jc w:val="both"/>
      </w:pPr>
      <w:r>
        <w:rPr>
          <w:rFonts w:ascii="Garamond" w:cs="Garamond" w:eastAsia="Garamond" w:hAnsi="Garamond"/>
          <w:b w:val="false"/>
          <w:bCs w:val="false"/>
          <w:i w:val="false"/>
          <w:iCs w:val="false"/>
          <w:color w:val="2a2520"/>
          <w:sz w:val="22"/>
          <w:szCs w:val="22"/>
        </w:rPr>
        <w:t xml:space="preserve">Public education must equip every student to understand the structure, rights, and civic obligations established by this constitution. This is a substantive floor — not a test requirement, but an educational outcome. The constitutional literacy standard for citizenship naturalization purposes is separately established by the CLT under §5.4.</w:t>
      </w:r>
    </w:p>
    <w:p>
      <w:pPr>
        <w:spacing w:after="60" w:before="200"/>
        <w:ind w:left="431"/>
        <w:jc w:val="left"/>
      </w:pPr>
      <w:r>
        <w:rPr>
          <w:rFonts w:ascii="Courier New" w:cs="Courier New" w:eastAsia="Courier New" w:hAnsi="Courier New"/>
          <w:b/>
          <w:bCs/>
          <w:color w:val="1B2A4A"/>
          <w:sz w:val="18"/>
          <w:szCs w:val="18"/>
        </w:rPr>
        <w:t xml:space="preserve">§1.24.c  </w:t>
      </w:r>
      <w:r>
        <w:rPr>
          <w:rFonts w:ascii="Garamond" w:cs="Garamond" w:eastAsia="Garamond" w:hAnsi="Garamond"/>
          <w:b/>
          <w:bCs/>
          <w:i w:val="false"/>
          <w:iCs w:val="false"/>
          <w:color w:val="1B2A4A"/>
          <w:sz w:val="22"/>
          <w:szCs w:val="22"/>
        </w:rPr>
        <w:t xml:space="preserve">Parental Right</w:t>
      </w:r>
    </w:p>
    <w:p>
      <w:pPr>
        <w:spacing w:after="120" w:before="0"/>
        <w:ind w:left="431"/>
        <w:jc w:val="both"/>
      </w:pPr>
      <w:r>
        <w:rPr>
          <w:rFonts w:ascii="Garamond" w:cs="Garamond" w:eastAsia="Garamond" w:hAnsi="Garamond"/>
          <w:b w:val="false"/>
          <w:bCs w:val="false"/>
          <w:i w:val="false"/>
          <w:iCs w:val="false"/>
          <w:color w:val="2a2520"/>
          <w:sz w:val="22"/>
          <w:szCs w:val="22"/>
        </w:rPr>
        <w:t xml:space="preserve">Parents retain the right to educate children through alternative means — homeschooling, faith-based schools, alternative institutions — provided those alternatives meet the constitutional literacy standard. The Republic may set the floor; it may not mandate the method.</w:t>
      </w:r>
    </w:p>
    <w:p>
      <w:pPr>
        <w:spacing w:after="60" w:before="200"/>
        <w:ind w:left="431"/>
        <w:jc w:val="left"/>
      </w:pPr>
      <w:r>
        <w:rPr>
          <w:rFonts w:ascii="Courier New" w:cs="Courier New" w:eastAsia="Courier New" w:hAnsi="Courier New"/>
          <w:b/>
          <w:bCs/>
          <w:color w:val="1B2A4A"/>
          <w:sz w:val="18"/>
          <w:szCs w:val="18"/>
        </w:rPr>
        <w:t xml:space="preserve">§1.25  </w:t>
      </w:r>
      <w:r>
        <w:rPr>
          <w:rFonts w:ascii="Garamond" w:cs="Garamond" w:eastAsia="Garamond" w:hAnsi="Garamond"/>
          <w:b/>
          <w:bCs/>
          <w:i w:val="false"/>
          <w:iCs w:val="false"/>
          <w:color w:val="1B2A4A"/>
          <w:sz w:val="22"/>
          <w:szCs w:val="22"/>
        </w:rPr>
        <w:t xml:space="preserve">Housing Non-Exclusion</w:t>
      </w:r>
    </w:p>
    <w:p>
      <w:pPr>
        <w:spacing w:after="120" w:before="0"/>
        <w:ind w:left="431"/>
        <w:jc w:val="both"/>
      </w:pPr>
      <w:r>
        <w:rPr>
          <w:rFonts w:ascii="Garamond" w:cs="Garamond" w:eastAsia="Garamond" w:hAnsi="Garamond"/>
          <w:b w:val="false"/>
          <w:bCs w:val="false"/>
          <w:i w:val="false"/>
          <w:iCs w:val="false"/>
          <w:color w:val="2a2520"/>
          <w:sz w:val="22"/>
          <w:szCs w:val="22"/>
        </w:rPr>
        <w:t xml:space="preserve">Housing access is a constitutional right — no government authority may use its powers to exclude persons from housing on discriminatory grounds or to deny housing to those who cannot independently secure it. The non-exclusion principle is established in §1.25.a and the BNF housing obligation in §1.25.b.</w:t>
      </w:r>
    </w:p>
    <w:p>
      <w:pPr>
        <w:spacing w:after="60" w:before="200"/>
        <w:ind w:left="431"/>
        <w:jc w:val="left"/>
      </w:pPr>
      <w:r>
        <w:rPr>
          <w:rFonts w:ascii="Courier New" w:cs="Courier New" w:eastAsia="Courier New" w:hAnsi="Courier New"/>
          <w:b/>
          <w:bCs/>
          <w:color w:val="1B2A4A"/>
          <w:sz w:val="18"/>
          <w:szCs w:val="18"/>
        </w:rPr>
        <w:t xml:space="preserve">§1.25.a  </w:t>
      </w:r>
      <w:r>
        <w:rPr>
          <w:rFonts w:ascii="Garamond" w:cs="Garamond" w:eastAsia="Garamond" w:hAnsi="Garamond"/>
          <w:b/>
          <w:bCs/>
          <w:i w:val="false"/>
          <w:iCs w:val="false"/>
          <w:color w:val="1B2A4A"/>
          <w:sz w:val="22"/>
          <w:szCs w:val="22"/>
        </w:rPr>
        <w:t xml:space="preserve">Non-Exclusion Principle</w:t>
      </w:r>
    </w:p>
    <w:p>
      <w:pPr>
        <w:spacing w:after="120" w:before="0"/>
        <w:ind w:left="431"/>
        <w:jc w:val="both"/>
      </w:pPr>
      <w:r>
        <w:rPr>
          <w:rFonts w:ascii="Garamond" w:cs="Garamond" w:eastAsia="Garamond" w:hAnsi="Garamond"/>
          <w:b w:val="false"/>
          <w:bCs w:val="false"/>
          <w:i w:val="false"/>
          <w:iCs w:val="false"/>
          <w:color w:val="2a2520"/>
          <w:sz w:val="22"/>
          <w:szCs w:val="22"/>
        </w:rPr>
        <w:t xml:space="preserve">No government authority — federal, State, or local — may use regulatory or land-use powers to exclude any person from access to housing on the basis of any characteristic enumerated in §1.9. Exclusionary zoning designed to keep certain populations out of a community is constitutionally prohibited.</w:t>
      </w:r>
    </w:p>
    <w:p>
      <w:pPr>
        <w:spacing w:after="60" w:before="200"/>
        <w:ind w:left="431"/>
        <w:jc w:val="left"/>
      </w:pPr>
      <w:r>
        <w:rPr>
          <w:rFonts w:ascii="Courier New" w:cs="Courier New" w:eastAsia="Courier New" w:hAnsi="Courier New"/>
          <w:b/>
          <w:bCs/>
          <w:color w:val="1B2A4A"/>
          <w:sz w:val="18"/>
          <w:szCs w:val="18"/>
        </w:rPr>
        <w:t xml:space="preserve">§1.25.b  </w:t>
      </w:r>
      <w:r>
        <w:rPr>
          <w:rFonts w:ascii="Garamond" w:cs="Garamond" w:eastAsia="Garamond" w:hAnsi="Garamond"/>
          <w:b/>
          <w:bCs/>
          <w:i w:val="false"/>
          <w:iCs w:val="false"/>
          <w:color w:val="1B2A4A"/>
          <w:sz w:val="22"/>
          <w:szCs w:val="22"/>
        </w:rPr>
        <w:t xml:space="preserve">BNF Housing Obligation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Housing access for persons who cannot independently secure it is a Basic Needs Floor obligation under §10.1. Housing exclusion is an enforceable constitutional violation.</w:t>
      </w:r>
    </w:p>
    <w:p>
      <w:pPr>
        <w:spacing w:after="60" w:before="200"/>
        <w:ind w:left="431"/>
        <w:jc w:val="left"/>
      </w:pPr>
      <w:r>
        <w:rPr>
          <w:rFonts w:ascii="Courier New" w:cs="Courier New" w:eastAsia="Courier New" w:hAnsi="Courier New"/>
          <w:b/>
          <w:bCs/>
          <w:color w:val="1B2A4A"/>
          <w:sz w:val="18"/>
          <w:szCs w:val="18"/>
        </w:rPr>
        <w:t xml:space="preserve">§1.26  </w:t>
      </w:r>
      <w:r>
        <w:rPr>
          <w:rFonts w:ascii="Garamond" w:cs="Garamond" w:eastAsia="Garamond" w:hAnsi="Garamond"/>
          <w:b/>
          <w:bCs/>
          <w:i w:val="false"/>
          <w:iCs w:val="false"/>
          <w:color w:val="1B2A4A"/>
          <w:sz w:val="22"/>
          <w:szCs w:val="22"/>
        </w:rPr>
        <w:t xml:space="preserve">Emergency Derogation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No emergency — however severe — suspends the Individual Sovereignty Floor in full. Temporary derogation of certain rights is permitted only under the strict conditions of this section; the rights enumerated in §1.26.b may not be derogated under any circumstances.</w:t>
      </w:r>
    </w:p>
    <w:p>
      <w:pPr>
        <w:spacing w:after="60" w:before="200"/>
        <w:ind w:left="431"/>
        <w:jc w:val="left"/>
      </w:pPr>
      <w:r>
        <w:rPr>
          <w:rFonts w:ascii="Courier New" w:cs="Courier New" w:eastAsia="Courier New" w:hAnsi="Courier New"/>
          <w:b/>
          <w:bCs/>
          <w:color w:val="1B2A4A"/>
          <w:sz w:val="18"/>
          <w:szCs w:val="18"/>
        </w:rPr>
        <w:t xml:space="preserve">§1.26.a  </w:t>
      </w:r>
      <w:r>
        <w:rPr>
          <w:rFonts w:ascii="Garamond" w:cs="Garamond" w:eastAsia="Garamond" w:hAnsi="Garamond"/>
          <w:b/>
          <w:bCs/>
          <w:i w:val="false"/>
          <w:iCs w:val="false"/>
          <w:color w:val="1B2A4A"/>
          <w:sz w:val="22"/>
          <w:szCs w:val="22"/>
        </w:rPr>
        <w:t xml:space="preserve">Emergency Derogation — Declaration Requirements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Emergency derogation of Article I rights requires a precisely structured declaration specifying: the nature of the emergency, which rights are limited, the geographic scope, the duration, and the review mechanism. The specificity requirement prevents open-ended emergency licenses — the government must commit in advance to exactly what it is doing, for how long, and where. Blanket declarations are constitutionally invalid. The declaration is published to the NRS immediately: an undisclosed emergency is not a constitutionally recognized emergency. Automatic expiry (§1.26.d) without renewal.</w:t>
      </w:r>
    </w:p>
    <w:p>
      <w:pPr>
        <w:spacing w:after="60" w:before="200"/>
        <w:ind w:left="431"/>
        <w:jc w:val="left"/>
      </w:pPr>
      <w:r>
        <w:rPr>
          <w:rFonts w:ascii="Courier New" w:cs="Courier New" w:eastAsia="Courier New" w:hAnsi="Courier New"/>
          <w:b/>
          <w:bCs/>
          <w:color w:val="1B2A4A"/>
          <w:sz w:val="18"/>
          <w:szCs w:val="18"/>
        </w:rPr>
        <w:t xml:space="preserve">§1.26.b  </w:t>
      </w:r>
      <w:r>
        <w:rPr>
          <w:rFonts w:ascii="Garamond" w:cs="Garamond" w:eastAsia="Garamond" w:hAnsi="Garamond"/>
          <w:b/>
          <w:bCs/>
          <w:i w:val="false"/>
          <w:iCs w:val="false"/>
          <w:color w:val="1B2A4A"/>
          <w:sz w:val="22"/>
          <w:szCs w:val="22"/>
        </w:rPr>
        <w:t xml:space="preserve">Non-Derogable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These six rights are absolute under any circumstances: the prohibition on torture (§1.3); slavery (§1.4); habeas corpus (§1.14); the right to a public trial (§1.18); no retroactive punishment (§1.19); and non-refoulement (§1.28). No emergency declaration, executive order, or legislative act may derogate any of these rights. They are non-derogable by their nature — their value derives precisely from the fact that they hold under the worst circumstances, not only the ordinary ones.</w:t>
      </w:r>
    </w:p>
    <w:p>
      <w:pPr>
        <w:spacing w:after="60" w:before="200"/>
        <w:ind w:left="431"/>
        <w:jc w:val="left"/>
      </w:pPr>
      <w:r>
        <w:rPr>
          <w:rFonts w:ascii="Courier New" w:cs="Courier New" w:eastAsia="Courier New" w:hAnsi="Courier New"/>
          <w:b/>
          <w:bCs/>
          <w:color w:val="1B2A4A"/>
          <w:sz w:val="18"/>
          <w:szCs w:val="18"/>
        </w:rPr>
        <w:t xml:space="preserve">§1.26.c  </w:t>
      </w:r>
      <w:r>
        <w:rPr>
          <w:rFonts w:ascii="Garamond" w:cs="Garamond" w:eastAsia="Garamond" w:hAnsi="Garamond"/>
          <w:b/>
          <w:bCs/>
          <w:i w:val="false"/>
          <w:iCs w:val="false"/>
          <w:color w:val="1B2A4A"/>
          <w:sz w:val="22"/>
          <w:szCs w:val="22"/>
        </w:rPr>
        <w:t xml:space="preserve">Inspectorate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three Inspectorates continue to operate with full constitutional authority throughout any emergency — they cannot be suspended or have their mandate reduced by emergency declaration. Accountability infrastructure is precisely most important when emergency powers are active.</w:t>
      </w:r>
    </w:p>
    <w:p>
      <w:pPr>
        <w:spacing w:after="60" w:before="200"/>
        <w:ind w:left="431"/>
        <w:jc w:val="left"/>
      </w:pPr>
      <w:r>
        <w:rPr>
          <w:rFonts w:ascii="Courier New" w:cs="Courier New" w:eastAsia="Courier New" w:hAnsi="Courier New"/>
          <w:b/>
          <w:bCs/>
          <w:color w:val="1B2A4A"/>
          <w:sz w:val="18"/>
          <w:szCs w:val="18"/>
        </w:rPr>
        <w:t xml:space="preserve">§1.26.d  </w:t>
      </w:r>
      <w:r>
        <w:rPr>
          <w:rFonts w:ascii="Garamond" w:cs="Garamond" w:eastAsia="Garamond" w:hAnsi="Garamond"/>
          <w:b/>
          <w:bCs/>
          <w:i w:val="false"/>
          <w:iCs w:val="false"/>
          <w:color w:val="1B2A4A"/>
          <w:sz w:val="22"/>
          <w:szCs w:val="22"/>
        </w:rPr>
        <w:t xml:space="preserve">Automatic Expiry and Judicial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Emergency measures lapse automatically at the expiry of the Declaration. Judicial review of any emergency measure is available to any citizen at any time, and courts may rule during the emergency that a specific measure is unconstitutional.</w:t>
      </w:r>
    </w:p>
    <w:p>
      <w:pPr>
        <w:spacing w:after="60" w:before="200"/>
        <w:ind w:left="431"/>
        <w:jc w:val="left"/>
      </w:pPr>
      <w:r>
        <w:rPr>
          <w:rFonts w:ascii="Courier New" w:cs="Courier New" w:eastAsia="Courier New" w:hAnsi="Courier New"/>
          <w:b/>
          <w:bCs/>
          <w:color w:val="1B2A4A"/>
          <w:sz w:val="18"/>
          <w:szCs w:val="18"/>
        </w:rPr>
        <w:t xml:space="preserve">§1.26.e  </w:t>
      </w:r>
      <w:r>
        <w:rPr>
          <w:rFonts w:ascii="Garamond" w:cs="Garamond" w:eastAsia="Garamond" w:hAnsi="Garamond"/>
          <w:b/>
          <w:bCs/>
          <w:i w:val="false"/>
          <w:iCs w:val="false"/>
          <w:color w:val="1B2A4A"/>
          <w:sz w:val="22"/>
          <w:szCs w:val="22"/>
        </w:rPr>
        <w:t xml:space="preserve">No Permanent Emergency</w:t>
      </w:r>
    </w:p>
    <w:p>
      <w:pPr>
        <w:spacing w:after="120" w:before="0"/>
        <w:ind w:left="431"/>
        <w:jc w:val="both"/>
      </w:pPr>
      <w:r>
        <w:rPr>
          <w:rFonts w:ascii="Garamond" w:cs="Garamond" w:eastAsia="Garamond" w:hAnsi="Garamond"/>
          <w:b w:val="false"/>
          <w:bCs w:val="false"/>
          <w:i w:val="false"/>
          <w:iCs w:val="false"/>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extend an emergency measure by re-declaration within 60 days of its expiry, or at all unless a 2/3 majority certifies continued necessity.</w:t>
      </w:r>
    </w:p>
    <w:p>
      <w:pPr>
        <w:spacing w:after="60" w:before="200"/>
        <w:ind w:left="431"/>
        <w:jc w:val="left"/>
      </w:pPr>
      <w:r>
        <w:rPr>
          <w:rFonts w:ascii="Courier New" w:cs="Courier New" w:eastAsia="Courier New" w:hAnsi="Courier New"/>
          <w:b/>
          <w:bCs/>
          <w:color w:val="1B2A4A"/>
          <w:sz w:val="18"/>
          <w:szCs w:val="18"/>
        </w:rPr>
        <w:t xml:space="preserve">§1.27  </w:t>
      </w:r>
      <w:r>
        <w:rPr>
          <w:rFonts w:ascii="Garamond" w:cs="Garamond" w:eastAsia="Garamond" w:hAnsi="Garamond"/>
          <w:b/>
          <w:bCs/>
          <w:i w:val="false"/>
          <w:iCs w:val="false"/>
          <w:color w:val="1B2A4A"/>
          <w:sz w:val="22"/>
          <w:szCs w:val="22"/>
        </w:rPr>
        <w:t xml:space="preserve">Associated Community Residents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residing within any Associated Community operating under a compact with the Republic holds the full protections of Article I, enforceable directly by federal courts regardless of the Associated Community's internal governance structure. No compact provision may limit or qualify any Article I right for any resident of Associated Community territory.</w:t>
      </w:r>
    </w:p>
    <w:p>
      <w:pPr>
        <w:spacing w:after="60" w:before="200"/>
        <w:ind w:left="431"/>
        <w:jc w:val="left"/>
      </w:pPr>
      <w:r>
        <w:rPr>
          <w:rFonts w:ascii="Courier New" w:cs="Courier New" w:eastAsia="Courier New" w:hAnsi="Courier New"/>
          <w:b/>
          <w:bCs/>
          <w:color w:val="1B2A4A"/>
          <w:sz w:val="18"/>
          <w:szCs w:val="18"/>
        </w:rPr>
        <w:t xml:space="preserve">§1.28  </w:t>
      </w:r>
      <w:r>
        <w:rPr>
          <w:rFonts w:ascii="Garamond" w:cs="Garamond" w:eastAsia="Garamond" w:hAnsi="Garamond"/>
          <w:b/>
          <w:bCs/>
          <w:i w:val="false"/>
          <w:iCs w:val="false"/>
          <w:color w:val="1B2A4A"/>
          <w:sz w:val="22"/>
          <w:szCs w:val="22"/>
        </w:rPr>
        <w:t xml:space="preserve">Non-Refoulement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within the Republic's jurisdiction may be returned, expelled, or extradited to any territory where they face genuine risk of persecution, torture, or deprivation of life based on race, religion, nationality, political opinion, or group membership. No exception applies for immigration status, mode of entry, or any emergency declaration. A pending §6.4 asylum application stays removal.</w:t>
      </w:r>
    </w:p>
    <w:p>
      <w:pPr>
        <w:spacing w:after="60" w:before="200"/>
        <w:ind w:left="431"/>
        <w:jc w:val="left"/>
      </w:pPr>
      <w:r>
        <w:rPr>
          <w:rFonts w:ascii="Courier New" w:cs="Courier New" w:eastAsia="Courier New" w:hAnsi="Courier New"/>
          <w:b/>
          <w:bCs/>
          <w:color w:val="1B2A4A"/>
          <w:sz w:val="18"/>
          <w:szCs w:val="18"/>
        </w:rPr>
        <w:t xml:space="preserve">§1.29  </w:t>
      </w:r>
      <w:r>
        <w:rPr>
          <w:rFonts w:ascii="Garamond" w:cs="Garamond" w:eastAsia="Garamond" w:hAnsi="Garamond"/>
          <w:b/>
          <w:bCs/>
          <w:i w:val="false"/>
          <w:iCs w:val="false"/>
          <w:color w:val="1B2A4A"/>
          <w:sz w:val="22"/>
          <w:szCs w:val="22"/>
        </w:rPr>
        <w:t xml:space="preserve">Medical Autonomy</w:t>
      </w:r>
    </w:p>
    <w:p>
      <w:pPr>
        <w:spacing w:after="120" w:before="0"/>
        <w:ind w:left="431"/>
        <w:jc w:val="both"/>
      </w:pPr>
      <w:r>
        <w:rPr>
          <w:rFonts w:ascii="Garamond" w:cs="Garamond" w:eastAsia="Garamond" w:hAnsi="Garamond"/>
          <w:b w:val="false"/>
          <w:bCs w:val="false"/>
          <w:i w:val="false"/>
          <w:iCs w:val="false"/>
          <w:color w:val="2a2520"/>
          <w:sz w:val="22"/>
          <w:szCs w:val="22"/>
        </w:rPr>
        <w:t xml:space="preserve">Medical decisions belong to the patient and their licensed provider. The State's legitimate role is safety and standards: licensing, scope of practice, and quality regulation. State governments may regulate which services licensed professionals offer within their jurisdiction. No State may impose civil or criminal liability on a person for receiving lawful medical care outside that State's jurisdiction, on a person who assists another in travelling to receive such care, on a provider within the State who refers a patient to out-of-state care or provides information about it, or on an out-of-state provider who performs care lawful where it is performed.</w:t>
      </w:r>
    </w:p>
    <w:p>
      <w:pPr>
        <w:spacing w:after="60" w:before="200"/>
        <w:ind w:left="431"/>
        <w:jc w:val="left"/>
      </w:pPr>
      <w:r>
        <w:rPr>
          <w:rFonts w:ascii="Courier New" w:cs="Courier New" w:eastAsia="Courier New" w:hAnsi="Courier New"/>
          <w:b/>
          <w:bCs/>
          <w:color w:val="1B2A4A"/>
          <w:sz w:val="18"/>
          <w:szCs w:val="18"/>
        </w:rPr>
        <w:t xml:space="preserve">§1.30  </w:t>
      </w:r>
      <w:r>
        <w:rPr>
          <w:rFonts w:ascii="Garamond" w:cs="Garamond" w:eastAsia="Garamond" w:hAnsi="Garamond"/>
          <w:b/>
          <w:bCs/>
          <w:i w:val="false"/>
          <w:iCs w:val="false"/>
          <w:color w:val="1B2A4A"/>
          <w:sz w:val="22"/>
          <w:szCs w:val="22"/>
        </w:rPr>
        <w:t xml:space="preserve">Right to Privacy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a right to privacy in their person, home, communications, associations, health, and personal data. The government may abridge this right only on a showing of specific, articulable necessity and only to the minimum extent that necessity requires. The general right governs wherever no specific sub-provision addresses the question; the more specific provision controls where one exists.</w:t>
      </w:r>
    </w:p>
    <w:p>
      <w:pPr>
        <w:spacing w:after="60" w:before="200"/>
        <w:ind w:left="431"/>
        <w:jc w:val="left"/>
      </w:pPr>
      <w:r>
        <w:rPr>
          <w:rFonts w:ascii="Courier New" w:cs="Courier New" w:eastAsia="Courier New" w:hAnsi="Courier New"/>
          <w:b/>
          <w:bCs/>
          <w:color w:val="1B2A4A"/>
          <w:sz w:val="18"/>
          <w:szCs w:val="18"/>
        </w:rPr>
        <w:t xml:space="preserve">§1.30.a  </w:t>
      </w:r>
      <w:r>
        <w:rPr>
          <w:rFonts w:ascii="Garamond" w:cs="Garamond" w:eastAsia="Garamond" w:hAnsi="Garamond"/>
          <w:b/>
          <w:bCs/>
          <w:i w:val="false"/>
          <w:iCs w:val="false"/>
          <w:color w:val="1B2A4A"/>
          <w:sz w:val="22"/>
          <w:szCs w:val="22"/>
        </w:rPr>
        <w:t xml:space="preserve">Searches and Seizures</w:t>
      </w:r>
    </w:p>
    <w:p>
      <w:pPr>
        <w:spacing w:after="120" w:before="0"/>
        <w:ind w:left="431"/>
        <w:jc w:val="both"/>
      </w:pPr>
      <w:r>
        <w:rPr>
          <w:rFonts w:ascii="Garamond" w:cs="Garamond" w:eastAsia="Garamond" w:hAnsi="Garamond"/>
          <w:b w:val="false"/>
          <w:bCs w:val="false"/>
          <w:i w:val="false"/>
          <w:iCs w:val="false"/>
          <w:color w:val="2a2520"/>
          <w:sz w:val="22"/>
          <w:szCs w:val="22"/>
        </w:rPr>
        <w:t xml:space="preserve">No unreasonable search or seizure of person, home, property, communications, or data. Any authorized search must be narrowly scoped, judicially approved before execution, and recorded on the NRS. General warrants — broad or unspecified authorizations — are absolutely prohibited. Digital spaces secured by private cryptographic keys are treated as equivalent to a physical home.</w:t>
      </w:r>
    </w:p>
    <w:p>
      <w:pPr>
        <w:spacing w:after="60" w:before="200"/>
        <w:ind w:left="431"/>
        <w:jc w:val="left"/>
      </w:pPr>
      <w:r>
        <w:rPr>
          <w:rFonts w:ascii="Courier New" w:cs="Courier New" w:eastAsia="Courier New" w:hAnsi="Courier New"/>
          <w:b/>
          <w:bCs/>
          <w:color w:val="1B2A4A"/>
          <w:sz w:val="18"/>
          <w:szCs w:val="18"/>
        </w:rPr>
        <w:t xml:space="preserve">§1.30.b  </w:t>
      </w:r>
      <w:r>
        <w:rPr>
          <w:rFonts w:ascii="Garamond" w:cs="Garamond" w:eastAsia="Garamond" w:hAnsi="Garamond"/>
          <w:b/>
          <w:bCs/>
          <w:i w:val="false"/>
          <w:iCs w:val="false"/>
          <w:color w:val="1B2A4A"/>
          <w:sz w:val="22"/>
          <w:szCs w:val="22"/>
        </w:rPr>
        <w:t xml:space="preserve">Medical Privacy</w:t>
      </w:r>
    </w:p>
    <w:p>
      <w:pPr>
        <w:spacing w:after="120" w:before="0"/>
        <w:ind w:left="431"/>
        <w:jc w:val="both"/>
      </w:pPr>
      <w:r>
        <w:rPr>
          <w:rFonts w:ascii="Garamond" w:cs="Garamond" w:eastAsia="Garamond" w:hAnsi="Garamond"/>
          <w:b w:val="false"/>
          <w:bCs w:val="false"/>
          <w:i w:val="false"/>
          <w:iCs w:val="false"/>
          <w:color w:val="2a2520"/>
          <w:sz w:val="22"/>
          <w:szCs w:val="22"/>
        </w:rPr>
        <w:t xml:space="preserve">Medical information, health records, genetic data, and bodily condition are private. Government compulsion requires a specific judicial order in active legal proceedings, limited to what those proceedings directly require. Public health law disclosures must be proportionate, time-limited, and NRS-recorded.</w:t>
      </w:r>
    </w:p>
    <w:p>
      <w:pPr>
        <w:spacing w:after="60" w:before="200"/>
        <w:ind w:left="431"/>
        <w:jc w:val="left"/>
      </w:pPr>
      <w:r>
        <w:rPr>
          <w:rFonts w:ascii="Courier New" w:cs="Courier New" w:eastAsia="Courier New" w:hAnsi="Courier New"/>
          <w:b/>
          <w:bCs/>
          <w:color w:val="1B2A4A"/>
          <w:sz w:val="18"/>
          <w:szCs w:val="18"/>
        </w:rPr>
        <w:t xml:space="preserve">§1.30.c  </w:t>
      </w:r>
      <w:r>
        <w:rPr>
          <w:rFonts w:ascii="Garamond" w:cs="Garamond" w:eastAsia="Garamond" w:hAnsi="Garamond"/>
          <w:b/>
          <w:bCs/>
          <w:i w:val="false"/>
          <w:iCs w:val="false"/>
          <w:color w:val="1B2A4A"/>
          <w:sz w:val="22"/>
          <w:szCs w:val="22"/>
        </w:rPr>
        <w:t xml:space="preserve">Communications and Data</w:t>
      </w:r>
    </w:p>
    <w:p>
      <w:pPr>
        <w:spacing w:after="120" w:before="0"/>
        <w:ind w:left="431"/>
        <w:jc w:val="both"/>
      </w:pPr>
      <w:r>
        <w:rPr>
          <w:rFonts w:ascii="Garamond" w:cs="Garamond" w:eastAsia="Garamond" w:hAnsi="Garamond"/>
          <w:b w:val="false"/>
          <w:bCs w:val="false"/>
          <w:i w:val="false"/>
          <w:iCs w:val="false"/>
          <w:color w:val="2a2520"/>
          <w:sz w:val="22"/>
          <w:szCs w:val="22"/>
        </w:rPr>
        <w:t xml:space="preserve">Government collection of private communications or personal data requires specific judicial authorization identifying the person, the data sought, and the collection period. Bulk collection without individual identification is prohibited outright. Private-sector entities cannot be compelled to collect or disclose on the government's behalf beyond what independent judicial authorization would permit. The Legislature may establish data minimization and retention limits for government-held data.</w:t>
      </w:r>
    </w:p>
    <w:p>
      <w:pPr>
        <w:spacing w:after="60" w:before="200"/>
        <w:ind w:left="431"/>
        <w:jc w:val="left"/>
      </w:pPr>
      <w:r>
        <w:rPr>
          <w:rFonts w:ascii="Courier New" w:cs="Courier New" w:eastAsia="Courier New" w:hAnsi="Courier New"/>
          <w:b/>
          <w:bCs/>
          <w:color w:val="1B2A4A"/>
          <w:sz w:val="18"/>
          <w:szCs w:val="18"/>
        </w:rPr>
        <w:t xml:space="preserve">§1.30.d  </w:t>
      </w:r>
      <w:r>
        <w:rPr>
          <w:rFonts w:ascii="Garamond" w:cs="Garamond" w:eastAsia="Garamond" w:hAnsi="Garamond"/>
          <w:b/>
          <w:bCs/>
          <w:i w:val="false"/>
          <w:iCs w:val="false"/>
          <w:color w:val="1B2A4A"/>
          <w:sz w:val="22"/>
          <w:szCs w:val="22"/>
        </w:rPr>
        <w:t xml:space="preserve">Intelligence Firewall</w:t>
      </w:r>
    </w:p>
    <w:p>
      <w:pPr>
        <w:spacing w:after="120" w:before="0"/>
        <w:ind w:left="431"/>
        <w:jc w:val="both"/>
      </w:pPr>
      <w:r>
        <w:rPr>
          <w:rFonts w:ascii="Garamond" w:cs="Garamond" w:eastAsia="Garamond" w:hAnsi="Garamond"/>
          <w:b w:val="false"/>
          <w:bCs w:val="false"/>
          <w:i w:val="false"/>
          <w:iCs w:val="false"/>
          <w:color w:val="2a2520"/>
          <w:sz w:val="22"/>
          <w:szCs w:val="22"/>
        </w:rPr>
        <w:t xml:space="preserve">All domestic intelligence operations against Republic citizens are prohibited and constitutionally void. Any such order is reported to the NRS by the EI. This prohibition is non-derogable — no emergency, treaty, or statute can suspend it.</w:t>
      </w:r>
    </w:p>
    <w:p>
      <w:pPr>
        <w:spacing w:after="60" w:before="200"/>
        <w:ind w:left="431"/>
        <w:jc w:val="left"/>
      </w:pPr>
      <w:r>
        <w:rPr>
          <w:rFonts w:ascii="Courier New" w:cs="Courier New" w:eastAsia="Courier New" w:hAnsi="Courier New"/>
          <w:b/>
          <w:bCs/>
          <w:color w:val="1B2A4A"/>
          <w:sz w:val="18"/>
          <w:szCs w:val="18"/>
        </w:rPr>
        <w:t xml:space="preserve">§1.30.e  </w:t>
      </w:r>
      <w:r>
        <w:rPr>
          <w:rFonts w:ascii="Garamond" w:cs="Garamond" w:eastAsia="Garamond" w:hAnsi="Garamond"/>
          <w:b/>
          <w:bCs/>
          <w:i w:val="false"/>
          <w:iCs w:val="false"/>
          <w:color w:val="1B2A4A"/>
          <w:sz w:val="22"/>
          <w:szCs w:val="22"/>
        </w:rPr>
        <w:t xml:space="preserve">Associational Privacy</w:t>
      </w:r>
    </w:p>
    <w:p>
      <w:pPr>
        <w:spacing w:after="120" w:before="0"/>
        <w:ind w:left="431"/>
        <w:jc w:val="both"/>
      </w:pPr>
      <w:r>
        <w:rPr>
          <w:rFonts w:ascii="Garamond" w:cs="Garamond" w:eastAsia="Garamond" w:hAnsi="Garamond"/>
          <w:b w:val="false"/>
          <w:bCs w:val="false"/>
          <w:i w:val="false"/>
          <w:iCs w:val="false"/>
          <w:color w:val="2a2520"/>
          <w:sz w:val="22"/>
          <w:szCs w:val="22"/>
        </w:rPr>
        <w:t xml:space="preserve">Government mapping of associations — who a person knows, meets, communicates with, or joins — requires the same specific judicial authorization as communications collection under §1.30.c. Bulk mapping of associational activity is prohibited on the same terms as bulk collection. The privacy of associational membership is protected separately from the right to associate under §1.7 — a government may not compel disclosure of membership even where it refrains from prohibiting association.</w:t>
      </w:r>
    </w:p>
    <w:p>
      <w:pPr>
        <w:spacing w:after="60" w:before="200"/>
        <w:jc w:val="left"/>
      </w:pPr>
      <w:r>
        <w:rPr>
          <w:rFonts w:ascii="Garamond" w:cs="Garamond" w:eastAsia="Garamond" w:hAnsi="Garamond"/>
          <w:b/>
          <w:bCs/>
          <w:i w:val="false"/>
          <w:iCs w:val="false"/>
          <w:color w:val="1B2A4A"/>
          <w:sz w:val="34"/>
          <w:szCs w:val="34"/>
        </w:rPr>
        <w:t xml:space="preserve">Article II — The Dual Executive</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§2.1  </w:t>
      </w:r>
      <w:r>
        <w:rPr>
          <w:rFonts w:ascii="Garamond" w:cs="Garamond" w:eastAsia="Garamond" w:hAnsi="Garamond"/>
          <w:b/>
          <w:bCs/>
          <w:i w:val="false"/>
          <w:iCs w:val="false"/>
          <w:color w:val="1B2A4A"/>
          <w:sz w:val="22"/>
          <w:szCs w:val="22"/>
        </w:rPr>
        <w:t xml:space="preserve">The President — Term and Transfer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holds enumerated executive authority over: military command, foreign affairs, intelligence, treaty negotiation, trade agreements, and domain officer appointments. Presidential authority is enumerated; PM authority is residual. Upon expiration of the presidential term, all authority transfers immediately to the incoming President. No holdover power, acting authority, or transitional executive capacity remains with the outgoing President after the moment of transfer. The outgoing President retains no access to classified information, government systems, or official residence beyond the day of transfer.</w:t>
      </w:r>
    </w:p>
    <w:p>
      <w:pPr>
        <w:spacing w:after="60" w:before="200"/>
        <w:ind w:left="431"/>
        <w:jc w:val="left"/>
      </w:pPr>
      <w:r>
        <w:rPr>
          <w:rFonts w:ascii="Courier New" w:cs="Courier New" w:eastAsia="Courier New" w:hAnsi="Courier New"/>
          <w:b/>
          <w:bCs/>
          <w:color w:val="1B2A4A"/>
          <w:sz w:val="18"/>
          <w:szCs w:val="18"/>
        </w:rPr>
        <w:t xml:space="preserve">§2.1.a  </w:t>
      </w:r>
      <w:r>
        <w:rPr>
          <w:rFonts w:ascii="Garamond" w:cs="Garamond" w:eastAsia="Garamond" w:hAnsi="Garamond"/>
          <w:b/>
          <w:bCs/>
          <w:i w:val="false"/>
          <w:iCs w:val="false"/>
          <w:color w:val="1B2A4A"/>
          <w:sz w:val="22"/>
          <w:szCs w:val="22"/>
        </w:rPr>
        <w:t xml:space="preserve">Tier 1 — Immediate Defensive Response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may respond immediately to an active, imminent, or ongoing attack on Republic territory, Republic citizens abroad, or treaty allies without prior legislative authorization. The only presidential power that can be exercised without legislative consent. Strictly bounded: defensive operations only, expires when the immediate threat is neutralized, 12-hour notification to both chambers and the PM. Cannot initiate a conflict or extend operations — those require Tier 2 authorization within 96 hours.</w:t>
      </w:r>
    </w:p>
    <w:p>
      <w:pPr>
        <w:spacing w:after="60" w:before="200"/>
        <w:ind w:left="431"/>
        <w:jc w:val="left"/>
      </w:pPr>
      <w:r>
        <w:rPr>
          <w:rFonts w:ascii="Courier New" w:cs="Courier New" w:eastAsia="Courier New" w:hAnsi="Courier New"/>
          <w:b/>
          <w:bCs/>
          <w:color w:val="1B2A4A"/>
          <w:sz w:val="18"/>
          <w:szCs w:val="18"/>
        </w:rPr>
        <w:t xml:space="preserve">§2.1.b  </w:t>
      </w:r>
      <w:r>
        <w:rPr>
          <w:rFonts w:ascii="Garamond" w:cs="Garamond" w:eastAsia="Garamond" w:hAnsi="Garamond"/>
          <w:b/>
          <w:bCs/>
          <w:i w:val="false"/>
          <w:iCs w:val="false"/>
          <w:color w:val="1B2A4A"/>
          <w:sz w:val="22"/>
          <w:szCs w:val="22"/>
        </w:rPr>
        <w:t xml:space="preserve">Tier 2 — Senate Armed Services Authorization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Required within 96 hours for any offensive operation or sustained defensive deployment. Simple majority of the Committee following a classified presidential briefing. Covers 30 days. If the full Legislature does not pass a Tier 3 Declaration within 30 days, all operations except immediate territorial defense must cease automatically. No presidential override.</w:t>
      </w:r>
    </w:p>
    <w:p>
      <w:pPr>
        <w:spacing w:after="60" w:before="200"/>
        <w:ind w:left="431"/>
        <w:jc w:val="left"/>
      </w:pPr>
      <w:r>
        <w:rPr>
          <w:rFonts w:ascii="Courier New" w:cs="Courier New" w:eastAsia="Courier New" w:hAnsi="Courier New"/>
          <w:b/>
          <w:bCs/>
          <w:color w:val="1B2A4A"/>
          <w:sz w:val="18"/>
          <w:szCs w:val="18"/>
        </w:rPr>
        <w:t xml:space="preserve">§2.1.c  </w:t>
      </w:r>
      <w:r>
        <w:rPr>
          <w:rFonts w:ascii="Garamond" w:cs="Garamond" w:eastAsia="Garamond" w:hAnsi="Garamond"/>
          <w:b/>
          <w:bCs/>
          <w:i w:val="false"/>
          <w:iCs w:val="false"/>
          <w:color w:val="1B2A4A"/>
          <w:sz w:val="22"/>
          <w:szCs w:val="22"/>
        </w:rPr>
        <w:t xml:space="preserve">Tier 3 — Legislative Declaration of Defense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full democratic authorization. 2/3 concurrent majority of both chambers. Must state the §12.1 authorized purpose. Renewable every 180 days — failure to renew terminates all operations and expenditure with no presidential override. Maximum 5 years then mandatory 90-day cessation.</w:t>
      </w:r>
    </w:p>
    <w:p>
      <w:pPr>
        <w:spacing w:after="60" w:before="200"/>
        <w:ind w:left="431"/>
        <w:jc w:val="left"/>
      </w:pPr>
      <w:r>
        <w:rPr>
          <w:rFonts w:ascii="Courier New" w:cs="Courier New" w:eastAsia="Courier New" w:hAnsi="Courier New"/>
          <w:b/>
          <w:bCs/>
          <w:color w:val="1B2A4A"/>
          <w:sz w:val="18"/>
          <w:szCs w:val="18"/>
        </w:rPr>
        <w:t xml:space="preserve">§2.1.d  </w:t>
      </w:r>
      <w:r>
        <w:rPr>
          <w:rFonts w:ascii="Garamond" w:cs="Garamond" w:eastAsia="Garamond" w:hAnsi="Garamond"/>
          <w:b/>
          <w:bCs/>
          <w:i w:val="false"/>
          <w:iCs w:val="false"/>
          <w:color w:val="1B2A4A"/>
          <w:sz w:val="22"/>
          <w:szCs w:val="22"/>
        </w:rPr>
        <w:t xml:space="preserve">Funding Lock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has no authority to spend domestic funds. All military expenditure requires PM certification. Tier 1 defensive operations carry an automatic 96-hour Emergency Defense Allocation — self-executing, not subject to PM Fiscal Objection. Beyond 96 hours, PM must certify or uncertified spending is void, triggering an immediate pay freeze on military personnel and federal civilian employees directly supporting military operations. Separates the decision to use force from the decision to fund it.</w:t>
      </w:r>
    </w:p>
    <w:p>
      <w:pPr>
        <w:spacing w:after="60" w:before="200"/>
        <w:ind w:left="431"/>
        <w:jc w:val="left"/>
      </w:pPr>
      <w:r>
        <w:rPr>
          <w:rFonts w:ascii="Courier New" w:cs="Courier New" w:eastAsia="Courier New" w:hAnsi="Courier New"/>
          <w:b/>
          <w:bCs/>
          <w:color w:val="1B2A4A"/>
          <w:sz w:val="18"/>
          <w:szCs w:val="18"/>
        </w:rPr>
        <w:t xml:space="preserve">§2.1.e  </w:t>
      </w:r>
      <w:r>
        <w:rPr>
          <w:rFonts w:ascii="Garamond" w:cs="Garamond" w:eastAsia="Garamond" w:hAnsi="Garamond"/>
          <w:b/>
          <w:bCs/>
          <w:i w:val="false"/>
          <w:iCs w:val="false"/>
          <w:color w:val="1B2A4A"/>
          <w:sz w:val="22"/>
          <w:szCs w:val="22"/>
        </w:rPr>
        <w:t xml:space="preserve">Presidential Intelligence Limits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prohibition on domestic intelligence operations against Republic citizens is non-derogable and permanent under §1.30.d. Any order authorizing domestic intelligence operations against Republic citizens is constitutionally void. The EI reports any such order to the NRS.</w:t>
      </w:r>
    </w:p>
    <w:p>
      <w:pPr>
        <w:spacing w:after="60" w:before="200"/>
        <w:ind w:left="431"/>
        <w:jc w:val="left"/>
      </w:pPr>
      <w:r>
        <w:rPr>
          <w:rFonts w:ascii="Courier New" w:cs="Courier New" w:eastAsia="Courier New" w:hAnsi="Courier New"/>
          <w:b/>
          <w:bCs/>
          <w:color w:val="1B2A4A"/>
          <w:sz w:val="18"/>
          <w:szCs w:val="18"/>
        </w:rPr>
        <w:t xml:space="preserve">§2.1.f  </w:t>
      </w:r>
      <w:r>
        <w:rPr>
          <w:rFonts w:ascii="Garamond" w:cs="Garamond" w:eastAsia="Garamond" w:hAnsi="Garamond"/>
          <w:b/>
          <w:bCs/>
          <w:i w:val="false"/>
          <w:iCs w:val="false"/>
          <w:color w:val="1B2A4A"/>
          <w:sz w:val="22"/>
          <w:szCs w:val="22"/>
        </w:rPr>
        <w:t xml:space="preserve">Presidential Veto — Scope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may veto only bills that raise a genuine constitutional concern within the security domain: military operations, intelligence, treaty obligations, or border security. A general or speculative security connection is not sufficient. The SC reviews any Presidential veto within 48 hours on petition from either Speaker.</w:t>
      </w:r>
    </w:p>
    <w:p>
      <w:pPr>
        <w:spacing w:after="60" w:before="200"/>
        <w:ind w:left="431"/>
        <w:jc w:val="left"/>
      </w:pPr>
      <w:r>
        <w:rPr>
          <w:rFonts w:ascii="Courier New" w:cs="Courier New" w:eastAsia="Courier New" w:hAnsi="Courier New"/>
          <w:b/>
          <w:bCs/>
          <w:color w:val="1B2A4A"/>
          <w:sz w:val="18"/>
          <w:szCs w:val="18"/>
        </w:rPr>
        <w:t xml:space="preserve">§2.1.f.i  </w:t>
      </w:r>
      <w:r>
        <w:rPr>
          <w:rFonts w:ascii="Garamond" w:cs="Garamond" w:eastAsia="Garamond" w:hAnsi="Garamond"/>
          <w:b/>
          <w:bCs/>
          <w:i w:val="false"/>
          <w:iCs w:val="false"/>
          <w:color w:val="1B2A4A"/>
          <w:sz w:val="22"/>
          <w:szCs w:val="22"/>
        </w:rPr>
        <w:t xml:space="preserve">Judicial Review and Override</w:t>
      </w:r>
    </w:p>
    <w:p>
      <w:pPr>
        <w:spacing w:after="120" w:before="0"/>
        <w:ind w:left="431"/>
        <w:jc w:val="both"/>
      </w:pPr>
      <w:r>
        <w:rPr>
          <w:rFonts w:ascii="Garamond" w:cs="Garamond" w:eastAsia="Garamond" w:hAnsi="Garamond"/>
          <w:b w:val="false"/>
          <w:bCs w:val="false"/>
          <w:i w:val="false"/>
          <w:iCs w:val="false"/>
          <w:color w:val="2a2520"/>
          <w:sz w:val="22"/>
          <w:szCs w:val="22"/>
        </w:rPr>
        <w:t xml:space="preserve">Automatic expedited SC review within 48 hours of petition by either Speaker. The Court determines only whether the bill genuinely raises a constitutional concern within the President's defined domain — not whether the President's security judgment is correct. If the bill does not raise a genuine domain concern, the veto fails.</w:t>
      </w:r>
    </w:p>
    <w:p>
      <w:pPr>
        <w:spacing w:after="60" w:before="200"/>
        <w:ind w:left="431"/>
        <w:jc w:val="left"/>
      </w:pPr>
      <w:r>
        <w:rPr>
          <w:rFonts w:ascii="Courier New" w:cs="Courier New" w:eastAsia="Courier New" w:hAnsi="Courier New"/>
          <w:b/>
          <w:bCs/>
          <w:color w:val="1B2A4A"/>
          <w:sz w:val="18"/>
          <w:szCs w:val="18"/>
        </w:rPr>
        <w:t xml:space="preserve">§2.1.f.ii  </w:t>
      </w:r>
      <w:r>
        <w:rPr>
          <w:rFonts w:ascii="Garamond" w:cs="Garamond" w:eastAsia="Garamond" w:hAnsi="Garamond"/>
          <w:b/>
          <w:bCs/>
          <w:i w:val="false"/>
          <w:iCs w:val="false"/>
          <w:color w:val="1B2A4A"/>
          <w:sz w:val="22"/>
          <w:szCs w:val="22"/>
        </w:rPr>
        <w:t xml:space="preserve">Veto Suspension for Repeated Void Vetoes</w:t>
      </w:r>
    </w:p>
    <w:p>
      <w:pPr>
        <w:spacing w:after="120" w:before="0"/>
        <w:ind w:left="431"/>
        <w:jc w:val="both"/>
      </w:pPr>
      <w:r>
        <w:rPr>
          <w:rFonts w:ascii="Garamond" w:cs="Garamond" w:eastAsia="Garamond" w:hAnsi="Garamond"/>
          <w:b w:val="false"/>
          <w:bCs w:val="false"/>
          <w:i w:val="false"/>
          <w:iCs w:val="false"/>
          <w:color w:val="2a2520"/>
          <w:sz w:val="22"/>
          <w:szCs w:val="22"/>
        </w:rPr>
        <w:t xml:space="preserve">If the Supreme Court voids three Presidential vetoes on scope or justification grounds within any 180-day period, the President's veto authority is suspended for the remainder of that period. The Legislative Inspectorate publishes a finding to the NRS upon suspension. Suspension affects only the veto power — all other presidential authority, including Tier 1 through Tier 3 military authorization, remains fully operative.</w:t>
      </w:r>
    </w:p>
    <w:p>
      <w:pPr>
        <w:spacing w:after="60" w:before="200"/>
        <w:ind w:left="431"/>
        <w:jc w:val="left"/>
      </w:pPr>
      <w:r>
        <w:rPr>
          <w:rFonts w:ascii="Courier New" w:cs="Courier New" w:eastAsia="Courier New" w:hAnsi="Courier New"/>
          <w:b/>
          <w:bCs/>
          <w:color w:val="1B2A4A"/>
          <w:sz w:val="18"/>
          <w:szCs w:val="18"/>
        </w:rPr>
        <w:t xml:space="preserve">§2.1.g  </w:t>
      </w:r>
      <w:r>
        <w:rPr>
          <w:rFonts w:ascii="Garamond" w:cs="Garamond" w:eastAsia="Garamond" w:hAnsi="Garamond"/>
          <w:b/>
          <w:bCs/>
          <w:i w:val="false"/>
          <w:iCs w:val="false"/>
          <w:color w:val="1B2A4A"/>
          <w:sz w:val="22"/>
          <w:szCs w:val="22"/>
        </w:rPr>
        <w:t xml:space="preserve">Presidential Clemency</w:t>
      </w:r>
    </w:p>
    <w:p>
      <w:pPr>
        <w:spacing w:after="120" w:before="0"/>
        <w:ind w:left="431"/>
        <w:jc w:val="both"/>
      </w:pPr>
      <w:r>
        <w:rPr>
          <w:rFonts w:ascii="Garamond" w:cs="Garamond" w:eastAsia="Garamond" w:hAnsi="Garamond"/>
          <w:b w:val="false"/>
          <w:bCs w:val="false"/>
          <w:i w:val="false"/>
          <w:iCs w:val="false"/>
          <w:color w:val="2a2520"/>
          <w:sz w:val="22"/>
          <w:szCs w:val="22"/>
        </w:rPr>
        <w:t xml:space="preserve">Presidential clemency is domain-scoped: military law and national security offenses only. Before any grant, the EI publishes a factual background report to the NRS. Clemency may not be granted for: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Self-clemency is prohibited under §2.9.b. Every petition, every EI report, and every grant or decline is published to the NRS permanently. Every grant is subject to cross-chamber legislative review under §2.9.c.</w:t>
      </w:r>
    </w:p>
    <w:p>
      <w:pPr>
        <w:spacing w:after="60" w:before="200"/>
        <w:ind w:left="431"/>
        <w:jc w:val="left"/>
      </w:pPr>
      <w:r>
        <w:rPr>
          <w:rFonts w:ascii="Courier New" w:cs="Courier New" w:eastAsia="Courier New" w:hAnsi="Courier New"/>
          <w:b/>
          <w:bCs/>
          <w:color w:val="1B2A4A"/>
          <w:sz w:val="18"/>
          <w:szCs w:val="18"/>
        </w:rPr>
        <w:t xml:space="preserve">§2.1.h  </w:t>
      </w:r>
      <w:r>
        <w:rPr>
          <w:rFonts w:ascii="Garamond" w:cs="Garamond" w:eastAsia="Garamond" w:hAnsi="Garamond"/>
          <w:b/>
          <w:bCs/>
          <w:i w:val="false"/>
          <w:iCs w:val="false"/>
          <w:color w:val="1B2A4A"/>
          <w:sz w:val="22"/>
          <w:szCs w:val="22"/>
        </w:rPr>
        <w:t xml:space="preserve">Dual Executive Conflict Resolution During Active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both executives disagree on whether a military operation falls within the Presidential military domain during active operations, either executive may file a written NRS objection within 6 hours. The executives have 12 hours to resolve the dispute by negotiation. Where no resolution is reached, either executive may petition the Supreme Court for an emergency domain determination; the Court must rule within 24 hours of petition. Pending an SC ruling, the Presidential order governs only operations directly connected to the active military situation while all other government functions follow the PM. Where an SC emergency domain determination under this provision is pending, Tier 1 defensive operations continue on the authority of the Presidential order and are deemed certified for funding purposes until the ruling is published, provided the SC petition was filed before the Emergency Defense Allocation window expired.</w:t>
      </w:r>
    </w:p>
    <w:p>
      <w:pPr>
        <w:spacing w:after="60" w:before="200"/>
        <w:ind w:left="431"/>
        <w:jc w:val="left"/>
      </w:pPr>
      <w:r>
        <w:rPr>
          <w:rFonts w:ascii="Courier New" w:cs="Courier New" w:eastAsia="Courier New" w:hAnsi="Courier New"/>
          <w:b/>
          <w:bCs/>
          <w:color w:val="1B2A4A"/>
          <w:sz w:val="18"/>
          <w:szCs w:val="18"/>
        </w:rPr>
        <w:t xml:space="preserve">§2.1.i  </w:t>
      </w:r>
      <w:r>
        <w:rPr>
          <w:rFonts w:ascii="Garamond" w:cs="Garamond" w:eastAsia="Garamond" w:hAnsi="Garamond"/>
          <w:b/>
          <w:bCs/>
          <w:i w:val="false"/>
          <w:iCs w:val="false"/>
          <w:color w:val="1B2A4A"/>
          <w:sz w:val="22"/>
          <w:szCs w:val="22"/>
        </w:rPr>
        <w:t xml:space="preserve">International Trade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negotiates and concludes trade agreements; PM written concurrence is required where the agreement materially affects the domestic economy. National treatment obligations within Republic territory require PM concurrence, as they directly govern how domestic industry is regulated. Where PM concurrence is withheld, domestic provisions may be transmitted to the House Speaker as ordinary legislation. Ratification requires a 2/3 Senate majority under §3.2.e.</w:t>
      </w:r>
    </w:p>
    <w:p>
      <w:pPr>
        <w:spacing w:after="60" w:before="200"/>
        <w:ind w:left="431"/>
        <w:jc w:val="left"/>
      </w:pPr>
      <w:r>
        <w:rPr>
          <w:rFonts w:ascii="Courier New" w:cs="Courier New" w:eastAsia="Courier New" w:hAnsi="Courier New"/>
          <w:b/>
          <w:bCs/>
          <w:color w:val="1B2A4A"/>
          <w:sz w:val="18"/>
          <w:szCs w:val="18"/>
        </w:rPr>
        <w:t xml:space="preserve">§2.1.j  </w:t>
      </w:r>
      <w:r>
        <w:rPr>
          <w:rFonts w:ascii="Garamond" w:cs="Garamond" w:eastAsia="Garamond" w:hAnsi="Garamond"/>
          <w:b/>
          <w:bCs/>
          <w:i w:val="false"/>
          <w:iCs w:val="false"/>
          <w:color w:val="1B2A4A"/>
          <w:sz w:val="22"/>
          <w:szCs w:val="22"/>
        </w:rPr>
        <w:t xml:space="preserve">Presidential Officer Appointments and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nominates the Director of Intelligence, Secretary for Foreign Affairs, and Secretary for Defense. The Senate confirms each nomination by simple majority within a period the Legislature defines by statute. If the Senate has not voted within that period, the President may name an Acting officer from among civil service employees or existing confirmed executive branch officers. All nominations, confirmations, and Acting appointments are published to the NRS within 24 hours. Acting status runs for up to 6 months from the date of appointment. After 6 months, the Acting officer must either be confirmed by the Senate under the standard process or be re-appointed by the President for one further 30-day extension. After that extension expires without Senate confirmation, the most senior career officer in the relevant department holds the role until a nomination is confirmed. The one-extension limit prevents indefinite Acting appointments circumventing Senate confirmation. An officer subject to an active §3.8 impeachment proceeding may not be removed by the President until those proceedings conclude.</w:t>
      </w:r>
    </w:p>
    <w:p>
      <w:pPr>
        <w:spacing w:after="60" w:before="200"/>
        <w:ind w:left="431"/>
        <w:jc w:val="left"/>
      </w:pPr>
      <w:r>
        <w:rPr>
          <w:rFonts w:ascii="Courier New" w:cs="Courier New" w:eastAsia="Courier New" w:hAnsi="Courier New"/>
          <w:b/>
          <w:bCs/>
          <w:color w:val="1B2A4A"/>
          <w:sz w:val="18"/>
          <w:szCs w:val="18"/>
        </w:rPr>
        <w:t xml:space="preserve">§2.2  </w:t>
      </w:r>
      <w:r>
        <w:rPr>
          <w:rFonts w:ascii="Garamond" w:cs="Garamond" w:eastAsia="Garamond" w:hAnsi="Garamond"/>
          <w:b/>
          <w:bCs/>
          <w:i w:val="false"/>
          <w:iCs w:val="false"/>
          <w:color w:val="1B2A4A"/>
          <w:sz w:val="22"/>
          <w:szCs w:val="22"/>
        </w:rPr>
        <w:t xml:space="preserve">The Prime Minister — Domestic Executive Domain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holds residual executive authority over all functions not enumerated as Presidential. To be eligible, a person must have held citizenship for at least 10 years. The PM answers to the House through the confidence mechanism and does not require presidential confirmation for the exercise of the domestic domain.</w:t>
      </w:r>
    </w:p>
    <w:p>
      <w:pPr>
        <w:spacing w:after="60" w:before="200"/>
        <w:ind w:left="431"/>
        <w:jc w:val="left"/>
      </w:pPr>
      <w:r>
        <w:rPr>
          <w:rFonts w:ascii="Courier New" w:cs="Courier New" w:eastAsia="Courier New" w:hAnsi="Courier New"/>
          <w:b/>
          <w:bCs/>
          <w:color w:val="1B2A4A"/>
          <w:sz w:val="18"/>
          <w:szCs w:val="18"/>
        </w:rPr>
        <w:t xml:space="preserve">§2.2.a  </w:t>
      </w:r>
      <w:r>
        <w:rPr>
          <w:rFonts w:ascii="Garamond" w:cs="Garamond" w:eastAsia="Garamond" w:hAnsi="Garamond"/>
          <w:b/>
          <w:bCs/>
          <w:i w:val="false"/>
          <w:iCs w:val="false"/>
          <w:color w:val="1B2A4A"/>
          <w:sz w:val="22"/>
          <w:szCs w:val="22"/>
        </w:rPr>
        <w:t xml:space="preserve">Domestic Policy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Prime Minister holds authority over all domestic policy — healthcare, education, infrastructure, housing, labour, environment, and all domestic regulatory frameworks. This authority is residual: it covers every function not expressly enumerated as Presidential under §2.1.</w:t>
      </w:r>
    </w:p>
    <w:p>
      <w:pPr>
        <w:spacing w:after="60" w:before="200"/>
        <w:ind w:left="431"/>
        <w:jc w:val="left"/>
      </w:pPr>
      <w:r>
        <w:rPr>
          <w:rFonts w:ascii="Courier New" w:cs="Courier New" w:eastAsia="Courier New" w:hAnsi="Courier New"/>
          <w:b/>
          <w:bCs/>
          <w:color w:val="1B2A4A"/>
          <w:sz w:val="18"/>
          <w:szCs w:val="18"/>
        </w:rPr>
        <w:t xml:space="preserve">§2.2.b  </w:t>
      </w:r>
      <w:r>
        <w:rPr>
          <w:rFonts w:ascii="Garamond" w:cs="Garamond" w:eastAsia="Garamond" w:hAnsi="Garamond"/>
          <w:b/>
          <w:bCs/>
          <w:i w:val="false"/>
          <w:iCs w:val="false"/>
          <w:color w:val="1B2A4A"/>
          <w:sz w:val="22"/>
          <w:szCs w:val="22"/>
        </w:rPr>
        <w:t xml:space="preserve">Ministerial Appointments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PM appoints senior domestic officers from candidates whose qualifications have been certified by the JI against criteria established by statute. The registry requirement prevents purely political appointments. Senate confirmation provides a further check. PM removal of appointed officers requires published NRS reasons — arbitrary or politically motivated removal is constitutionally visible.</w:t>
      </w:r>
    </w:p>
    <w:p>
      <w:pPr>
        <w:spacing w:after="60" w:before="200"/>
        <w:ind w:left="431"/>
        <w:jc w:val="left"/>
      </w:pPr>
      <w:r>
        <w:rPr>
          <w:rFonts w:ascii="Courier New" w:cs="Courier New" w:eastAsia="Courier New" w:hAnsi="Courier New"/>
          <w:b/>
          <w:bCs/>
          <w:color w:val="1B2A4A"/>
          <w:sz w:val="18"/>
          <w:szCs w:val="18"/>
        </w:rPr>
        <w:t xml:space="preserve">§2.2.c  </w:t>
      </w:r>
      <w:r>
        <w:rPr>
          <w:rFonts w:ascii="Garamond" w:cs="Garamond" w:eastAsia="Garamond" w:hAnsi="Garamond"/>
          <w:b/>
          <w:bCs/>
          <w:i w:val="false"/>
          <w:iCs w:val="false"/>
          <w:color w:val="1B2A4A"/>
          <w:sz w:val="22"/>
          <w:szCs w:val="22"/>
        </w:rPr>
        <w:t xml:space="preserve">PM Fiscal and Budget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annual budget originates with the PM and requires House passage. The PM's certification function for military expenditure is the financial check on the President's domain: no military operation runs without PM-certified funds.</w:t>
      </w:r>
    </w:p>
    <w:p>
      <w:pPr>
        <w:spacing w:after="60" w:before="200"/>
        <w:ind w:left="431"/>
        <w:jc w:val="left"/>
      </w:pPr>
      <w:r>
        <w:rPr>
          <w:rFonts w:ascii="Courier New" w:cs="Courier New" w:eastAsia="Courier New" w:hAnsi="Courier New"/>
          <w:b/>
          <w:bCs/>
          <w:color w:val="1B2A4A"/>
          <w:sz w:val="18"/>
          <w:szCs w:val="18"/>
        </w:rPr>
        <w:t xml:space="preserve">§2.2.d  </w:t>
      </w:r>
      <w:r>
        <w:rPr>
          <w:rFonts w:ascii="Garamond" w:cs="Garamond" w:eastAsia="Garamond" w:hAnsi="Garamond"/>
          <w:b/>
          <w:bCs/>
          <w:i w:val="false"/>
          <w:iCs w:val="false"/>
          <w:color w:val="1B2A4A"/>
          <w:sz w:val="22"/>
          <w:szCs w:val="22"/>
        </w:rPr>
        <w:t xml:space="preserve">Legislative Review Period</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reviews all enacted legislation and may sign, apply a Fiscal Objection, or apply a Suspensive Veto. Silence within the Legislative Review Period triggers Deemed Enactment — there is no veto by inaction. The Suspensive Veto returns the bill to the Legislature, which may override by 2/3 of both chambers simultaneously.</w:t>
      </w:r>
    </w:p>
    <w:p>
      <w:pPr>
        <w:spacing w:after="60" w:before="200"/>
        <w:ind w:left="431"/>
        <w:jc w:val="left"/>
      </w:pPr>
      <w:r>
        <w:rPr>
          <w:rFonts w:ascii="Courier New" w:cs="Courier New" w:eastAsia="Courier New" w:hAnsi="Courier New"/>
          <w:b/>
          <w:bCs/>
          <w:color w:val="1B2A4A"/>
          <w:sz w:val="18"/>
          <w:szCs w:val="18"/>
        </w:rPr>
        <w:t xml:space="preserve">§2.2.e  </w:t>
      </w:r>
      <w:r>
        <w:rPr>
          <w:rFonts w:ascii="Garamond" w:cs="Garamond" w:eastAsia="Garamond" w:hAnsi="Garamond"/>
          <w:b/>
          <w:bCs/>
          <w:i w:val="false"/>
          <w:iCs w:val="false"/>
          <w:color w:val="1B2A4A"/>
          <w:sz w:val="22"/>
          <w:szCs w:val="22"/>
        </w:rPr>
        <w:t xml:space="preserve">Domestic Emergency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may declare a domestic emergency in response to natural disaster, public health crisis, or civil infrastructure failure. Strictly bounded: no suspension of Article I rights, 30-day initial period renewable by House approval, all emergency orders published to the NRS within 6 hours. The President has no role in domestic emergencies.</w:t>
      </w:r>
    </w:p>
    <w:p>
      <w:pPr>
        <w:spacing w:after="60" w:before="200"/>
        <w:ind w:left="431"/>
        <w:jc w:val="left"/>
      </w:pPr>
      <w:r>
        <w:rPr>
          <w:rFonts w:ascii="Courier New" w:cs="Courier New" w:eastAsia="Courier New" w:hAnsi="Courier New"/>
          <w:b/>
          <w:bCs/>
          <w:color w:val="1B2A4A"/>
          <w:sz w:val="18"/>
          <w:szCs w:val="18"/>
        </w:rPr>
        <w:t xml:space="preserve">§2.2.f  </w:t>
      </w:r>
      <w:r>
        <w:rPr>
          <w:rFonts w:ascii="Garamond" w:cs="Garamond" w:eastAsia="Garamond" w:hAnsi="Garamond"/>
          <w:b/>
          <w:bCs/>
          <w:i w:val="false"/>
          <w:iCs w:val="false"/>
          <w:color w:val="1B2A4A"/>
          <w:sz w:val="22"/>
          <w:szCs w:val="22"/>
        </w:rPr>
        <w:t xml:space="preserve">PM Clemency</w:t>
      </w:r>
    </w:p>
    <w:p>
      <w:pPr>
        <w:spacing w:after="120" w:before="0"/>
        <w:ind w:left="431"/>
        <w:jc w:val="both"/>
      </w:pPr>
      <w:r>
        <w:rPr>
          <w:rFonts w:ascii="Garamond" w:cs="Garamond" w:eastAsia="Garamond" w:hAnsi="Garamond"/>
          <w:b w:val="false"/>
          <w:bCs w:val="false"/>
          <w:i w:val="false"/>
          <w:iCs w:val="false"/>
          <w:color w:val="2a2520"/>
          <w:sz w:val="22"/>
          <w:szCs w:val="22"/>
        </w:rPr>
        <w:t xml:space="preserve">Same procedural structure as Presidential clemency: EI factual report published to NRS before any grant. Self-clemency prohibited under §2.9.b. The PM may not pardon Presidential domain offenses under §2.9.c. Broad amnesty for groups requires legislative action under §2.9.a.</w:t>
      </w:r>
    </w:p>
    <w:p>
      <w:pPr>
        <w:spacing w:after="60" w:before="200"/>
        <w:ind w:left="431"/>
        <w:jc w:val="left"/>
      </w:pPr>
      <w:r>
        <w:rPr>
          <w:rFonts w:ascii="Courier New" w:cs="Courier New" w:eastAsia="Courier New" w:hAnsi="Courier New"/>
          <w:b/>
          <w:bCs/>
          <w:color w:val="1B2A4A"/>
          <w:sz w:val="18"/>
          <w:szCs w:val="18"/>
        </w:rPr>
        <w:t xml:space="preserve">§2.2.g  </w:t>
      </w:r>
      <w:r>
        <w:rPr>
          <w:rFonts w:ascii="Garamond" w:cs="Garamond" w:eastAsia="Garamond" w:hAnsi="Garamond"/>
          <w:b/>
          <w:bCs/>
          <w:i w:val="false"/>
          <w:iCs w:val="false"/>
          <w:color w:val="1B2A4A"/>
          <w:sz w:val="22"/>
          <w:szCs w:val="22"/>
        </w:rPr>
        <w:t xml:space="preserve">PM Information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has a constitutional right to full and timely briefing on all national security matters affecting domestic interests. The President may not withhold information from the PM on grounds of security classification where those matters bear on the PM's domestic responsibilities. The Intelligence Firewall under §1.30.d applies equally to both executives.</w:t>
      </w:r>
    </w:p>
    <w:p>
      <w:pPr>
        <w:spacing w:after="60" w:before="200"/>
        <w:ind w:left="431"/>
        <w:jc w:val="left"/>
      </w:pPr>
      <w:r>
        <w:rPr>
          <w:rFonts w:ascii="Courier New" w:cs="Courier New" w:eastAsia="Courier New" w:hAnsi="Courier New"/>
          <w:b/>
          <w:bCs/>
          <w:color w:val="1B2A4A"/>
          <w:sz w:val="18"/>
          <w:szCs w:val="18"/>
        </w:rPr>
        <w:t xml:space="preserve">§2.2.h  </w:t>
      </w:r>
      <w:r>
        <w:rPr>
          <w:rFonts w:ascii="Garamond" w:cs="Garamond" w:eastAsia="Garamond" w:hAnsi="Garamond"/>
          <w:b/>
          <w:bCs/>
          <w:i w:val="false"/>
          <w:iCs w:val="false"/>
          <w:color w:val="1B2A4A"/>
          <w:sz w:val="22"/>
          <w:szCs w:val="22"/>
        </w:rPr>
        <w:t xml:space="preserve">Caretaker PM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PM is temporarily unable to exercise authority, the most senior confirmed Cabinet Minister by continuous length of service, as certified by the JI, serves as Caretaker PM. The Caretaker PM's authority is limited to maintaining existing policy and emergency functions. Caretaker status expires when a new PM is confirmed by the House or the PM resumes their duties, whichever occurs first.</w:t>
      </w:r>
    </w:p>
    <w:p>
      <w:pPr>
        <w:spacing w:after="60" w:before="200"/>
        <w:ind w:left="431"/>
        <w:jc w:val="left"/>
      </w:pPr>
      <w:r>
        <w:rPr>
          <w:rFonts w:ascii="Courier New" w:cs="Courier New" w:eastAsia="Courier New" w:hAnsi="Courier New"/>
          <w:b/>
          <w:bCs/>
          <w:color w:val="1B2A4A"/>
          <w:sz w:val="18"/>
          <w:szCs w:val="18"/>
        </w:rPr>
        <w:t xml:space="preserve">§2.2.i  </w:t>
      </w:r>
      <w:r>
        <w:rPr>
          <w:rFonts w:ascii="Garamond" w:cs="Garamond" w:eastAsia="Garamond" w:hAnsi="Garamond"/>
          <w:b/>
          <w:bCs/>
          <w:i w:val="false"/>
          <w:iCs w:val="false"/>
          <w:color w:val="1B2A4A"/>
          <w:sz w:val="22"/>
          <w:szCs w:val="22"/>
        </w:rPr>
        <w:t xml:space="preserve">Duty of Refusal</w:t>
      </w:r>
    </w:p>
    <w:p>
      <w:pPr>
        <w:spacing w:after="120" w:before="0"/>
        <w:ind w:left="431"/>
        <w:jc w:val="both"/>
      </w:pPr>
      <w:r>
        <w:rPr>
          <w:rFonts w:ascii="Garamond" w:cs="Garamond" w:eastAsia="Garamond" w:hAnsi="Garamond"/>
          <w:b w:val="false"/>
          <w:bCs w:val="false"/>
          <w:i w:val="false"/>
          <w:iCs w:val="false"/>
          <w:color w:val="2a2520"/>
          <w:sz w:val="22"/>
          <w:szCs w:val="22"/>
        </w:rPr>
        <w:t xml:space="preserve">Civil servants must refuse and report any order that lacks required PM fund certification, violates any Article I right, or has not been recorded on the National Record System. A civil servant who refuses an unconstitutional order may not be dismissed, demoted, or penalized for that refusal. The EI reports any attempt to penalize a refusing civil servant to the NRS.</w:t>
      </w:r>
    </w:p>
    <w:p>
      <w:pPr>
        <w:spacing w:after="60" w:before="200"/>
        <w:ind w:left="431"/>
        <w:jc w:val="left"/>
      </w:pPr>
      <w:r>
        <w:rPr>
          <w:rFonts w:ascii="Courier New" w:cs="Courier New" w:eastAsia="Courier New" w:hAnsi="Courier New"/>
          <w:b/>
          <w:bCs/>
          <w:color w:val="1B2A4A"/>
          <w:sz w:val="18"/>
          <w:szCs w:val="18"/>
        </w:rPr>
        <w:t xml:space="preserve">§2.2.j  </w:t>
      </w:r>
      <w:r>
        <w:rPr>
          <w:rFonts w:ascii="Garamond" w:cs="Garamond" w:eastAsia="Garamond" w:hAnsi="Garamond"/>
          <w:b/>
          <w:bCs/>
          <w:i w:val="false"/>
          <w:iCs w:val="false"/>
          <w:color w:val="1B2A4A"/>
          <w:sz w:val="22"/>
          <w:szCs w:val="22"/>
        </w:rPr>
        <w:t xml:space="preserve">Civil Service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has constitutional responsibility for the integrity of the civil service. Civil service appointments, promotions, and assignments must be made on the basis of merit and qualification, not political affiliation. Civil servants are protected from retaliation for exercising their duty of refusal under §2.2.i. The Legislature must by statute establish a Civil Service Commission with independent oversight of hiring, promotion, and disciplinary processes within the civil service.</w:t>
      </w:r>
    </w:p>
    <w:p>
      <w:pPr>
        <w:spacing w:after="60" w:before="200"/>
        <w:ind w:left="431"/>
        <w:jc w:val="left"/>
      </w:pPr>
      <w:r>
        <w:rPr>
          <w:rFonts w:ascii="Courier New" w:cs="Courier New" w:eastAsia="Courier New" w:hAnsi="Courier New"/>
          <w:b/>
          <w:bCs/>
          <w:color w:val="1B2A4A"/>
          <w:sz w:val="18"/>
          <w:szCs w:val="18"/>
        </w:rPr>
        <w:t xml:space="preserve">§2.2.k  </w:t>
      </w:r>
      <w:r>
        <w:rPr>
          <w:rFonts w:ascii="Garamond" w:cs="Garamond" w:eastAsia="Garamond" w:hAnsi="Garamond"/>
          <w:b/>
          <w:bCs/>
          <w:i w:val="false"/>
          <w:iCs w:val="false"/>
          <w:color w:val="1B2A4A"/>
          <w:sz w:val="22"/>
          <w:szCs w:val="22"/>
        </w:rPr>
        <w:t xml:space="preserve">Domestic Affairs Council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administers domestic executive functions through the Domestic Affairs Council — the coordinating body of senior Cabinet Ministers responsible for the delivery of BNF obligations, oversight of devolved Territories, co-management of National Trust lands, and other domestic functions assigned by statute. The Domestic Affairs Council is chaired by the PM. Its membership, structure, and operational mandate are defined by statute. The Council operates under the PM's constitutional domestic authority and is not an independent constitutional body.</w:t>
      </w:r>
    </w:p>
    <w:p>
      <w:pPr>
        <w:spacing w:after="60" w:before="200"/>
        <w:ind w:left="431"/>
        <w:jc w:val="left"/>
      </w:pPr>
      <w:r>
        <w:rPr>
          <w:rFonts w:ascii="Courier New" w:cs="Courier New" w:eastAsia="Courier New" w:hAnsi="Courier New"/>
          <w:b/>
          <w:bCs/>
          <w:color w:val="1B2A4A"/>
          <w:sz w:val="18"/>
          <w:szCs w:val="18"/>
        </w:rPr>
        <w:t xml:space="preserve">§2.3  </w:t>
      </w:r>
      <w:r>
        <w:rPr>
          <w:rFonts w:ascii="Garamond" w:cs="Garamond" w:eastAsia="Garamond" w:hAnsi="Garamond"/>
          <w:b/>
          <w:bCs/>
          <w:i w:val="false"/>
          <w:iCs w:val="false"/>
          <w:color w:val="1B2A4A"/>
          <w:sz w:val="22"/>
          <w:szCs w:val="22"/>
        </w:rPr>
        <w:t xml:space="preserve">Prime Minister — Accountability and Formation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Prime Minister is accountable to the House through the mechanisms of this section. The House's power to remove the PM is matched by its constitutional obligation to maintain a functioning government.</w:t>
      </w:r>
    </w:p>
    <w:p>
      <w:pPr>
        <w:spacing w:after="60" w:before="200"/>
        <w:ind w:left="431"/>
        <w:jc w:val="left"/>
      </w:pPr>
      <w:r>
        <w:rPr>
          <w:rFonts w:ascii="Courier New" w:cs="Courier New" w:eastAsia="Courier New" w:hAnsi="Courier New"/>
          <w:b/>
          <w:bCs/>
          <w:color w:val="1B2A4A"/>
          <w:sz w:val="18"/>
          <w:szCs w:val="18"/>
        </w:rPr>
        <w:t xml:space="preserve">§2.3.a  </w:t>
      </w:r>
      <w:r>
        <w:rPr>
          <w:rFonts w:ascii="Garamond" w:cs="Garamond" w:eastAsia="Garamond" w:hAnsi="Garamond"/>
          <w:b/>
          <w:bCs/>
          <w:i w:val="false"/>
          <w:iCs w:val="false"/>
          <w:color w:val="1B2A4A"/>
          <w:sz w:val="22"/>
          <w:szCs w:val="22"/>
        </w:rPr>
        <w:t xml:space="preserve">Constructive Vote of No Confidence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House cannot simply vote 'no confidence' and leave a vacuum; it must simultaneously elect a replacement by absolute majority of full seated House membership. Both the removal and successor election occur in the same vote.</w:t>
      </w:r>
    </w:p>
    <w:p>
      <w:pPr>
        <w:spacing w:after="60" w:before="200"/>
        <w:ind w:left="431"/>
        <w:jc w:val="left"/>
      </w:pPr>
      <w:r>
        <w:rPr>
          <w:rFonts w:ascii="Courier New" w:cs="Courier New" w:eastAsia="Courier New" w:hAnsi="Courier New"/>
          <w:b/>
          <w:bCs/>
          <w:color w:val="1B2A4A"/>
          <w:sz w:val="18"/>
          <w:szCs w:val="18"/>
        </w:rPr>
        <w:t xml:space="preserve">§2.3.b  </w:t>
      </w:r>
      <w:r>
        <w:rPr>
          <w:rFonts w:ascii="Garamond" w:cs="Garamond" w:eastAsia="Garamond" w:hAnsi="Garamond"/>
          <w:b/>
          <w:bCs/>
          <w:i w:val="false"/>
          <w:iCs w:val="false"/>
          <w:color w:val="1B2A4A"/>
          <w:sz w:val="22"/>
          <w:szCs w:val="22"/>
        </w:rPr>
        <w:t xml:space="preserve">PM Maximum Consecutive Service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8-year maximum — no PM may serve more than 8 consecutive years. After 8 years, the PM must stand down even if the House would re-elect them. The 8-year maximum and the constructive vote operate independently — a PM reaching 8 years is replaced through a House election of a successor.</w:t>
      </w:r>
    </w:p>
    <w:p>
      <w:pPr>
        <w:spacing w:after="60" w:before="200"/>
        <w:ind w:left="431"/>
        <w:jc w:val="left"/>
      </w:pPr>
      <w:r>
        <w:rPr>
          <w:rFonts w:ascii="Courier New" w:cs="Courier New" w:eastAsia="Courier New" w:hAnsi="Courier New"/>
          <w:b/>
          <w:bCs/>
          <w:color w:val="1B2A4A"/>
          <w:sz w:val="18"/>
          <w:szCs w:val="18"/>
        </w:rPr>
        <w:t xml:space="preserve">§2.3.c  </w:t>
      </w:r>
      <w:r>
        <w:rPr>
          <w:rFonts w:ascii="Garamond" w:cs="Garamond" w:eastAsia="Garamond" w:hAnsi="Garamond"/>
          <w:b/>
          <w:bCs/>
          <w:i w:val="false"/>
          <w:iCs w:val="false"/>
          <w:color w:val="1B2A4A"/>
          <w:sz w:val="22"/>
          <w:szCs w:val="22"/>
        </w:rPr>
        <w:t xml:space="preserve">PM Formation and Senate Designation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House elects the PM by absolute majority of full seated membership within 30 days of any general election. The House may attempt to elect a PM at any time. If the House has not elected a PM within 30 days, the most senior confirmed Cabinet Minister by continuous length of service continues as Caretaker PM under §2.2.h. Where the House has not elected a PM within 30 days, the Senate may, by 2/3 supermajority of full seated membership, designate a serving House member as PM. A PM designated under this provision holds full constitutional PM authority and is subject to the same obligations, term limits, and removal procedures as a PM elected by the House, including constructive no-confidence under §2.3.a and the 8-year maximum under §2.3.b. If the House subsequently elects a PM by absolute majority, that election terminates the Senate designation. Where the House has not elected a PM within 30 days, the Legislative Inspectorate publishes a weekly report to the NRS naming each member's participation record — votes taken, candidates proposed, and each member's individual participation — forming the permanent constitutional accountability record for that term.</w:t>
      </w:r>
    </w:p>
    <w:p>
      <w:pPr>
        <w:spacing w:after="60" w:before="200"/>
        <w:ind w:left="431"/>
        <w:jc w:val="left"/>
      </w:pPr>
      <w:r>
        <w:rPr>
          <w:rFonts w:ascii="Courier New" w:cs="Courier New" w:eastAsia="Courier New" w:hAnsi="Courier New"/>
          <w:b/>
          <w:bCs/>
          <w:color w:val="1B2A4A"/>
          <w:sz w:val="18"/>
          <w:szCs w:val="18"/>
        </w:rPr>
        <w:t xml:space="preserve">§2.4  </w:t>
      </w:r>
      <w:r>
        <w:rPr>
          <w:rFonts w:ascii="Garamond" w:cs="Garamond" w:eastAsia="Garamond" w:hAnsi="Garamond"/>
          <w:b/>
          <w:bCs/>
          <w:i w:val="false"/>
          <w:iCs w:val="false"/>
          <w:color w:val="1B2A4A"/>
          <w:sz w:val="22"/>
          <w:szCs w:val="22"/>
        </w:rPr>
        <w:t xml:space="preserve">Prime Minister — Legislative Instruments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holds two instruments for engaging the Legislature on enacted bills: the Suspensive Veto and the Fiscal Objection.</w:t>
      </w:r>
    </w:p>
    <w:p>
      <w:pPr>
        <w:spacing w:after="60" w:before="200"/>
        <w:ind w:left="431"/>
        <w:jc w:val="left"/>
      </w:pPr>
      <w:r>
        <w:rPr>
          <w:rFonts w:ascii="Courier New" w:cs="Courier New" w:eastAsia="Courier New" w:hAnsi="Courier New"/>
          <w:b/>
          <w:bCs/>
          <w:color w:val="1B2A4A"/>
          <w:sz w:val="18"/>
          <w:szCs w:val="18"/>
        </w:rPr>
        <w:t xml:space="preserve">§2.4.a  </w:t>
      </w:r>
      <w:r>
        <w:rPr>
          <w:rFonts w:ascii="Garamond" w:cs="Garamond" w:eastAsia="Garamond" w:hAnsi="Garamond"/>
          <w:b/>
          <w:bCs/>
          <w:i w:val="false"/>
          <w:iCs w:val="false"/>
          <w:color w:val="1B2A4A"/>
          <w:sz w:val="22"/>
          <w:szCs w:val="22"/>
        </w:rPr>
        <w:t xml:space="preserve">Suspensive Veto</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may return any bill to the Legislature with a written Statement of Objection specifying the constitutional, fiscal, or operational grounds. The statement is recorded permanently on the NRS. The Legislature may override by 2/3 of both chambers simultaneously. The suspensive veto may not be used on: the annual budget; any bill the Legislature has certified as directly implementing a constitutional obligation; or any bill passed under the §2.8 Emergency Governance Protocol. If the Legislature does not hold an override vote within 90 days of the bill being returned, the bill lapses. The PM may apply the suspensive veto to any single bill only once.</w:t>
      </w:r>
    </w:p>
    <w:p>
      <w:pPr>
        <w:spacing w:after="60" w:before="200"/>
        <w:ind w:left="431"/>
        <w:jc w:val="left"/>
      </w:pPr>
      <w:r>
        <w:rPr>
          <w:rFonts w:ascii="Courier New" w:cs="Courier New" w:eastAsia="Courier New" w:hAnsi="Courier New"/>
          <w:b/>
          <w:bCs/>
          <w:color w:val="1B2A4A"/>
          <w:sz w:val="18"/>
          <w:szCs w:val="18"/>
        </w:rPr>
        <w:t xml:space="preserve">§2.4.b  </w:t>
      </w:r>
      <w:r>
        <w:rPr>
          <w:rFonts w:ascii="Garamond" w:cs="Garamond" w:eastAsia="Garamond" w:hAnsi="Garamond"/>
          <w:b/>
          <w:bCs/>
          <w:i w:val="false"/>
          <w:iCs w:val="false"/>
          <w:color w:val="1B2A4A"/>
          <w:sz w:val="22"/>
          <w:szCs w:val="22"/>
        </w:rPr>
        <w:t xml:space="preserve">Fiscal Objection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narrower tool than the Suspensive Veto. The PM may object to legislation on specific solvency grounds: the bill, if enacted, would cause or materially worsen a structural deficit beyond constitutional thresholds. Requires MA assessment within 21 days. House may override by simple majority after receiving the assessment.</w:t>
      </w:r>
    </w:p>
    <w:p>
      <w:pPr>
        <w:spacing w:after="60" w:before="200"/>
        <w:ind w:left="431"/>
        <w:jc w:val="left"/>
      </w:pPr>
      <w:r>
        <w:rPr>
          <w:rFonts w:ascii="Courier New" w:cs="Courier New" w:eastAsia="Courier New" w:hAnsi="Courier New"/>
          <w:b/>
          <w:bCs/>
          <w:color w:val="1B2A4A"/>
          <w:sz w:val="18"/>
          <w:szCs w:val="18"/>
        </w:rPr>
        <w:t xml:space="preserve">§2.4.c  </w:t>
      </w:r>
      <w:r>
        <w:rPr>
          <w:rFonts w:ascii="Garamond" w:cs="Garamond" w:eastAsia="Garamond" w:hAnsi="Garamond"/>
          <w:b/>
          <w:bCs/>
          <w:i w:val="false"/>
          <w:iCs w:val="false"/>
          <w:color w:val="1B2A4A"/>
          <w:sz w:val="22"/>
          <w:szCs w:val="22"/>
        </w:rPr>
        <w:t xml:space="preserve">Deemed Enactment</w:t>
      </w:r>
    </w:p>
    <w:p>
      <w:pPr>
        <w:spacing w:after="120" w:before="0"/>
        <w:ind w:left="431"/>
        <w:jc w:val="both"/>
      </w:pPr>
      <w:r>
        <w:rPr>
          <w:rFonts w:ascii="Garamond" w:cs="Garamond" w:eastAsia="Garamond" w:hAnsi="Garamond"/>
          <w:b w:val="false"/>
          <w:bCs w:val="false"/>
          <w:i w:val="false"/>
          <w:iCs w:val="false"/>
          <w:color w:val="2a2520"/>
          <w:sz w:val="22"/>
          <w:szCs w:val="22"/>
        </w:rPr>
        <w:t xml:space="preserve">If the PM neither signs nor objects within the Legislative Review Period, the bill is automatically enacted. Silence is not a veto.</w:t>
      </w:r>
    </w:p>
    <w:p>
      <w:pPr>
        <w:spacing w:after="60" w:before="200"/>
        <w:ind w:left="431"/>
        <w:jc w:val="left"/>
      </w:pPr>
      <w:r>
        <w:rPr>
          <w:rFonts w:ascii="Courier New" w:cs="Courier New" w:eastAsia="Courier New" w:hAnsi="Courier New"/>
          <w:b/>
          <w:bCs/>
          <w:color w:val="1B2A4A"/>
          <w:sz w:val="18"/>
          <w:szCs w:val="18"/>
        </w:rPr>
        <w:t xml:space="preserve">§2.5  </w:t>
      </w:r>
      <w:r>
        <w:rPr>
          <w:rFonts w:ascii="Garamond" w:cs="Garamond" w:eastAsia="Garamond" w:hAnsi="Garamond"/>
          <w:b/>
          <w:bCs/>
          <w:i w:val="false"/>
          <w:iCs w:val="false"/>
          <w:color w:val="1B2A4A"/>
          <w:sz w:val="22"/>
          <w:szCs w:val="22"/>
        </w:rPr>
        <w:t xml:space="preserve">Legislative Review Period</w:t>
      </w:r>
    </w:p>
    <w:p>
      <w:pPr>
        <w:spacing w:after="120" w:before="0"/>
        <w:ind w:left="431"/>
        <w:jc w:val="both"/>
      </w:pPr>
      <w:r>
        <w:rPr>
          <w:rFonts w:ascii="Garamond" w:cs="Garamond" w:eastAsia="Garamond" w:hAnsi="Garamond"/>
          <w:b w:val="false"/>
          <w:bCs w:val="false"/>
          <w:i w:val="false"/>
          <w:iCs w:val="false"/>
          <w:color w:val="2a2520"/>
          <w:sz w:val="22"/>
          <w:szCs w:val="22"/>
        </w:rPr>
        <w:t xml:space="preserve">Both executives hold a concurrent review period following final passage of any bill.</w:t>
      </w:r>
    </w:p>
    <w:p>
      <w:pPr>
        <w:spacing w:after="60" w:before="200"/>
        <w:ind w:left="431"/>
        <w:jc w:val="left"/>
      </w:pPr>
      <w:r>
        <w:rPr>
          <w:rFonts w:ascii="Courier New" w:cs="Courier New" w:eastAsia="Courier New" w:hAnsi="Courier New"/>
          <w:b/>
          <w:bCs/>
          <w:color w:val="1B2A4A"/>
          <w:sz w:val="18"/>
          <w:szCs w:val="18"/>
        </w:rPr>
        <w:t xml:space="preserve">§2.5.a  </w:t>
      </w:r>
      <w:r>
        <w:rPr>
          <w:rFonts w:ascii="Garamond" w:cs="Garamond" w:eastAsia="Garamond" w:hAnsi="Garamond"/>
          <w:b/>
          <w:bCs/>
          <w:i w:val="false"/>
          <w:iCs w:val="false"/>
          <w:color w:val="1B2A4A"/>
          <w:sz w:val="22"/>
          <w:szCs w:val="22"/>
        </w:rPr>
        <w:t xml:space="preserve">Legislative Review Period — Duration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presidential veto period may not exceed 20 days; the PM objection period may not exceed 45 days. The periods run concurrently from the date of final passage in both chambers. If neither executive acts within their respective period, the bill is deemed enacted. The President and PM may jointly agree to shorten a review period but may not extend it beyond the statutory maximum. Where both executives act on the same bill, the instruments operate in parallel. A legislative override of a Presidential veto restores the bill; any pending PM objection period continues from where it stands. Resolution of one executive's instrument does not moot the other's.</w:t>
      </w:r>
    </w:p>
    <w:p>
      <w:pPr>
        <w:spacing w:after="60" w:before="200"/>
        <w:ind w:left="431"/>
        <w:jc w:val="left"/>
      </w:pPr>
      <w:r>
        <w:rPr>
          <w:rFonts w:ascii="Courier New" w:cs="Courier New" w:eastAsia="Courier New" w:hAnsi="Courier New"/>
          <w:b/>
          <w:bCs/>
          <w:color w:val="1B2A4A"/>
          <w:sz w:val="18"/>
          <w:szCs w:val="18"/>
        </w:rPr>
        <w:t xml:space="preserve">§2.6  </w:t>
      </w:r>
      <w:r>
        <w:rPr>
          <w:rFonts w:ascii="Garamond" w:cs="Garamond" w:eastAsia="Garamond" w:hAnsi="Garamond"/>
          <w:b/>
          <w:bCs/>
          <w:i w:val="false"/>
          <w:iCs w:val="false"/>
          <w:color w:val="1B2A4A"/>
          <w:sz w:val="22"/>
          <w:szCs w:val="22"/>
        </w:rPr>
        <w:t xml:space="preserve">Presidential Succession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President's succession and acting authority framework is established in §2.6.a through §2.6.c.</w:t>
      </w:r>
    </w:p>
    <w:p>
      <w:pPr>
        <w:spacing w:after="60" w:before="200"/>
        <w:ind w:left="431"/>
        <w:jc w:val="left"/>
      </w:pPr>
      <w:r>
        <w:rPr>
          <w:rFonts w:ascii="Courier New" w:cs="Courier New" w:eastAsia="Courier New" w:hAnsi="Courier New"/>
          <w:b/>
          <w:bCs/>
          <w:color w:val="1B2A4A"/>
          <w:sz w:val="18"/>
          <w:szCs w:val="18"/>
        </w:rPr>
        <w:t xml:space="preserve">§2.6.a  </w:t>
      </w:r>
      <w:r>
        <w:rPr>
          <w:rFonts w:ascii="Garamond" w:cs="Garamond" w:eastAsia="Garamond" w:hAnsi="Garamond"/>
          <w:b/>
          <w:bCs/>
          <w:i w:val="false"/>
          <w:iCs w:val="false"/>
          <w:color w:val="1B2A4A"/>
          <w:sz w:val="22"/>
          <w:szCs w:val="22"/>
        </w:rPr>
        <w:t xml:space="preserve">Presidential Succession Line</w:t>
      </w:r>
    </w:p>
    <w:p>
      <w:pPr>
        <w:spacing w:after="120" w:before="0"/>
        <w:ind w:left="431"/>
        <w:jc w:val="both"/>
      </w:pPr>
      <w:r>
        <w:rPr>
          <w:rFonts w:ascii="Garamond" w:cs="Garamond" w:eastAsia="Garamond" w:hAnsi="Garamond"/>
          <w:b w:val="false"/>
          <w:bCs w:val="false"/>
          <w:i w:val="false"/>
          <w:iCs w:val="false"/>
          <w:color w:val="2a2520"/>
          <w:sz w:val="22"/>
          <w:szCs w:val="22"/>
        </w:rPr>
        <w:t xml:space="preserve">Full succession activates on Presidential death, resignation, removal, or certified permanent incapacity under §2.6.b. Authority transfers in order: (1) the Senate Speaker; (2) the Senate Deputy Speaker; (3) the most senior member of the Senate Armed Services Committee by years of Senate service. Where the Senate Speaker assumes the presidency — a permanent succession event — their Senate seat is immediately vacated and the Deputy Speaker assumes the Speaker role. A special presidential election must be held within 90 days of the vacancy. This seat vacation applies only to §2.6.a permanent succession; it does not apply to Temporary Acting Presidential Authority under §2.6.b.</w:t>
      </w:r>
    </w:p>
    <w:p>
      <w:pPr>
        <w:spacing w:after="60" w:before="200"/>
        <w:ind w:left="431"/>
        <w:jc w:val="left"/>
      </w:pPr>
      <w:r>
        <w:rPr>
          <w:rFonts w:ascii="Courier New" w:cs="Courier New" w:eastAsia="Courier New" w:hAnsi="Courier New"/>
          <w:b/>
          <w:bCs/>
          <w:color w:val="1B2A4A"/>
          <w:sz w:val="18"/>
          <w:szCs w:val="18"/>
        </w:rPr>
        <w:t xml:space="preserve">§2.6.b  </w:t>
      </w:r>
      <w:r>
        <w:rPr>
          <w:rFonts w:ascii="Garamond" w:cs="Garamond" w:eastAsia="Garamond" w:hAnsi="Garamond"/>
          <w:b/>
          <w:bCs/>
          <w:i w:val="false"/>
          <w:iCs w:val="false"/>
          <w:color w:val="1B2A4A"/>
          <w:sz w:val="22"/>
          <w:szCs w:val="22"/>
        </w:rPr>
        <w:t xml:space="preserve">Temporary Acting Presidential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Temporary Acting Presidential Authority activates through one of two mechanisms. (a) Voluntary transfer: the President publishes a declaration of temporary transfer to the NRS specifying the reason and expected duration; Acting Presidential Authority activates at the moment of NRS publication. (b) Involuntary certification: where the President is suddenly incapacitated and cannot make a voluntary declaration, the Executive Inspectorate and Legislative Inspectorate jointly assess the President's capacity to perform presidential functions. If both Inspectorates reach the same conclusion, they publish a joint assessment to the NRS within 6 hours. The Prime Minister must affirm or formally decline the joint assessment within 3 hours of its NRS publication. If the PM affirms, the Senate Speaker activates Acting Presidential Authority immediately upon NRS publication of the PM's affirmation. If the PM formally declines or fails to respond within 3 hours, either Inspectorate may refer the matter to the most senior available Supreme Court justice. If the justice agrees with the joint Inspectorate assessment, the Senate Speaker acts as Acting President on a provisional basis until an emergency Supreme Court panel delivers a definitive ruling, or the President resumes presidential duties, whichever occurs first. If the justice does not agree, no provisional activation occurs; the matter proceeds to the court panel with the President remaining in office. If the EI and LI reach different conclusions in their assessments, no certification is possible and there is no further recourse under this provision; the President remains in office. A PM who formally declines a joint Inspectorate incapacity assessment without stating constitutional grounds is in constitutional compliance failure; the EI publishes a finding of that failure to the NRS. During any period of Temporary Acting Presidential Authority: (1) the Senate Speaker exercises all constitutional powers of the presidential office, including Tier 1 through Tier 3 military authority, treaty functions, and intelligence oversight; (2) the Senate Speaker retains their Senate seat, which is not vacated; (3) the Deputy Speaker assumes the Senate's presiding functions and the Speaker's position in the presidential succession line for the duration; (4) no special presidential election is triggered; (5) the acting period does not constitute a succession event under §2.6.a and does not expend or initiate any presidential term. Temporary Acting Presidential Authority ends upon: (i) the President publishing a restoration declaration to the NRS, at which point the President immediately resumes full authority; or (ii) the EI and LI jointly certifying and publishing to the NRS that the incapacity has ended, with PM affirmation within 3 hours, at which point the President immediately resumes full authority. Where Temporary Acting Presidential Authority extends beyond 90 consecutive days without restoration, the EI and LI must jointly assess whether the incapacity has become permanent and publish their assessment to the NRS within 7 days of the 90-day mark, with PM affirmation required within 3 hours. The PM refusal mechanism applies identically to this reassessment. If permanent incapacity is certified, §2.6.a succession activates immediately — Acting Presidential Authority converts to full succession, the Speaker's Senate seat is vacated, and the Deputy Speaker assumes the Speaker role permanently. If continued temporary incapacity is certified, Acting Presidential Authority continues and the assessment repeats every 30 days until restoration or permanent certification.</w:t>
      </w:r>
    </w:p>
    <w:p>
      <w:pPr>
        <w:spacing w:after="60" w:before="200"/>
        <w:ind w:left="431"/>
        <w:jc w:val="left"/>
      </w:pPr>
      <w:r>
        <w:rPr>
          <w:rFonts w:ascii="Courier New" w:cs="Courier New" w:eastAsia="Courier New" w:hAnsi="Courier New"/>
          <w:b/>
          <w:bCs/>
          <w:color w:val="1B2A4A"/>
          <w:sz w:val="18"/>
          <w:szCs w:val="18"/>
        </w:rPr>
        <w:t xml:space="preserve">§2.6.c  </w:t>
      </w:r>
      <w:r>
        <w:rPr>
          <w:rFonts w:ascii="Garamond" w:cs="Garamond" w:eastAsia="Garamond" w:hAnsi="Garamond"/>
          <w:b/>
          <w:bCs/>
          <w:i w:val="false"/>
          <w:iCs w:val="false"/>
          <w:color w:val="1B2A4A"/>
          <w:sz w:val="22"/>
          <w:szCs w:val="22"/>
        </w:rPr>
        <w:t xml:space="preserve">Succession-Based Presidential Term</w:t>
      </w:r>
    </w:p>
    <w:p>
      <w:pPr>
        <w:spacing w:after="120" w:before="0"/>
        <w:ind w:left="431"/>
        <w:jc w:val="both"/>
      </w:pPr>
      <w:r>
        <w:rPr>
          <w:rFonts w:ascii="Garamond" w:cs="Garamond" w:eastAsia="Garamond" w:hAnsi="Garamond"/>
          <w:b w:val="false"/>
          <w:bCs w:val="false"/>
          <w:i w:val="false"/>
          <w:iCs w:val="false"/>
          <w:color w:val="2a2520"/>
          <w:sz w:val="22"/>
          <w:szCs w:val="22"/>
        </w:rPr>
        <w:t xml:space="preserve">A person who assumes the presidency by succession under §2.6.a does not thereby expend their single non-renewable term. They must stand for election at the next regular National Election Day presidential cycle, or at a special presidential election called by the Legislature within 90 days of succession, to continue serving beyond the succession period. If elected, that term constitutes their single non-renewable term. If not elected, the next person in the succession line assumes the office or a new election is called.</w:t>
      </w:r>
    </w:p>
    <w:p>
      <w:pPr>
        <w:spacing w:after="60" w:before="200"/>
        <w:ind w:left="431"/>
        <w:jc w:val="left"/>
      </w:pPr>
      <w:r>
        <w:rPr>
          <w:rFonts w:ascii="Courier New" w:cs="Courier New" w:eastAsia="Courier New" w:hAnsi="Courier New"/>
          <w:b/>
          <w:bCs/>
          <w:color w:val="1B2A4A"/>
          <w:sz w:val="18"/>
          <w:szCs w:val="18"/>
        </w:rPr>
        <w:t xml:space="preserve">§2.7  </w:t>
      </w:r>
      <w:r>
        <w:rPr>
          <w:rFonts w:ascii="Garamond" w:cs="Garamond" w:eastAsia="Garamond" w:hAnsi="Garamond"/>
          <w:b/>
          <w:bCs/>
          <w:i w:val="false"/>
          <w:iCs w:val="false"/>
          <w:color w:val="1B2A4A"/>
          <w:sz w:val="22"/>
          <w:szCs w:val="22"/>
        </w:rPr>
        <w:t xml:space="preserve">Executive Transparency and NRS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Both executives must publish all official acts — orders, certifications, vetoes, objections, determinations — to the NRS within 48 hours of issuance. No executive may classify, delay, or suppress publication of an act this constitution requires to be published. Failure to publish within 48 hours is a constitutional compliance breach; a late-published act is not void.</w:t>
      </w:r>
    </w:p>
    <w:p>
      <w:pPr>
        <w:spacing w:after="60" w:before="200"/>
        <w:ind w:left="431"/>
        <w:jc w:val="left"/>
      </w:pPr>
      <w:r>
        <w:rPr>
          <w:rFonts w:ascii="Courier New" w:cs="Courier New" w:eastAsia="Courier New" w:hAnsi="Courier New"/>
          <w:b/>
          <w:bCs/>
          <w:color w:val="1B2A4A"/>
          <w:sz w:val="18"/>
          <w:szCs w:val="18"/>
        </w:rPr>
        <w:t xml:space="preserve">§2.8  </w:t>
      </w:r>
      <w:r>
        <w:rPr>
          <w:rFonts w:ascii="Garamond" w:cs="Garamond" w:eastAsia="Garamond" w:hAnsi="Garamond"/>
          <w:b/>
          <w:bCs/>
          <w:i w:val="false"/>
          <w:iCs w:val="false"/>
          <w:color w:val="1B2A4A"/>
          <w:sz w:val="22"/>
          <w:szCs w:val="22"/>
        </w:rPr>
        <w:t xml:space="preserve">Emergency Governance Protocol</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Caretaker PM period extends beyond 90 days without a seated House — accounting for a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under this provision require co-signature of the Caretaker PM and are published to the NRS. This authority expires automatically the moment a new House is seated.</w:t>
      </w:r>
    </w:p>
    <w:p>
      <w:pPr>
        <w:spacing w:after="60" w:before="200"/>
        <w:ind w:left="431"/>
        <w:jc w:val="left"/>
      </w:pPr>
      <w:r>
        <w:rPr>
          <w:rFonts w:ascii="Courier New" w:cs="Courier New" w:eastAsia="Courier New" w:hAnsi="Courier New"/>
          <w:b/>
          <w:bCs/>
          <w:color w:val="1B2A4A"/>
          <w:sz w:val="18"/>
          <w:szCs w:val="18"/>
        </w:rPr>
        <w:t xml:space="preserve">§2.8.a  </w:t>
      </w:r>
      <w:r>
        <w:rPr>
          <w:rFonts w:ascii="Garamond" w:cs="Garamond" w:eastAsia="Garamond" w:hAnsi="Garamond"/>
          <w:b/>
          <w:bCs/>
          <w:i w:val="false"/>
          <w:iCs w:val="false"/>
          <w:color w:val="1B2A4A"/>
          <w:sz w:val="22"/>
          <w:szCs w:val="22"/>
        </w:rPr>
        <w:t xml:space="preserve">Expedited Activation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Legislature has been physically unable to convene due to an attack on the seat of government or other catastrophic external event, the 90-day waiting period of §2.8 is waived. Expedited activation requires joint certification by the Caretaker PM and the most senior available Supreme Court justice, published to the NRS, stating that the Legislature cannot convene due to catastrophic external circumstances. Upon such certification, the Senate may immediately assume the three emergency functions of §2.8 by majority of surviving members. Expedited activation expires automatically upon the House maintaining quorum and electing a Speaker.</w:t>
      </w:r>
    </w:p>
    <w:p>
      <w:pPr>
        <w:spacing w:after="60" w:before="200"/>
        <w:ind w:left="431"/>
        <w:jc w:val="left"/>
      </w:pPr>
      <w:r>
        <w:rPr>
          <w:rFonts w:ascii="Courier New" w:cs="Courier New" w:eastAsia="Courier New" w:hAnsi="Courier New"/>
          <w:b/>
          <w:bCs/>
          <w:color w:val="1B2A4A"/>
          <w:sz w:val="18"/>
          <w:szCs w:val="18"/>
        </w:rPr>
        <w:t xml:space="preserve">§2.9  </w:t>
      </w:r>
      <w:r>
        <w:rPr>
          <w:rFonts w:ascii="Garamond" w:cs="Garamond" w:eastAsia="Garamond" w:hAnsi="Garamond"/>
          <w:b/>
          <w:bCs/>
          <w:i w:val="false"/>
          <w:iCs w:val="false"/>
          <w:color w:val="1B2A4A"/>
          <w:sz w:val="22"/>
          <w:szCs w:val="22"/>
        </w:rPr>
        <w:t xml:space="preserve">Clemency and Amnesty</w:t>
      </w:r>
    </w:p>
    <w:p>
      <w:pPr>
        <w:spacing w:after="120" w:before="0"/>
        <w:ind w:left="431"/>
        <w:jc w:val="both"/>
      </w:pPr>
      <w:r>
        <w:rPr>
          <w:rFonts w:ascii="Garamond" w:cs="Garamond" w:eastAsia="Garamond" w:hAnsi="Garamond"/>
          <w:b w:val="false"/>
          <w:bCs w:val="false"/>
          <w:i w:val="false"/>
          <w:iCs w:val="false"/>
          <w:color w:val="2a2520"/>
          <w:sz w:val="22"/>
          <w:szCs w:val="22"/>
        </w:rPr>
        <w:t xml:space="preserve">Clemency may only be granted within each executive's domain, with full transparency, and subject to cross-chamber review. Presidential clemency is subject to cross-chamber review under §2.9.c. Self-clemency is absolutely prohibited for all constitutional officers.</w:t>
      </w:r>
    </w:p>
    <w:p>
      <w:pPr>
        <w:spacing w:after="60" w:before="200"/>
        <w:ind w:left="431"/>
        <w:jc w:val="left"/>
      </w:pPr>
      <w:r>
        <w:rPr>
          <w:rFonts w:ascii="Courier New" w:cs="Courier New" w:eastAsia="Courier New" w:hAnsi="Courier New"/>
          <w:b/>
          <w:bCs/>
          <w:color w:val="1B2A4A"/>
          <w:sz w:val="18"/>
          <w:szCs w:val="18"/>
        </w:rPr>
        <w:t xml:space="preserve">§2.9.a  </w:t>
      </w:r>
      <w:r>
        <w:rPr>
          <w:rFonts w:ascii="Garamond" w:cs="Garamond" w:eastAsia="Garamond" w:hAnsi="Garamond"/>
          <w:b/>
          <w:bCs/>
          <w:i w:val="false"/>
          <w:iCs w:val="false"/>
          <w:color w:val="1B2A4A"/>
          <w:sz w:val="22"/>
          <w:szCs w:val="22"/>
        </w:rPr>
        <w:t xml:space="preserve">Legislative Amnesty</w:t>
      </w:r>
    </w:p>
    <w:p>
      <w:pPr>
        <w:spacing w:after="120" w:before="0"/>
        <w:ind w:left="431"/>
        <w:jc w:val="both"/>
      </w:pPr>
      <w:r>
        <w:rPr>
          <w:rFonts w:ascii="Garamond" w:cs="Garamond" w:eastAsia="Garamond" w:hAnsi="Garamond"/>
          <w:b w:val="false"/>
          <w:bCs w:val="false"/>
          <w:i w:val="false"/>
          <w:iCs w:val="false"/>
          <w:color w:val="2a2520"/>
          <w:sz w:val="22"/>
          <w:szCs w:val="22"/>
        </w:rPr>
        <w:t xml:space="preserve">Only the Legislature may grant group amnesty, by simple majority of both chambers. No executive may grant group amnesty. Cannot extend to constitutional violations, official misconduct offenses, or crimes against the fundamental rights of §1.3 and §1.4. Subject to judicial review within 60 days of enactment.</w:t>
      </w:r>
    </w:p>
    <w:p>
      <w:pPr>
        <w:spacing w:after="60" w:before="200"/>
        <w:ind w:left="431"/>
        <w:jc w:val="left"/>
      </w:pPr>
      <w:r>
        <w:rPr>
          <w:rFonts w:ascii="Courier New" w:cs="Courier New" w:eastAsia="Courier New" w:hAnsi="Courier New"/>
          <w:b/>
          <w:bCs/>
          <w:color w:val="1B2A4A"/>
          <w:sz w:val="18"/>
          <w:szCs w:val="18"/>
        </w:rPr>
        <w:t xml:space="preserve">§2.9.b  </w:t>
      </w:r>
      <w:r>
        <w:rPr>
          <w:rFonts w:ascii="Garamond" w:cs="Garamond" w:eastAsia="Garamond" w:hAnsi="Garamond"/>
          <w:b/>
          <w:bCs/>
          <w:i w:val="false"/>
          <w:iCs w:val="false"/>
          <w:color w:val="1B2A4A"/>
          <w:sz w:val="22"/>
          <w:szCs w:val="22"/>
        </w:rPr>
        <w:t xml:space="preserve">Self-Clemency Absolute Prohibition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Self-clemency is absolutely prohibited. No elected or appointed official may grant clemency to themselves or to any person whose conviction, if enforced, would directly benefit the official financially, politically, or personally. An attempted self-clemency act is constitutionally void and itself a constitutional violation.</w:t>
      </w:r>
    </w:p>
    <w:p>
      <w:pPr>
        <w:spacing w:after="60" w:before="200"/>
        <w:ind w:left="431"/>
        <w:jc w:val="left"/>
      </w:pPr>
      <w:r>
        <w:rPr>
          <w:rFonts w:ascii="Courier New" w:cs="Courier New" w:eastAsia="Courier New" w:hAnsi="Courier New"/>
          <w:b/>
          <w:bCs/>
          <w:color w:val="1B2A4A"/>
          <w:sz w:val="18"/>
          <w:szCs w:val="18"/>
        </w:rPr>
        <w:t xml:space="preserve">§2.9.c  </w:t>
      </w:r>
      <w:r>
        <w:rPr>
          <w:rFonts w:ascii="Garamond" w:cs="Garamond" w:eastAsia="Garamond" w:hAnsi="Garamond"/>
          <w:b/>
          <w:bCs/>
          <w:i w:val="false"/>
          <w:iCs w:val="false"/>
          <w:color w:val="1B2A4A"/>
          <w:sz w:val="22"/>
          <w:szCs w:val="22"/>
        </w:rPr>
        <w:t xml:space="preserve">Cross-Chamber Clemency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clemency grant — whether by the President under §2.1.g or by the PM under §2.2.f — is subject to cross-chamber legislative review. The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NRS.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§2.1.g and §2.2.f is distinct from the executive's post-grant explanatory report required by this provision — both are published to the NRS and together form the complete clemency record for any grant. The reviewing chamber's 45-day period begins from the date of EI publication. Neither executive may grant clemency for offenses committed within the other executive's domain; any such grant is void without requiring a disapproval vote.</w:t>
      </w:r>
    </w:p>
    <w:p>
      <w:pPr>
        <w:spacing w:after="60" w:before="200"/>
        <w:ind w:left="431"/>
        <w:jc w:val="left"/>
      </w:pPr>
      <w:r>
        <w:rPr>
          <w:rFonts w:ascii="Courier New" w:cs="Courier New" w:eastAsia="Courier New" w:hAnsi="Courier New"/>
          <w:b/>
          <w:bCs/>
          <w:color w:val="1B2A4A"/>
          <w:sz w:val="18"/>
          <w:szCs w:val="18"/>
        </w:rPr>
        <w:t xml:space="preserve">§2.10  </w:t>
      </w:r>
      <w:r>
        <w:rPr>
          <w:rFonts w:ascii="Garamond" w:cs="Garamond" w:eastAsia="Garamond" w:hAnsi="Garamond"/>
          <w:b/>
          <w:bCs/>
          <w:i w:val="false"/>
          <w:iCs w:val="false"/>
          <w:color w:val="1B2A4A"/>
          <w:sz w:val="22"/>
          <w:szCs w:val="22"/>
        </w:rPr>
        <w:t xml:space="preserve">Presidential Removal — Two Political Tracks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may be removed on two independent tracks. The legislative track requires 2/3 of both chambers simultaneously following Inspectorate-certified findings. The popular track requires a Senate majority referral to a national recall referendum under §2.10.b.</w:t>
      </w:r>
    </w:p>
    <w:p>
      <w:pPr>
        <w:spacing w:after="60" w:before="200"/>
        <w:ind w:left="431"/>
        <w:jc w:val="left"/>
      </w:pPr>
      <w:r>
        <w:rPr>
          <w:rFonts w:ascii="Courier New" w:cs="Courier New" w:eastAsia="Courier New" w:hAnsi="Courier New"/>
          <w:b/>
          <w:bCs/>
          <w:color w:val="1B2A4A"/>
          <w:sz w:val="18"/>
          <w:szCs w:val="18"/>
        </w:rPr>
        <w:t xml:space="preserve">§2.10.a  </w:t>
      </w:r>
      <w:r>
        <w:rPr>
          <w:rFonts w:ascii="Garamond" w:cs="Garamond" w:eastAsia="Garamond" w:hAnsi="Garamond"/>
          <w:b/>
          <w:bCs/>
          <w:i w:val="false"/>
          <w:iCs w:val="false"/>
          <w:color w:val="1B2A4A"/>
          <w:sz w:val="22"/>
          <w:szCs w:val="22"/>
        </w:rPr>
        <w:t xml:space="preserve">Legislative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Legislative removal grounds: verified constitutional breach, demonstrated permanent incapacity, or conviction for a disqualifying criminal offense. The LI and EI must jointly certify the grounds before a removal vote can proceed.</w:t>
      </w:r>
    </w:p>
    <w:p>
      <w:pPr>
        <w:spacing w:after="60" w:before="200"/>
        <w:ind w:left="431"/>
        <w:jc w:val="left"/>
      </w:pPr>
      <w:r>
        <w:rPr>
          <w:rFonts w:ascii="Courier New" w:cs="Courier New" w:eastAsia="Courier New" w:hAnsi="Courier New"/>
          <w:b/>
          <w:bCs/>
          <w:color w:val="1B2A4A"/>
          <w:sz w:val="18"/>
          <w:szCs w:val="18"/>
        </w:rPr>
        <w:t xml:space="preserve">§2.10.b  </w:t>
      </w:r>
      <w:r>
        <w:rPr>
          <w:rFonts w:ascii="Garamond" w:cs="Garamond" w:eastAsia="Garamond" w:hAnsi="Garamond"/>
          <w:b/>
          <w:bCs/>
          <w:i w:val="false"/>
          <w:iCs w:val="false"/>
          <w:color w:val="1B2A4A"/>
          <w:sz w:val="22"/>
          <w:szCs w:val="22"/>
        </w:rPr>
        <w:t xml:space="preserve">Senate Referral to Popular Recall</w:t>
      </w:r>
    </w:p>
    <w:p>
      <w:pPr>
        <w:spacing w:after="120" w:before="0"/>
        <w:ind w:left="431"/>
        <w:jc w:val="both"/>
      </w:pPr>
      <w:r>
        <w:rPr>
          <w:rFonts w:ascii="Garamond" w:cs="Garamond" w:eastAsia="Garamond" w:hAnsi="Garamond"/>
          <w:b w:val="false"/>
          <w:bCs w:val="false"/>
          <w:i w:val="false"/>
          <w:iCs w:val="false"/>
          <w:color w:val="2a2520"/>
          <w:sz w:val="22"/>
          <w:szCs w:val="22"/>
        </w:rPr>
        <w:t xml:space="preserve">A simple majority of the full Senate membership may refer the question of presidential removal to a national recall referendum. The EC administers the referendum within 90 days of the Senate vote. The President is removed if 60% of votes cast are affirmative with at least 55% citizen participation. A failed referendum cannot be re-initiated within the same presidential term. The Senate Speaker assumes Acting Presidential Authority under §2.6.b from the date the Senate votes to refer until the referendum result is certified — the Speaker's Senate seat is not vacated during this period. If the referendum fails, the President resumes full authority immediately upon certification. If the referendum succeeds, §2.6.a permanent succession activates at the moment of result certification.</w:t>
      </w:r>
    </w:p>
    <w:p>
      <w:pPr>
        <w:spacing w:after="60" w:before="200"/>
        <w:ind w:left="431"/>
        <w:jc w:val="left"/>
      </w:pPr>
      <w:r>
        <w:rPr>
          <w:rFonts w:ascii="Courier New" w:cs="Courier New" w:eastAsia="Courier New" w:hAnsi="Courier New"/>
          <w:b/>
          <w:bCs/>
          <w:color w:val="1B2A4A"/>
          <w:sz w:val="18"/>
          <w:szCs w:val="18"/>
        </w:rPr>
        <w:t xml:space="preserve">§2.10.c  </w:t>
      </w:r>
      <w:r>
        <w:rPr>
          <w:rFonts w:ascii="Garamond" w:cs="Garamond" w:eastAsia="Garamond" w:hAnsi="Garamond"/>
          <w:b/>
          <w:bCs/>
          <w:i w:val="false"/>
          <w:iCs w:val="false"/>
          <w:color w:val="1B2A4A"/>
          <w:sz w:val="22"/>
          <w:szCs w:val="22"/>
        </w:rPr>
        <w:t xml:space="preserve">One Referral Per Term</w:t>
      </w:r>
    </w:p>
    <w:p>
      <w:pPr>
        <w:spacing w:after="120" w:before="0"/>
        <w:ind w:left="431"/>
        <w:jc w:val="both"/>
      </w:pPr>
      <w:r>
        <w:rPr>
          <w:rFonts w:ascii="Garamond" w:cs="Garamond" w:eastAsia="Garamond" w:hAnsi="Garamond"/>
          <w:b w:val="false"/>
          <w:bCs w:val="false"/>
          <w:i w:val="false"/>
          <w:iCs w:val="false"/>
          <w:color w:val="2a2520"/>
          <w:sz w:val="22"/>
          <w:szCs w:val="22"/>
        </w:rPr>
        <w:t xml:space="preserve">No second Senate referral to popular recall within the same presidential term. One-shot rule prevents a hostile Senate from using repeated recall elections as attrition. After a failed recall, the President serves out their term with the NRS record intact.</w:t>
      </w:r>
    </w:p>
    <w:p>
      <w:pPr>
        <w:spacing w:after="60" w:before="200"/>
        <w:jc w:val="left"/>
      </w:pPr>
      <w:r>
        <w:rPr>
          <w:rFonts w:ascii="Garamond" w:cs="Garamond" w:eastAsia="Garamond" w:hAnsi="Garamond"/>
          <w:b/>
          <w:bCs/>
          <w:i w:val="false"/>
          <w:iCs w:val="false"/>
          <w:color w:val="1B2A4A"/>
          <w:sz w:val="34"/>
          <w:szCs w:val="34"/>
        </w:rPr>
        <w:t xml:space="preserve">Article III — The Legislature</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§3.1  </w:t>
      </w:r>
      <w:r>
        <w:rPr>
          <w:rFonts w:ascii="Garamond" w:cs="Garamond" w:eastAsia="Garamond" w:hAnsi="Garamond"/>
          <w:b/>
          <w:bCs/>
          <w:i w:val="false"/>
          <w:iCs w:val="false"/>
          <w:color w:val="1B2A4A"/>
          <w:sz w:val="22"/>
          <w:szCs w:val="22"/>
        </w:rPr>
        <w:t xml:space="preserve">The House of Representatives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House of Representatives is the proportional chamber of the Legislature — directly elected by citizens on the basis of population. All legislation originates in the House and the PM is elected and accountable to it. Both States and Territories send voting members to the House. Territorial members hold full voting rights on all House business, including legislation, confidence motions, and committee assignments. There are no second-class members of the House.</w:t>
      </w:r>
    </w:p>
    <w:p>
      <w:pPr>
        <w:spacing w:after="60" w:before="200"/>
        <w:ind w:left="431"/>
        <w:jc w:val="left"/>
      </w:pPr>
      <w:r>
        <w:rPr>
          <w:rFonts w:ascii="Courier New" w:cs="Courier New" w:eastAsia="Courier New" w:hAnsi="Courier New"/>
          <w:b/>
          <w:bCs/>
          <w:color w:val="1B2A4A"/>
          <w:sz w:val="18"/>
          <w:szCs w:val="18"/>
        </w:rPr>
        <w:t xml:space="preserve">§3.1.a  </w:t>
      </w:r>
      <w:r>
        <w:rPr>
          <w:rFonts w:ascii="Garamond" w:cs="Garamond" w:eastAsia="Garamond" w:hAnsi="Garamond"/>
          <w:b/>
          <w:bCs/>
          <w:i w:val="false"/>
          <w:iCs w:val="false"/>
          <w:color w:val="1B2A4A"/>
          <w:sz w:val="22"/>
          <w:szCs w:val="22"/>
        </w:rPr>
        <w:t xml:space="preserve">House Seat Allocation — Webster Method</w:t>
      </w:r>
    </w:p>
    <w:p>
      <w:pPr>
        <w:spacing w:after="120" w:before="0"/>
        <w:ind w:left="431"/>
        <w:jc w:val="both"/>
      </w:pPr>
      <w:r>
        <w:rPr>
          <w:rFonts w:ascii="Garamond" w:cs="Garamond" w:eastAsia="Garamond" w:hAnsi="Garamond"/>
          <w:b w:val="false"/>
          <w:bCs w:val="false"/>
          <w:i w:val="false"/>
          <w:iCs w:val="false"/>
          <w:color w:val="2a2520"/>
          <w:sz w:val="22"/>
          <w:szCs w:val="22"/>
        </w:rPr>
        <w:t xml:space="preserve">House seats are allocated by the Webster method: each State and Territory receives the number of seats nearest to its population divided by the Republic's standard constituency divisor, with a minimum of one seat per State or Territory regardless of population. The constituency divisor is set at 750,000 citizens per seat and may be adjusted by the Legislature by statute, provided no adjustment reduces any State or Territory below its one-seat minimum and no adjustment takes effect until the census following its enactment. The LI administers the allocation following each census and publishes the certified seat counts to the NRS within 30 days of census completion. No adjustment to the constituency divisor may be made in the 12 months preceding or during a census year.</w:t>
      </w:r>
    </w:p>
    <w:p>
      <w:pPr>
        <w:spacing w:after="60" w:before="200"/>
        <w:ind w:left="431"/>
        <w:jc w:val="left"/>
      </w:pPr>
      <w:r>
        <w:rPr>
          <w:rFonts w:ascii="Courier New" w:cs="Courier New" w:eastAsia="Courier New" w:hAnsi="Courier New"/>
          <w:b/>
          <w:bCs/>
          <w:color w:val="1B2A4A"/>
          <w:sz w:val="18"/>
          <w:szCs w:val="18"/>
        </w:rPr>
        <w:t xml:space="preserve">§3.1.b  </w:t>
      </w:r>
      <w:r>
        <w:rPr>
          <w:rFonts w:ascii="Garamond" w:cs="Garamond" w:eastAsia="Garamond" w:hAnsi="Garamond"/>
          <w:b/>
          <w:bCs/>
          <w:i w:val="false"/>
          <w:iCs w:val="false"/>
          <w:color w:val="1B2A4A"/>
          <w:sz w:val="22"/>
          <w:szCs w:val="22"/>
        </w:rPr>
        <w:t xml:space="preserve">Census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population census is conducted by the Legislative Inspectorate every ten years and whenever the Legislature requires reapportionment. Census methodology is published to the NRS before each census. Results are published to the NRS within 90 days of completion and used as the basis for House seat allocation.</w:t>
      </w:r>
    </w:p>
    <w:p>
      <w:pPr>
        <w:spacing w:after="60" w:before="200"/>
        <w:ind w:left="431"/>
        <w:jc w:val="left"/>
      </w:pPr>
      <w:r>
        <w:rPr>
          <w:rFonts w:ascii="Courier New" w:cs="Courier New" w:eastAsia="Courier New" w:hAnsi="Courier New"/>
          <w:b/>
          <w:bCs/>
          <w:color w:val="1B2A4A"/>
          <w:sz w:val="18"/>
          <w:szCs w:val="18"/>
        </w:rPr>
        <w:t xml:space="preserve">§3.1.c  </w:t>
      </w:r>
      <w:r>
        <w:rPr>
          <w:rFonts w:ascii="Garamond" w:cs="Garamond" w:eastAsia="Garamond" w:hAnsi="Garamond"/>
          <w:b/>
          <w:bCs/>
          <w:i w:val="false"/>
          <w:iCs w:val="false"/>
          <w:color w:val="1B2A4A"/>
          <w:sz w:val="22"/>
          <w:szCs w:val="22"/>
        </w:rPr>
        <w:t xml:space="preserve">Single-Subject Rule</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bill must address a single, clearly defined subject. Self-executing: a court finding that a bill addresses multiple unrelated subjects voids the entire act. The LI publishes a germaneness analysis for any amended bill returned to the House. No riders, no logrolling through combined legislation. The rule applies to the final text — a bill that begins as single-subject but picks up unrelated amendments in the Senate can still be voided.</w:t>
      </w:r>
    </w:p>
    <w:p>
      <w:pPr>
        <w:spacing w:after="60" w:before="200"/>
        <w:ind w:left="431"/>
        <w:jc w:val="left"/>
      </w:pPr>
      <w:r>
        <w:rPr>
          <w:rFonts w:ascii="Courier New" w:cs="Courier New" w:eastAsia="Courier New" w:hAnsi="Courier New"/>
          <w:b/>
          <w:bCs/>
          <w:color w:val="1B2A4A"/>
          <w:sz w:val="18"/>
          <w:szCs w:val="18"/>
        </w:rPr>
        <w:t xml:space="preserve">§3.1.d  </w:t>
      </w:r>
      <w:r>
        <w:rPr>
          <w:rFonts w:ascii="Garamond" w:cs="Garamond" w:eastAsia="Garamond" w:hAnsi="Garamond"/>
          <w:b/>
          <w:bCs/>
          <w:i w:val="false"/>
          <w:iCs w:val="false"/>
          <w:color w:val="1B2A4A"/>
          <w:sz w:val="22"/>
          <w:szCs w:val="22"/>
        </w:rPr>
        <w:t xml:space="preserve">Bill Exposure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full text of every bill must be published to the NRS for the minimum exposure period (Legislature defines by statute, not less than 7 days) before any final passage vote. A substantially amended bill resets the exposure clock.</w:t>
      </w:r>
    </w:p>
    <w:p>
      <w:pPr>
        <w:spacing w:after="60" w:before="200"/>
        <w:ind w:left="431"/>
        <w:jc w:val="left"/>
      </w:pPr>
      <w:r>
        <w:rPr>
          <w:rFonts w:ascii="Courier New" w:cs="Courier New" w:eastAsia="Courier New" w:hAnsi="Courier New"/>
          <w:b/>
          <w:bCs/>
          <w:color w:val="1B2A4A"/>
          <w:sz w:val="18"/>
          <w:szCs w:val="18"/>
        </w:rPr>
        <w:t xml:space="preserve">§3.1.e  </w:t>
      </w:r>
      <w:r>
        <w:rPr>
          <w:rFonts w:ascii="Garamond" w:cs="Garamond" w:eastAsia="Garamond" w:hAnsi="Garamond"/>
          <w:b/>
          <w:bCs/>
          <w:i w:val="false"/>
          <w:iCs w:val="false"/>
          <w:color w:val="1B2A4A"/>
          <w:sz w:val="22"/>
          <w:szCs w:val="22"/>
        </w:rPr>
        <w:t xml:space="preserve">Legislative Calendar and Session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sit for a minimum number of days per year defined by statute. Emergency sessions may be called by the PM or by petition of 1/3 of either chamber. Prevents pocket-session governance — the Legislature cannot be prorogued into ineffectiveness.</w:t>
      </w:r>
    </w:p>
    <w:p>
      <w:pPr>
        <w:spacing w:after="60" w:before="200"/>
        <w:ind w:left="431"/>
        <w:jc w:val="left"/>
      </w:pPr>
      <w:r>
        <w:rPr>
          <w:rFonts w:ascii="Courier New" w:cs="Courier New" w:eastAsia="Courier New" w:hAnsi="Courier New"/>
          <w:b/>
          <w:bCs/>
          <w:color w:val="1B2A4A"/>
          <w:sz w:val="18"/>
          <w:szCs w:val="18"/>
        </w:rPr>
        <w:t xml:space="preserve">§3.1.f  </w:t>
      </w:r>
      <w:r>
        <w:rPr>
          <w:rFonts w:ascii="Garamond" w:cs="Garamond" w:eastAsia="Garamond" w:hAnsi="Garamond"/>
          <w:b/>
          <w:bCs/>
          <w:i w:val="false"/>
          <w:iCs w:val="false"/>
          <w:color w:val="1B2A4A"/>
          <w:sz w:val="22"/>
          <w:szCs w:val="22"/>
        </w:rPr>
        <w:t xml:space="preserve">Legislative Compensation and Disclosure</w:t>
      </w:r>
    </w:p>
    <w:p>
      <w:pPr>
        <w:spacing w:after="120" w:before="0"/>
        <w:ind w:left="431"/>
        <w:jc w:val="both"/>
      </w:pPr>
      <w:r>
        <w:rPr>
          <w:rFonts w:ascii="Garamond" w:cs="Garamond" w:eastAsia="Garamond" w:hAnsi="Garamond"/>
          <w:b w:val="false"/>
          <w:bCs w:val="false"/>
          <w:i w:val="false"/>
          <w:iCs w:val="false"/>
          <w:color w:val="2a2520"/>
          <w:sz w:val="22"/>
          <w:szCs w:val="22"/>
        </w:rPr>
        <w:t xml:space="preserve">Legislative compensation is set by the LI on a formula tied to median citizen income, not by the Legislature itself. All financial interests of members must be disclosed to the EI and published to the NRS. The compensation formula prevents legislators from voting themselves raises.</w:t>
      </w:r>
    </w:p>
    <w:p>
      <w:pPr>
        <w:spacing w:after="60" w:before="200"/>
        <w:ind w:left="431"/>
        <w:jc w:val="left"/>
      </w:pPr>
      <w:r>
        <w:rPr>
          <w:rFonts w:ascii="Courier New" w:cs="Courier New" w:eastAsia="Courier New" w:hAnsi="Courier New"/>
          <w:b/>
          <w:bCs/>
          <w:color w:val="1B2A4A"/>
          <w:sz w:val="18"/>
          <w:szCs w:val="18"/>
        </w:rPr>
        <w:t xml:space="preserve">§3.1.g  </w:t>
      </w:r>
      <w:r>
        <w:rPr>
          <w:rFonts w:ascii="Garamond" w:cs="Garamond" w:eastAsia="Garamond" w:hAnsi="Garamond"/>
          <w:b/>
          <w:bCs/>
          <w:i w:val="false"/>
          <w:iCs w:val="false"/>
          <w:color w:val="1B2A4A"/>
          <w:sz w:val="22"/>
          <w:szCs w:val="22"/>
        </w:rPr>
        <w:t xml:space="preserve">House Term Limits</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may serve more than six consecutive 2-year terms in the House — a maximum of 12 consecutive years. After six consecutive terms, the member must sit out one full House electoral cycle (2 years) before standing again. After the cooling-off period, the member is again eligible with no further cumulative lifetime restriction. A partial term served following a mid-term vacancy counts as a full consecutive term.</w:t>
      </w:r>
    </w:p>
    <w:p>
      <w:pPr>
        <w:spacing w:after="60" w:before="200"/>
        <w:ind w:left="431"/>
        <w:jc w:val="left"/>
      </w:pPr>
      <w:r>
        <w:rPr>
          <w:rFonts w:ascii="Courier New" w:cs="Courier New" w:eastAsia="Courier New" w:hAnsi="Courier New"/>
          <w:b/>
          <w:bCs/>
          <w:color w:val="1B2A4A"/>
          <w:sz w:val="18"/>
          <w:szCs w:val="18"/>
        </w:rPr>
        <w:t xml:space="preserve">§3.2  </w:t>
      </w:r>
      <w:r>
        <w:rPr>
          <w:rFonts w:ascii="Garamond" w:cs="Garamond" w:eastAsia="Garamond" w:hAnsi="Garamond"/>
          <w:b/>
          <w:bCs/>
          <w:i w:val="false"/>
          <w:iCs w:val="false"/>
          <w:color w:val="1B2A4A"/>
          <w:sz w:val="22"/>
          <w:szCs w:val="22"/>
        </w:rPr>
        <w:t xml:space="preserve">The Senate — States as Constitutional Actors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Senate comprises two senators per State regardless of population, elected for 6-year staggered terms. The Senate serves as the checking chamber: it must act on every House-passed bill within the Legislature-defined period, may amend within the bounds of germaneness, and holds exclusive authority over judicial confirmations and treaty ratification.</w:t>
      </w:r>
    </w:p>
    <w:p>
      <w:pPr>
        <w:spacing w:after="60" w:before="200"/>
        <w:ind w:left="431"/>
        <w:jc w:val="left"/>
      </w:pPr>
      <w:r>
        <w:rPr>
          <w:rFonts w:ascii="Courier New" w:cs="Courier New" w:eastAsia="Courier New" w:hAnsi="Courier New"/>
          <w:b/>
          <w:bCs/>
          <w:color w:val="1B2A4A"/>
          <w:sz w:val="18"/>
          <w:szCs w:val="18"/>
        </w:rPr>
        <w:t xml:space="preserve">§3.2.a  </w:t>
      </w:r>
      <w:r>
        <w:rPr>
          <w:rFonts w:ascii="Garamond" w:cs="Garamond" w:eastAsia="Garamond" w:hAnsi="Garamond"/>
          <w:b/>
          <w:bCs/>
          <w:i w:val="false"/>
          <w:iCs w:val="false"/>
          <w:color w:val="1B2A4A"/>
          <w:sz w:val="22"/>
          <w:szCs w:val="22"/>
        </w:rPr>
        <w:t xml:space="preserve">Senate Composition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Two senators per State regardless of population, elected by citizens of that State for 6-year staggered terms. No Senator may serve more than two consecutive terms (12 consecutive years). After two consecutive terms, a Senator must sit out one full term (6 years) before standing for Senate election again. After the cooling-off period, the Senator is again eligible with no further cumulative lifetime restriction.</w:t>
      </w:r>
    </w:p>
    <w:p>
      <w:pPr>
        <w:spacing w:after="60" w:before="200"/>
        <w:ind w:left="431"/>
        <w:jc w:val="left"/>
      </w:pPr>
      <w:r>
        <w:rPr>
          <w:rFonts w:ascii="Courier New" w:cs="Courier New" w:eastAsia="Courier New" w:hAnsi="Courier New"/>
          <w:b/>
          <w:bCs/>
          <w:color w:val="1B2A4A"/>
          <w:sz w:val="18"/>
          <w:szCs w:val="18"/>
        </w:rPr>
        <w:t xml:space="preserve">§3.2.b  </w:t>
      </w:r>
      <w:r>
        <w:rPr>
          <w:rFonts w:ascii="Garamond" w:cs="Garamond" w:eastAsia="Garamond" w:hAnsi="Garamond"/>
          <w:b/>
          <w:bCs/>
          <w:i w:val="false"/>
          <w:iCs w:val="false"/>
          <w:color w:val="1B2A4A"/>
          <w:sz w:val="22"/>
          <w:szCs w:val="22"/>
        </w:rPr>
        <w:t xml:space="preserve">Legislative Origination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All legislation must originate in the House. The Senate reviews, may amend within the bounds of germaneness, and may pass or decline — but may not initiate any bill. All revenue measures, appropriations, and debt ceiling changes must additionally originate in the House; the Senate may amend fiscal legislation but cannot initiate it.</w:t>
      </w:r>
    </w:p>
    <w:p>
      <w:pPr>
        <w:spacing w:after="60" w:before="200"/>
        <w:ind w:left="431"/>
        <w:jc w:val="left"/>
      </w:pPr>
      <w:r>
        <w:rPr>
          <w:rFonts w:ascii="Courier New" w:cs="Courier New" w:eastAsia="Courier New" w:hAnsi="Courier New"/>
          <w:b/>
          <w:bCs/>
          <w:color w:val="1B2A4A"/>
          <w:sz w:val="18"/>
          <w:szCs w:val="18"/>
        </w:rPr>
        <w:t xml:space="preserve">§3.2.c  </w:t>
      </w:r>
      <w:r>
        <w:rPr>
          <w:rFonts w:ascii="Garamond" w:cs="Garamond" w:eastAsia="Garamond" w:hAnsi="Garamond"/>
          <w:b/>
          <w:bCs/>
          <w:i w:val="false"/>
          <w:iCs w:val="false"/>
          <w:color w:val="1B2A4A"/>
          <w:sz w:val="22"/>
          <w:szCs w:val="22"/>
        </w:rPr>
        <w:t xml:space="preserve">Senate Must Act on Every House Bill</w:t>
      </w:r>
    </w:p>
    <w:p>
      <w:pPr>
        <w:spacing w:after="120" w:before="0"/>
        <w:ind w:left="431"/>
        <w:jc w:val="both"/>
      </w:pPr>
      <w:r>
        <w:rPr>
          <w:rFonts w:ascii="Garamond" w:cs="Garamond" w:eastAsia="Garamond" w:hAnsi="Garamond"/>
          <w:b w:val="false"/>
          <w:bCs w:val="false"/>
          <w:i w:val="false"/>
          <w:iCs w:val="false"/>
          <w:color w:val="2a2520"/>
          <w:sz w:val="22"/>
          <w:szCs w:val="22"/>
        </w:rPr>
        <w:t xml:space="preserve">Senate Must Act — the Senate cannot table or indefinitely delay House-passed legislation. Must vote within the Legislature-defined period. If it does not act, Deemed Approval triggers automatically. The Senate may, by simple majority vote before the original review period expires, extend its review period once by a duration defined by statute where a bill's complexity warrants expert testimony or additional committee review; the extension vote and its duration are published to the NRS. The Senate has three options: pass, amend (returned to House), or decline (bill dies). Inaction is not an option.</w:t>
      </w:r>
    </w:p>
    <w:p>
      <w:pPr>
        <w:spacing w:after="60" w:before="200"/>
        <w:ind w:left="431"/>
        <w:jc w:val="left"/>
      </w:pPr>
      <w:r>
        <w:rPr>
          <w:rFonts w:ascii="Courier New" w:cs="Courier New" w:eastAsia="Courier New" w:hAnsi="Courier New"/>
          <w:b/>
          <w:bCs/>
          <w:color w:val="1B2A4A"/>
          <w:sz w:val="18"/>
          <w:szCs w:val="18"/>
        </w:rPr>
        <w:t xml:space="preserve">§3.2.d  </w:t>
      </w:r>
      <w:r>
        <w:rPr>
          <w:rFonts w:ascii="Garamond" w:cs="Garamond" w:eastAsia="Garamond" w:hAnsi="Garamond"/>
          <w:b/>
          <w:bCs/>
          <w:i w:val="false"/>
          <w:iCs w:val="false"/>
          <w:color w:val="1B2A4A"/>
          <w:sz w:val="22"/>
          <w:szCs w:val="22"/>
        </w:rPr>
        <w:t xml:space="preserve">Judicial Confirmation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Senate confirms all judicial appointments by a supermajority defined by statute (not less than 55%, not more than 67% of full Senate membership). Failure to vote within the confirmation period triggers Deemed Confirmation. The supermajority requirement ensures judicial appointments require cross-party support.</w:t>
      </w:r>
    </w:p>
    <w:p>
      <w:pPr>
        <w:spacing w:after="60" w:before="200"/>
        <w:ind w:left="431"/>
        <w:jc w:val="left"/>
      </w:pPr>
      <w:r>
        <w:rPr>
          <w:rFonts w:ascii="Courier New" w:cs="Courier New" w:eastAsia="Courier New" w:hAnsi="Courier New"/>
          <w:b/>
          <w:bCs/>
          <w:color w:val="1B2A4A"/>
          <w:sz w:val="18"/>
          <w:szCs w:val="18"/>
        </w:rPr>
        <w:t xml:space="preserve">§3.2.e  </w:t>
      </w:r>
      <w:r>
        <w:rPr>
          <w:rFonts w:ascii="Garamond" w:cs="Garamond" w:eastAsia="Garamond" w:hAnsi="Garamond"/>
          <w:b/>
          <w:bCs/>
          <w:i w:val="false"/>
          <w:iCs w:val="false"/>
          <w:color w:val="1B2A4A"/>
          <w:sz w:val="22"/>
          <w:szCs w:val="22"/>
        </w:rPr>
        <w:t xml:space="preserve">Treaty Ratification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Treaty ratification requires a 2/3 majority of the full seated Senate.</w:t>
      </w:r>
    </w:p>
    <w:p>
      <w:pPr>
        <w:spacing w:after="60" w:before="200"/>
        <w:ind w:left="431"/>
        <w:jc w:val="left"/>
      </w:pPr>
      <w:r>
        <w:rPr>
          <w:rFonts w:ascii="Courier New" w:cs="Courier New" w:eastAsia="Courier New" w:hAnsi="Courier New"/>
          <w:b/>
          <w:bCs/>
          <w:color w:val="1B2A4A"/>
          <w:sz w:val="18"/>
          <w:szCs w:val="18"/>
        </w:rPr>
        <w:t xml:space="preserve">§3.2.e.i  </w:t>
      </w:r>
      <w:r>
        <w:rPr>
          <w:rFonts w:ascii="Garamond" w:cs="Garamond" w:eastAsia="Garamond" w:hAnsi="Garamond"/>
          <w:b/>
          <w:bCs/>
          <w:i w:val="false"/>
          <w:iCs w:val="false"/>
          <w:color w:val="1B2A4A"/>
          <w:sz w:val="22"/>
          <w:szCs w:val="22"/>
        </w:rPr>
        <w:t xml:space="preserve">Treaty Domestic Application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Senate fails to ratify a treaty, if portions of the treaty's domestic provisions have standalone value independent of the international obligations, the President may transmit those portions to the House Speaker for consideration as ordinary domestic legislation. Prevents failed treaty ratification from defeating domestically beneficial measures when the failure was due to international concerns.</w:t>
      </w:r>
    </w:p>
    <w:p>
      <w:pPr>
        <w:spacing w:after="60" w:before="200"/>
        <w:ind w:left="431"/>
        <w:jc w:val="left"/>
      </w:pPr>
      <w:r>
        <w:rPr>
          <w:rFonts w:ascii="Courier New" w:cs="Courier New" w:eastAsia="Courier New" w:hAnsi="Courier New"/>
          <w:b/>
          <w:bCs/>
          <w:color w:val="1B2A4A"/>
          <w:sz w:val="18"/>
          <w:szCs w:val="18"/>
        </w:rPr>
        <w:t xml:space="preserve">§3.2.e.ii  </w:t>
      </w:r>
      <w:r>
        <w:rPr>
          <w:rFonts w:ascii="Garamond" w:cs="Garamond" w:eastAsia="Garamond" w:hAnsi="Garamond"/>
          <w:b/>
          <w:bCs/>
          <w:i w:val="false"/>
          <w:iCs w:val="false"/>
          <w:color w:val="1B2A4A"/>
          <w:sz w:val="22"/>
          <w:szCs w:val="22"/>
        </w:rPr>
        <w:t xml:space="preserve">Non-Disaggregable Treaties</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treaty is bilateral and designed as an integrated whole — with reciprocal obligations that are interdependent — the President may not disaggregate and transmit domestic provisions separately. The treaty must be renegotiated or abandoned in its entirety.</w:t>
      </w:r>
    </w:p>
    <w:p>
      <w:pPr>
        <w:spacing w:after="60" w:before="200"/>
        <w:ind w:left="431"/>
        <w:jc w:val="left"/>
      </w:pPr>
      <w:r>
        <w:rPr>
          <w:rFonts w:ascii="Courier New" w:cs="Courier New" w:eastAsia="Courier New" w:hAnsi="Courier New"/>
          <w:b/>
          <w:bCs/>
          <w:color w:val="1B2A4A"/>
          <w:sz w:val="18"/>
          <w:szCs w:val="18"/>
        </w:rPr>
        <w:t xml:space="preserve">§3.2.e.iii  </w:t>
      </w:r>
      <w:r>
        <w:rPr>
          <w:rFonts w:ascii="Garamond" w:cs="Garamond" w:eastAsia="Garamond" w:hAnsi="Garamond"/>
          <w:b/>
          <w:bCs/>
          <w:i w:val="false"/>
          <w:iCs w:val="false"/>
          <w:color w:val="1B2A4A"/>
          <w:sz w:val="22"/>
          <w:szCs w:val="22"/>
        </w:rPr>
        <w:t xml:space="preserve">Treaty Withdrawal Process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may initiate withdrawal from any ratified treaty by publishing a formal notice of withdrawal to the NRS specifying the treaty, the effective withdrawal date (not less than 6 months from NRS publication), and the grounds. Withdrawal operates differently by treaty type: (a) General treaties — the Senate may block withdrawal by simple majority within the 6-month notice period; if the Senate does not vote to block, withdrawal takes effect automatically on the effective date; (b) Mutual defense treaties — the Senate must affirmatively confirm withdrawal by simple majority within the 6-month period; if the Senate does not confirm, the treaty remains in force; withdrawal from a mutual defense treaty may not be initiated while the Republic is engaged in active Tier 2 or Tier 3 operations under that treaty; (c) Indigenous treaties — no treaty with an indigenous nation recognized under Article XIV may be withdrawn or unilaterally modified; Article XIV governs. All withdrawal notices, blocking votes, confirmation votes, and withdrawal completion dates are published to the NRS as permanent records.</w:t>
      </w:r>
    </w:p>
    <w:p>
      <w:pPr>
        <w:spacing w:after="60" w:before="200"/>
        <w:ind w:left="431"/>
        <w:jc w:val="left"/>
      </w:pPr>
      <w:r>
        <w:rPr>
          <w:rFonts w:ascii="Courier New" w:cs="Courier New" w:eastAsia="Courier New" w:hAnsi="Courier New"/>
          <w:b/>
          <w:bCs/>
          <w:color w:val="1B2A4A"/>
          <w:sz w:val="18"/>
          <w:szCs w:val="18"/>
        </w:rPr>
        <w:t xml:space="preserve">§3.2.f  </w:t>
      </w:r>
      <w:r>
        <w:rPr>
          <w:rFonts w:ascii="Garamond" w:cs="Garamond" w:eastAsia="Garamond" w:hAnsi="Garamond"/>
          <w:b/>
          <w:bCs/>
          <w:i w:val="false"/>
          <w:iCs w:val="false"/>
          <w:color w:val="1B2A4A"/>
          <w:sz w:val="22"/>
          <w:szCs w:val="22"/>
        </w:rPr>
        <w:t xml:space="preserve">Senate Electoral Functions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Senate administers the Presidential election in the absence of a functioning Electoral Commission — as certified by the JI following a finding that the EC cannot administer a constitutionally valid election — presides over contested electoral proceedings, and certifies Presidential election results. A direct role in executive accountability that does not depend on the House.</w:t>
      </w:r>
    </w:p>
    <w:p>
      <w:pPr>
        <w:spacing w:after="60" w:before="200"/>
        <w:ind w:left="431"/>
        <w:jc w:val="left"/>
      </w:pPr>
      <w:r>
        <w:rPr>
          <w:rFonts w:ascii="Courier New" w:cs="Courier New" w:eastAsia="Courier New" w:hAnsi="Courier New"/>
          <w:b/>
          <w:bCs/>
          <w:color w:val="1B2A4A"/>
          <w:sz w:val="18"/>
          <w:szCs w:val="18"/>
        </w:rPr>
        <w:t xml:space="preserve">§3.2.g  </w:t>
      </w:r>
      <w:r>
        <w:rPr>
          <w:rFonts w:ascii="Garamond" w:cs="Garamond" w:eastAsia="Garamond" w:hAnsi="Garamond"/>
          <w:b/>
          <w:bCs/>
          <w:i w:val="false"/>
          <w:iCs w:val="false"/>
          <w:color w:val="1B2A4A"/>
          <w:sz w:val="22"/>
          <w:szCs w:val="22"/>
        </w:rPr>
        <w:t xml:space="preserve">Senate Internal Rules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Senate defines its own internal procedures by standing order, subject to constitutional constraints. The presiding officer is the Speaker of the Senate, elected by Senate members. The Senate's procedural autonomy prevents the House from using procedural leverage to control Senate deliberation.</w:t>
      </w:r>
    </w:p>
    <w:p>
      <w:pPr>
        <w:spacing w:after="60" w:before="200"/>
        <w:ind w:left="431"/>
        <w:jc w:val="left"/>
      </w:pPr>
      <w:r>
        <w:rPr>
          <w:rFonts w:ascii="Courier New" w:cs="Courier New" w:eastAsia="Courier New" w:hAnsi="Courier New"/>
          <w:b/>
          <w:bCs/>
          <w:color w:val="1B2A4A"/>
          <w:sz w:val="18"/>
          <w:szCs w:val="18"/>
        </w:rPr>
        <w:t xml:space="preserve">§3.2.h  </w:t>
      </w:r>
      <w:r>
        <w:rPr>
          <w:rFonts w:ascii="Garamond" w:cs="Garamond" w:eastAsia="Garamond" w:hAnsi="Garamond"/>
          <w:b/>
          <w:bCs/>
          <w:i w:val="false"/>
          <w:iCs w:val="false"/>
          <w:color w:val="1B2A4A"/>
          <w:sz w:val="22"/>
          <w:szCs w:val="22"/>
        </w:rPr>
        <w:t xml:space="preserve">Senate Committees</w:t>
      </w:r>
    </w:p>
    <w:p>
      <w:pPr>
        <w:spacing w:after="120" w:before="0"/>
        <w:ind w:left="431"/>
        <w:jc w:val="both"/>
      </w:pPr>
      <w:r>
        <w:rPr>
          <w:rFonts w:ascii="Garamond" w:cs="Garamond" w:eastAsia="Garamond" w:hAnsi="Garamond"/>
          <w:b w:val="false"/>
          <w:bCs w:val="false"/>
          <w:i w:val="false"/>
          <w:iCs w:val="false"/>
          <w:color w:val="2a2520"/>
          <w:sz w:val="22"/>
          <w:szCs w:val="22"/>
        </w:rPr>
        <w:t xml:space="preserve">Standing committees are constitutionally mandated for certain functions (the Senate Armed Services Committee for Tier 2 military authorization is the most significant). Committee composition must reflect chamber balance — no party may hold all seats on a standing committee.</w:t>
      </w:r>
    </w:p>
    <w:p>
      <w:pPr>
        <w:spacing w:after="60" w:before="200"/>
        <w:ind w:left="431"/>
        <w:jc w:val="left"/>
      </w:pPr>
      <w:r>
        <w:rPr>
          <w:rFonts w:ascii="Courier New" w:cs="Courier New" w:eastAsia="Courier New" w:hAnsi="Courier New"/>
          <w:b/>
          <w:bCs/>
          <w:color w:val="1B2A4A"/>
          <w:sz w:val="18"/>
          <w:szCs w:val="18"/>
        </w:rPr>
        <w:t xml:space="preserve">§3.2.i  </w:t>
      </w:r>
      <w:r>
        <w:rPr>
          <w:rFonts w:ascii="Garamond" w:cs="Garamond" w:eastAsia="Garamond" w:hAnsi="Garamond"/>
          <w:b/>
          <w:bCs/>
          <w:i w:val="false"/>
          <w:iCs w:val="false"/>
          <w:color w:val="1B2A4A"/>
          <w:sz w:val="22"/>
          <w:szCs w:val="22"/>
        </w:rPr>
        <w:t xml:space="preserve">Senate Amendment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Senate may amend House-passed bills, but amendments must be germane to the bill's subject matter. The LI publishes a germaneness analysis before the amended bill is returned to the House. The PM must give the LI's analysis due consideration during the Legislative Review Period. Non-germane amendments can void the non-germane portion.</w:t>
      </w:r>
    </w:p>
    <w:p>
      <w:pPr>
        <w:spacing w:after="60" w:before="200"/>
        <w:ind w:left="431"/>
        <w:jc w:val="left"/>
      </w:pPr>
      <w:r>
        <w:rPr>
          <w:rFonts w:ascii="Courier New" w:cs="Courier New" w:eastAsia="Courier New" w:hAnsi="Courier New"/>
          <w:b/>
          <w:bCs/>
          <w:color w:val="1B2A4A"/>
          <w:sz w:val="18"/>
          <w:szCs w:val="18"/>
        </w:rPr>
        <w:t xml:space="preserve">§3.2.j  </w:t>
      </w:r>
      <w:r>
        <w:rPr>
          <w:rFonts w:ascii="Garamond" w:cs="Garamond" w:eastAsia="Garamond" w:hAnsi="Garamond"/>
          <w:b/>
          <w:bCs/>
          <w:i w:val="false"/>
          <w:iCs w:val="false"/>
          <w:color w:val="1B2A4A"/>
          <w:sz w:val="22"/>
          <w:szCs w:val="22"/>
        </w:rPr>
        <w:t xml:space="preserve">Senate Speaker Role Limit</w:t>
      </w:r>
    </w:p>
    <w:p>
      <w:pPr>
        <w:spacing w:after="120" w:before="0"/>
        <w:ind w:left="431"/>
        <w:jc w:val="both"/>
      </w:pPr>
      <w:r>
        <w:rPr>
          <w:rFonts w:ascii="Garamond" w:cs="Garamond" w:eastAsia="Garamond" w:hAnsi="Garamond"/>
          <w:b w:val="false"/>
          <w:bCs w:val="false"/>
          <w:i w:val="false"/>
          <w:iCs w:val="false"/>
          <w:color w:val="2a2520"/>
          <w:sz w:val="22"/>
          <w:szCs w:val="22"/>
        </w:rPr>
        <w:t xml:space="preserve">No Senator may serve as Speaker for more than three consecutive sessions (6 years). After three consecutive sessions as Speaker, the Senator must sit out at least one full session as a non-Speaker Senator before standing for Speaker again. This limit applies to the Speaker role only and does not affect the Senator's ability to continue serving their State in their Senate seat.</w:t>
      </w:r>
    </w:p>
    <w:p>
      <w:pPr>
        <w:spacing w:after="60" w:before="200"/>
        <w:ind w:left="431"/>
        <w:jc w:val="left"/>
      </w:pPr>
      <w:r>
        <w:rPr>
          <w:rFonts w:ascii="Courier New" w:cs="Courier New" w:eastAsia="Courier New" w:hAnsi="Courier New"/>
          <w:b/>
          <w:bCs/>
          <w:color w:val="1B2A4A"/>
          <w:sz w:val="18"/>
          <w:szCs w:val="18"/>
        </w:rPr>
        <w:t xml:space="preserve">§3.3  </w:t>
      </w:r>
      <w:r>
        <w:rPr>
          <w:rFonts w:ascii="Garamond" w:cs="Garamond" w:eastAsia="Garamond" w:hAnsi="Garamond"/>
          <w:b/>
          <w:bCs/>
          <w:i w:val="false"/>
          <w:iCs w:val="false"/>
          <w:color w:val="1B2A4A"/>
          <w:sz w:val="22"/>
          <w:szCs w:val="22"/>
        </w:rPr>
        <w:t xml:space="preserve">Legislative Process and Passage</w:t>
      </w:r>
    </w:p>
    <w:p>
      <w:pPr>
        <w:spacing w:after="120" w:before="0"/>
        <w:ind w:left="431"/>
        <w:jc w:val="both"/>
      </w:pPr>
      <w:r>
        <w:rPr>
          <w:rFonts w:ascii="Garamond" w:cs="Garamond" w:eastAsia="Garamond" w:hAnsi="Garamond"/>
          <w:b w:val="false"/>
          <w:bCs w:val="false"/>
          <w:i w:val="false"/>
          <w:iCs w:val="false"/>
          <w:color w:val="2a2520"/>
          <w:sz w:val="22"/>
          <w:szCs w:val="22"/>
        </w:rPr>
        <w:t xml:space="preserve">Bills become law by absolute majority of the full seated membership of both chambers; higher thresholds apply as specified.</w:t>
      </w:r>
    </w:p>
    <w:p>
      <w:pPr>
        <w:spacing w:after="60" w:before="200"/>
        <w:ind w:left="431"/>
        <w:jc w:val="left"/>
      </w:pPr>
      <w:r>
        <w:rPr>
          <w:rFonts w:ascii="Courier New" w:cs="Courier New" w:eastAsia="Courier New" w:hAnsi="Courier New"/>
          <w:b/>
          <w:bCs/>
          <w:color w:val="1B2A4A"/>
          <w:sz w:val="18"/>
          <w:szCs w:val="18"/>
        </w:rPr>
        <w:t xml:space="preserve">§3.3.a  </w:t>
      </w:r>
      <w:r>
        <w:rPr>
          <w:rFonts w:ascii="Garamond" w:cs="Garamond" w:eastAsia="Garamond" w:hAnsi="Garamond"/>
          <w:b/>
          <w:bCs/>
          <w:i w:val="false"/>
          <w:iCs w:val="false"/>
          <w:color w:val="1B2A4A"/>
          <w:sz w:val="22"/>
          <w:szCs w:val="22"/>
        </w:rPr>
        <w:t xml:space="preserve">Standard Passage</w:t>
      </w:r>
    </w:p>
    <w:p>
      <w:pPr>
        <w:spacing w:after="120" w:before="0"/>
        <w:ind w:left="431"/>
        <w:jc w:val="both"/>
      </w:pPr>
      <w:r>
        <w:rPr>
          <w:rFonts w:ascii="Garamond" w:cs="Garamond" w:eastAsia="Garamond" w:hAnsi="Garamond"/>
          <w:b w:val="false"/>
          <w:bCs w:val="false"/>
          <w:i w:val="false"/>
          <w:iCs w:val="false"/>
          <w:color w:val="2a2520"/>
          <w:sz w:val="22"/>
          <w:szCs w:val="22"/>
        </w:rPr>
        <w:t xml:space="preserve">Bills pass by absolute majority of the full seated membership of both chambers, not just those present. The 'full seated membership' standard prevents passage by small quorums. Applies to ordinary legislation; higher thresholds apply to constitutional amendments, veto overrides, and removal proceedings.</w:t>
      </w:r>
    </w:p>
    <w:p>
      <w:pPr>
        <w:spacing w:after="60" w:before="200"/>
        <w:ind w:left="431"/>
        <w:jc w:val="left"/>
      </w:pPr>
      <w:r>
        <w:rPr>
          <w:rFonts w:ascii="Courier New" w:cs="Courier New" w:eastAsia="Courier New" w:hAnsi="Courier New"/>
          <w:b/>
          <w:bCs/>
          <w:color w:val="1B2A4A"/>
          <w:sz w:val="18"/>
          <w:szCs w:val="18"/>
        </w:rPr>
        <w:t xml:space="preserve">§3.3.b  </w:t>
      </w:r>
      <w:r>
        <w:rPr>
          <w:rFonts w:ascii="Garamond" w:cs="Garamond" w:eastAsia="Garamond" w:hAnsi="Garamond"/>
          <w:b/>
          <w:bCs/>
          <w:i w:val="false"/>
          <w:iCs w:val="false"/>
          <w:color w:val="1B2A4A"/>
          <w:sz w:val="22"/>
          <w:szCs w:val="22"/>
        </w:rPr>
        <w:t xml:space="preserve">Presidential Veto Override</w:t>
      </w:r>
    </w:p>
    <w:p>
      <w:pPr>
        <w:spacing w:after="120" w:before="0"/>
        <w:ind w:left="431"/>
        <w:jc w:val="both"/>
      </w:pPr>
      <w:r>
        <w:rPr>
          <w:rFonts w:ascii="Garamond" w:cs="Garamond" w:eastAsia="Garamond" w:hAnsi="Garamond"/>
          <w:b w:val="false"/>
          <w:bCs w:val="false"/>
          <w:i w:val="false"/>
          <w:iCs w:val="false"/>
          <w:color w:val="2a2520"/>
          <w:sz w:val="22"/>
          <w:szCs w:val="22"/>
        </w:rPr>
        <w:t xml:space="preserve">Requires 2/3 of both chambers simultaneously. The simultaneous requirement means both chambers must vote in the same session. The SC reviews the presidential veto under §2.1.f.i before any override vote may proceed.</w:t>
      </w:r>
    </w:p>
    <w:p>
      <w:pPr>
        <w:spacing w:after="60" w:before="200"/>
        <w:ind w:left="431"/>
        <w:jc w:val="left"/>
      </w:pPr>
      <w:r>
        <w:rPr>
          <w:rFonts w:ascii="Courier New" w:cs="Courier New" w:eastAsia="Courier New" w:hAnsi="Courier New"/>
          <w:b/>
          <w:bCs/>
          <w:color w:val="1B2A4A"/>
          <w:sz w:val="18"/>
          <w:szCs w:val="18"/>
        </w:rPr>
        <w:t xml:space="preserve">§3.3.c  </w:t>
      </w:r>
      <w:r>
        <w:rPr>
          <w:rFonts w:ascii="Garamond" w:cs="Garamond" w:eastAsia="Garamond" w:hAnsi="Garamond"/>
          <w:b/>
          <w:bCs/>
          <w:i w:val="false"/>
          <w:iCs w:val="false"/>
          <w:color w:val="1B2A4A"/>
          <w:sz w:val="22"/>
          <w:szCs w:val="22"/>
        </w:rPr>
        <w:t xml:space="preserve">Record System Entry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presiding officer of each chamber must certify and publish the final text of every enacted law to the NRS within 24 hours. All prior versions, committee reports, Inspectorate findings, and veto records are indexed alongside the enacted text. The NRS entry is the definitive legal record.</w:t>
      </w:r>
    </w:p>
    <w:p>
      <w:pPr>
        <w:spacing w:after="60" w:before="200"/>
        <w:ind w:left="431"/>
        <w:jc w:val="left"/>
      </w:pPr>
      <w:r>
        <w:rPr>
          <w:rFonts w:ascii="Courier New" w:cs="Courier New" w:eastAsia="Courier New" w:hAnsi="Courier New"/>
          <w:b/>
          <w:bCs/>
          <w:color w:val="1B2A4A"/>
          <w:sz w:val="18"/>
          <w:szCs w:val="18"/>
        </w:rPr>
        <w:t xml:space="preserve">§3.3.d  </w:t>
      </w:r>
      <w:r>
        <w:rPr>
          <w:rFonts w:ascii="Garamond" w:cs="Garamond" w:eastAsia="Garamond" w:hAnsi="Garamond"/>
          <w:b/>
          <w:bCs/>
          <w:i w:val="false"/>
          <w:iCs w:val="false"/>
          <w:color w:val="1B2A4A"/>
          <w:sz w:val="22"/>
          <w:szCs w:val="22"/>
        </w:rPr>
        <w:t xml:space="preserve">Legislative Mandate Enforcement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constitution requires the Legislature to enact specific legislation by statute and the Legislature fails to do so within a specified period: the LI publishes a non-compliance finding; the mandate becomes justiciable in the SC; for mandates tied to constitutional rights, affected parties may bring direct constitutional claims. The Legislature's statutory delegations are genuine constitutional mandates.</w:t>
      </w:r>
    </w:p>
    <w:p>
      <w:pPr>
        <w:spacing w:after="60" w:before="200"/>
        <w:ind w:left="431"/>
        <w:jc w:val="left"/>
      </w:pPr>
      <w:r>
        <w:rPr>
          <w:rFonts w:ascii="Courier New" w:cs="Courier New" w:eastAsia="Courier New" w:hAnsi="Courier New"/>
          <w:b/>
          <w:bCs/>
          <w:color w:val="1B2A4A"/>
          <w:sz w:val="18"/>
          <w:szCs w:val="18"/>
        </w:rPr>
        <w:t xml:space="preserve">§3.4  </w:t>
      </w:r>
      <w:r>
        <w:rPr>
          <w:rFonts w:ascii="Garamond" w:cs="Garamond" w:eastAsia="Garamond" w:hAnsi="Garamond"/>
          <w:b/>
          <w:bCs/>
          <w:i w:val="false"/>
          <w:iCs w:val="false"/>
          <w:color w:val="1B2A4A"/>
          <w:sz w:val="22"/>
          <w:szCs w:val="22"/>
        </w:rPr>
        <w:t xml:space="preserve">Electoral Districts</w:t>
      </w:r>
    </w:p>
    <w:p>
      <w:pPr>
        <w:spacing w:after="120" w:before="0"/>
        <w:ind w:left="431"/>
        <w:jc w:val="both"/>
      </w:pPr>
      <w:r>
        <w:rPr>
          <w:rFonts w:ascii="Garamond" w:cs="Garamond" w:eastAsia="Garamond" w:hAnsi="Garamond"/>
          <w:b w:val="false"/>
          <w:bCs w:val="false"/>
          <w:i w:val="false"/>
          <w:iCs w:val="false"/>
          <w:color w:val="2a2520"/>
          <w:sz w:val="22"/>
          <w:szCs w:val="22"/>
        </w:rPr>
        <w:t xml:space="preserve">States draw their own House district maps following each census, subject to compliance review by the Legislative Inspectorate against the criteria established in §3.4.a. Where a State fails repeated review, the Electoral Commission draws an interim compliant map under §3.4.b pending State compliance. A State may request drawing consulting from the EC at any point in the redistricting process; such consulting is advisory and does not transfer the State's map-drawing responsibility to the EC. Territorial district maps are drawn by the Electoral Commission under §3.4.c, subject to the same §3.4.a criteria and LI compliance review. District maps are drawn after each census, every ten years. Emergency redistricting may occur if a State's population changes significantly between census cycles. A State may not redistrict more than once per census cycle without LI approval.</w:t>
      </w:r>
    </w:p>
    <w:p>
      <w:pPr>
        <w:spacing w:after="60" w:before="200"/>
        <w:ind w:left="431"/>
        <w:jc w:val="left"/>
      </w:pPr>
      <w:r>
        <w:rPr>
          <w:rFonts w:ascii="Courier New" w:cs="Courier New" w:eastAsia="Courier New" w:hAnsi="Courier New"/>
          <w:b/>
          <w:bCs/>
          <w:color w:val="1B2A4A"/>
          <w:sz w:val="18"/>
          <w:szCs w:val="18"/>
        </w:rPr>
        <w:t xml:space="preserve">§3.4.a  </w:t>
      </w:r>
      <w:r>
        <w:rPr>
          <w:rFonts w:ascii="Garamond" w:cs="Garamond" w:eastAsia="Garamond" w:hAnsi="Garamond"/>
          <w:b/>
          <w:bCs/>
          <w:i w:val="false"/>
          <w:iCs w:val="false"/>
          <w:color w:val="1B2A4A"/>
          <w:sz w:val="22"/>
          <w:szCs w:val="22"/>
        </w:rPr>
        <w:t xml:space="preserve">Criteria Hierarchy</w:t>
      </w:r>
    </w:p>
    <w:p>
      <w:pPr>
        <w:spacing w:after="120" w:before="0"/>
        <w:ind w:left="431"/>
        <w:jc w:val="both"/>
      </w:pPr>
      <w:r>
        <w:rPr>
          <w:rFonts w:ascii="Garamond" w:cs="Garamond" w:eastAsia="Garamond" w:hAnsi="Garamond"/>
          <w:b w:val="false"/>
          <w:bCs w:val="false"/>
          <w:i w:val="false"/>
          <w:iCs w:val="false"/>
          <w:color w:val="2a2520"/>
          <w:sz w:val="22"/>
          <w:szCs w:val="22"/>
        </w:rPr>
        <w:t xml:space="preserve">State district maps must meet five criteria: population equality within tolerance, geographic contiguity, compliance with §1.9 non-discrimination, no intentional dilution of minority voting power, and reasonable geographic compactness. States have discretion within these bounds — there is no single correct map. The following data may not be used at any stage of the district-drawing process: partisan registration data, voting history data, incumbent or candidate residence, and racial or ethnic composition as a primary consideration.</w:t>
      </w:r>
    </w:p>
    <w:p>
      <w:pPr>
        <w:spacing w:after="60" w:before="200"/>
        <w:ind w:left="431"/>
        <w:jc w:val="left"/>
      </w:pPr>
      <w:r>
        <w:rPr>
          <w:rFonts w:ascii="Courier New" w:cs="Courier New" w:eastAsia="Courier New" w:hAnsi="Courier New"/>
          <w:b/>
          <w:bCs/>
          <w:color w:val="1B2A4A"/>
          <w:sz w:val="18"/>
          <w:szCs w:val="18"/>
        </w:rPr>
        <w:t xml:space="preserve">§3.4.b  </w:t>
      </w:r>
      <w:r>
        <w:rPr>
          <w:rFonts w:ascii="Garamond" w:cs="Garamond" w:eastAsia="Garamond" w:hAnsi="Garamond"/>
          <w:b/>
          <w:bCs/>
          <w:i w:val="false"/>
          <w:iCs w:val="false"/>
          <w:color w:val="1B2A4A"/>
          <w:sz w:val="22"/>
          <w:szCs w:val="22"/>
        </w:rPr>
        <w:t xml:space="preserve">LI Redistricting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LI reviews all State-drawn district maps within 60 days of submission and publishes its compliance findings to the NRS. If a map fails the §3.4.a criteria, the LI publishes specific findings and the State must submit a corrected map within 30 days. If the corrected map still fails, the Electoral Commission draws an interim compliant map using the §3.4.a criteria, which takes effect at the next election. The EC-drawn interim map is not permanent — it is retired automatically when the State submits and the LI certifies a compliant State-drawn map. Until then, elections proceed on the EC-drawn map. The LI cannot draw district maps; its role is compliance review only. The EC cannot impose a permanent map; its interim map creates an incentive for State compliance, not a substitute for it.</w:t>
      </w:r>
    </w:p>
    <w:p>
      <w:pPr>
        <w:spacing w:after="60" w:before="200"/>
        <w:ind w:left="431"/>
        <w:jc w:val="left"/>
      </w:pPr>
      <w:r>
        <w:rPr>
          <w:rFonts w:ascii="Courier New" w:cs="Courier New" w:eastAsia="Courier New" w:hAnsi="Courier New"/>
          <w:b/>
          <w:bCs/>
          <w:color w:val="1B2A4A"/>
          <w:sz w:val="18"/>
          <w:szCs w:val="18"/>
        </w:rPr>
        <w:t xml:space="preserve">§3.4.c  </w:t>
      </w:r>
      <w:r>
        <w:rPr>
          <w:rFonts w:ascii="Garamond" w:cs="Garamond" w:eastAsia="Garamond" w:hAnsi="Garamond"/>
          <w:b/>
          <w:bCs/>
          <w:i w:val="false"/>
          <w:iCs w:val="false"/>
          <w:color w:val="1B2A4A"/>
          <w:sz w:val="22"/>
          <w:szCs w:val="22"/>
        </w:rPr>
        <w:t xml:space="preserve">Territorial District Drawing</w:t>
      </w:r>
    </w:p>
    <w:p>
      <w:pPr>
        <w:spacing w:after="120" w:before="0"/>
        <w:ind w:left="431"/>
        <w:jc w:val="both"/>
      </w:pPr>
      <w:r>
        <w:rPr>
          <w:rFonts w:ascii="Garamond" w:cs="Garamond" w:eastAsia="Garamond" w:hAnsi="Garamond"/>
          <w:b w:val="false"/>
          <w:bCs w:val="false"/>
          <w:i w:val="false"/>
          <w:iCs w:val="false"/>
          <w:color w:val="2a2520"/>
          <w:sz w:val="22"/>
          <w:szCs w:val="22"/>
        </w:rPr>
        <w:t xml:space="preserve">For Territories holding one House seat, the Territory is a single at-large constituency — no district drawing is required and the EC administers the election directly through the NVS. For Territories holding two or more House seats, the Electoral Commission draws district boundaries following each census using the criteria established in §3.4.a. The EC publishes a draft map to the NRS and opens a 60-day public comment period during which the Territory's governing council may submit formal written objections. The EC must respond in writing to each formal objection before publishing a final proposed map. The LI then reviews the final proposed map under §3.4.a standards and publishes its compliance findings to the NRS within 30 days. If the LI finds criteria violations, the EC must revise and republish within 30 days; the LI reviews the revision within 14 days. A map that passes LI review is certified and takes effect at the next general election. The EC administers all Territorial House elections through the NVS on the same schedule as State elections.</w:t>
      </w:r>
    </w:p>
    <w:p>
      <w:pPr>
        <w:spacing w:after="60" w:before="200"/>
        <w:ind w:left="431"/>
        <w:jc w:val="left"/>
      </w:pPr>
      <w:r>
        <w:rPr>
          <w:rFonts w:ascii="Courier New" w:cs="Courier New" w:eastAsia="Courier New" w:hAnsi="Courier New"/>
          <w:b/>
          <w:bCs/>
          <w:color w:val="1B2A4A"/>
          <w:sz w:val="18"/>
          <w:szCs w:val="18"/>
        </w:rPr>
        <w:t xml:space="preserve">§3.4.e  </w:t>
      </w:r>
      <w:r>
        <w:rPr>
          <w:rFonts w:ascii="Garamond" w:cs="Garamond" w:eastAsia="Garamond" w:hAnsi="Garamond"/>
          <w:b/>
          <w:bCs/>
          <w:i w:val="false"/>
          <w:iCs w:val="false"/>
          <w:color w:val="1B2A4A"/>
          <w:sz w:val="22"/>
          <w:szCs w:val="22"/>
        </w:rPr>
        <w:t xml:space="preserve">At-Large Seats</w:t>
      </w:r>
    </w:p>
    <w:p>
      <w:pPr>
        <w:spacing w:after="120" w:before="0"/>
        <w:ind w:left="431"/>
        <w:jc w:val="both"/>
      </w:pPr>
      <w:r>
        <w:rPr>
          <w:rFonts w:ascii="Garamond" w:cs="Garamond" w:eastAsia="Garamond" w:hAnsi="Garamond"/>
          <w:b w:val="false"/>
          <w:bCs w:val="false"/>
          <w:i w:val="false"/>
          <w:iCs w:val="false"/>
          <w:color w:val="2a2520"/>
          <w:sz w:val="22"/>
          <w:szCs w:val="22"/>
        </w:rPr>
        <w:t xml:space="preserve">States with a small population may elect House members at-large rather than by district, if the LI determines that the minimum district size would make geographic districting meaningless. At-large elections use proportional representation mechanisms — no plurality winner-take-all at-large elections.</w:t>
      </w:r>
    </w:p>
    <w:p>
      <w:pPr>
        <w:spacing w:after="60" w:before="200"/>
        <w:ind w:left="431"/>
        <w:jc w:val="left"/>
      </w:pPr>
      <w:r>
        <w:rPr>
          <w:rFonts w:ascii="Courier New" w:cs="Courier New" w:eastAsia="Courier New" w:hAnsi="Courier New"/>
          <w:b/>
          <w:bCs/>
          <w:color w:val="1B2A4A"/>
          <w:sz w:val="18"/>
          <w:szCs w:val="18"/>
        </w:rPr>
        <w:t xml:space="preserve">§3.4.f  </w:t>
      </w:r>
      <w:r>
        <w:rPr>
          <w:rFonts w:ascii="Garamond" w:cs="Garamond" w:eastAsia="Garamond" w:hAnsi="Garamond"/>
          <w:b/>
          <w:bCs/>
          <w:i w:val="false"/>
          <w:iCs w:val="false"/>
          <w:color w:val="1B2A4A"/>
          <w:sz w:val="22"/>
          <w:szCs w:val="22"/>
        </w:rPr>
        <w:t xml:space="preserve">District Vacancy</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a House district seat falls vacant mid-term, the Electoral Commission administers a special election within 90 days. The replacement serves only the remainder of the original term. If fewer than 90 days remain in the term, the vacancy is not filled.</w:t>
      </w:r>
    </w:p>
    <w:p>
      <w:pPr>
        <w:spacing w:after="60" w:before="200"/>
        <w:ind w:left="431"/>
        <w:jc w:val="left"/>
      </w:pPr>
      <w:r>
        <w:rPr>
          <w:rFonts w:ascii="Courier New" w:cs="Courier New" w:eastAsia="Courier New" w:hAnsi="Courier New"/>
          <w:b/>
          <w:bCs/>
          <w:color w:val="1B2A4A"/>
          <w:sz w:val="18"/>
          <w:szCs w:val="18"/>
        </w:rPr>
        <w:t xml:space="preserve">§3.4.g  </w:t>
      </w:r>
      <w:r>
        <w:rPr>
          <w:rFonts w:ascii="Garamond" w:cs="Garamond" w:eastAsia="Garamond" w:hAnsi="Garamond"/>
          <w:b/>
          <w:bCs/>
          <w:i w:val="false"/>
          <w:iCs w:val="false"/>
          <w:color w:val="1B2A4A"/>
          <w:sz w:val="22"/>
          <w:szCs w:val="22"/>
        </w:rPr>
        <w:t xml:space="preserve">Redistricting Transparency</w:t>
      </w:r>
    </w:p>
    <w:p>
      <w:pPr>
        <w:spacing w:after="120" w:before="0"/>
        <w:ind w:left="431"/>
        <w:jc w:val="both"/>
      </w:pPr>
      <w:r>
        <w:rPr>
          <w:rFonts w:ascii="Garamond" w:cs="Garamond" w:eastAsia="Garamond" w:hAnsi="Garamond"/>
          <w:b w:val="false"/>
          <w:bCs w:val="false"/>
          <w:i w:val="false"/>
          <w:iCs w:val="false"/>
          <w:color w:val="2a2520"/>
          <w:sz w:val="22"/>
          <w:szCs w:val="22"/>
        </w:rPr>
        <w:t xml:space="preserve">All State submissions, LI analyses, and interim maps must be published to the NRS throughout the redistricting process. Citizens have the right to submit commentary to the LI during the review period. Redistricting decisions are judicially reviewable under §4.3.</w:t>
      </w:r>
    </w:p>
    <w:p>
      <w:pPr>
        <w:spacing w:after="60" w:before="200"/>
        <w:ind w:left="431"/>
        <w:jc w:val="left"/>
      </w:pPr>
      <w:r>
        <w:rPr>
          <w:rFonts w:ascii="Courier New" w:cs="Courier New" w:eastAsia="Courier New" w:hAnsi="Courier New"/>
          <w:b/>
          <w:bCs/>
          <w:color w:val="1B2A4A"/>
          <w:sz w:val="18"/>
          <w:szCs w:val="18"/>
        </w:rPr>
        <w:t xml:space="preserve">§3.4.h  </w:t>
      </w:r>
      <w:r>
        <w:rPr>
          <w:rFonts w:ascii="Garamond" w:cs="Garamond" w:eastAsia="Garamond" w:hAnsi="Garamond"/>
          <w:b/>
          <w:bCs/>
          <w:i w:val="false"/>
          <w:iCs w:val="false"/>
          <w:color w:val="1B2A4A"/>
          <w:sz w:val="22"/>
          <w:szCs w:val="22"/>
        </w:rPr>
        <w:t xml:space="preserve">Redistricting Challenge</w:t>
      </w:r>
    </w:p>
    <w:p>
      <w:pPr>
        <w:spacing w:after="120" w:before="0"/>
        <w:ind w:left="431"/>
        <w:jc w:val="both"/>
      </w:pPr>
      <w:r>
        <w:rPr>
          <w:rFonts w:ascii="Garamond" w:cs="Garamond" w:eastAsia="Garamond" w:hAnsi="Garamond"/>
          <w:b w:val="false"/>
          <w:bCs w:val="false"/>
          <w:i w:val="false"/>
          <w:iCs w:val="false"/>
          <w:color w:val="2a2520"/>
          <w:sz w:val="22"/>
          <w:szCs w:val="22"/>
        </w:rPr>
        <w:t xml:space="preserve">Any citizen, State government, or parliamentary minority of 1/3 may challenge a proposed district map by petitioning the SC within the 60-day review period after LI compliance certification. The Court reviews whether criteria were correctly applied — not whether a different map would have been better.</w:t>
      </w:r>
    </w:p>
    <w:p>
      <w:pPr>
        <w:spacing w:after="60" w:before="200"/>
        <w:ind w:left="431"/>
        <w:jc w:val="left"/>
      </w:pPr>
      <w:r>
        <w:rPr>
          <w:rFonts w:ascii="Courier New" w:cs="Courier New" w:eastAsia="Courier New" w:hAnsi="Courier New"/>
          <w:b/>
          <w:bCs/>
          <w:color w:val="1B2A4A"/>
          <w:sz w:val="18"/>
          <w:szCs w:val="18"/>
        </w:rPr>
        <w:t xml:space="preserve">§3.5  </w:t>
      </w:r>
      <w:r>
        <w:rPr>
          <w:rFonts w:ascii="Garamond" w:cs="Garamond" w:eastAsia="Garamond" w:hAnsi="Garamond"/>
          <w:b/>
          <w:bCs/>
          <w:i w:val="false"/>
          <w:iCs w:val="false"/>
          <w:color w:val="1B2A4A"/>
          <w:sz w:val="22"/>
          <w:szCs w:val="22"/>
        </w:rPr>
        <w:t xml:space="preserve">The House — Composition and Structure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House of Representatives is structured and administered as established in this section and §3.1.</w:t>
      </w:r>
    </w:p>
    <w:p>
      <w:pPr>
        <w:spacing w:after="60" w:before="200"/>
        <w:ind w:left="431"/>
        <w:jc w:val="left"/>
      </w:pPr>
      <w:r>
        <w:rPr>
          <w:rFonts w:ascii="Courier New" w:cs="Courier New" w:eastAsia="Courier New" w:hAnsi="Courier New"/>
          <w:b/>
          <w:bCs/>
          <w:color w:val="1B2A4A"/>
          <w:sz w:val="18"/>
          <w:szCs w:val="18"/>
        </w:rPr>
        <w:t xml:space="preserve">§3.5.a  </w:t>
      </w:r>
      <w:r>
        <w:rPr>
          <w:rFonts w:ascii="Garamond" w:cs="Garamond" w:eastAsia="Garamond" w:hAnsi="Garamond"/>
          <w:b/>
          <w:bCs/>
          <w:i w:val="false"/>
          <w:iCs w:val="false"/>
          <w:color w:val="1B2A4A"/>
          <w:sz w:val="22"/>
          <w:szCs w:val="22"/>
        </w:rPr>
        <w:t xml:space="preserve">House Membership Formula</w:t>
      </w:r>
    </w:p>
    <w:p>
      <w:pPr>
        <w:spacing w:after="120" w:before="0"/>
        <w:ind w:left="431"/>
        <w:jc w:val="both"/>
      </w:pPr>
      <w:r>
        <w:rPr>
          <w:rFonts w:ascii="Garamond" w:cs="Garamond" w:eastAsia="Garamond" w:hAnsi="Garamond"/>
          <w:b w:val="false"/>
          <w:bCs w:val="false"/>
          <w:i w:val="false"/>
          <w:iCs w:val="false"/>
          <w:color w:val="2a2520"/>
          <w:sz w:val="22"/>
          <w:szCs w:val="22"/>
        </w:rPr>
        <w:t xml:space="preserve">Seat allocation follows the Webster method defined in §3.1.a. Where a reapportionment event creates or eliminates seats, the EC coordinates with affected States on district boundary adjustments before the next general election. The LI resolves any dispute between States about seat allocation methodology.</w:t>
      </w:r>
    </w:p>
    <w:p>
      <w:pPr>
        <w:spacing w:after="60" w:before="200"/>
        <w:ind w:left="431"/>
        <w:jc w:val="left"/>
      </w:pPr>
      <w:r>
        <w:rPr>
          <w:rFonts w:ascii="Courier New" w:cs="Courier New" w:eastAsia="Courier New" w:hAnsi="Courier New"/>
          <w:b/>
          <w:bCs/>
          <w:color w:val="1B2A4A"/>
          <w:sz w:val="18"/>
          <w:szCs w:val="18"/>
        </w:rPr>
        <w:t xml:space="preserve">§3.5.b  </w:t>
      </w:r>
      <w:r>
        <w:rPr>
          <w:rFonts w:ascii="Garamond" w:cs="Garamond" w:eastAsia="Garamond" w:hAnsi="Garamond"/>
          <w:b/>
          <w:bCs/>
          <w:i w:val="false"/>
          <w:iCs w:val="false"/>
          <w:color w:val="1B2A4A"/>
          <w:sz w:val="22"/>
          <w:szCs w:val="22"/>
        </w:rPr>
        <w:t xml:space="preserve">House Speaker</w:t>
      </w:r>
    </w:p>
    <w:p>
      <w:pPr>
        <w:spacing w:after="120" w:before="0"/>
        <w:ind w:left="431"/>
        <w:jc w:val="both"/>
      </w:pPr>
      <w:r>
        <w:rPr>
          <w:rFonts w:ascii="Garamond" w:cs="Garamond" w:eastAsia="Garamond" w:hAnsi="Garamond"/>
          <w:b w:val="false"/>
          <w:bCs w:val="false"/>
          <w:i w:val="false"/>
          <w:iCs w:val="false"/>
          <w:color w:val="2a2520"/>
          <w:sz w:val="22"/>
          <w:szCs w:val="22"/>
        </w:rPr>
        <w:t xml:space="preserve">Elected by the House from among its members by absolute majority. Presides over House proceedings, manages the legislative calendar, and holds Acting Presidential Authority in the Presidential succession chain. The Speaker's dual role — legislative and succession — keeps the succession line within the elected legislative class.</w:t>
      </w:r>
    </w:p>
    <w:p>
      <w:pPr>
        <w:spacing w:after="60" w:before="200"/>
        <w:ind w:left="431"/>
        <w:jc w:val="left"/>
      </w:pPr>
      <w:r>
        <w:rPr>
          <w:rFonts w:ascii="Courier New" w:cs="Courier New" w:eastAsia="Courier New" w:hAnsi="Courier New"/>
          <w:b/>
          <w:bCs/>
          <w:color w:val="1B2A4A"/>
          <w:sz w:val="18"/>
          <w:szCs w:val="18"/>
        </w:rPr>
        <w:t xml:space="preserve">§3.5.d  </w:t>
      </w:r>
      <w:r>
        <w:rPr>
          <w:rFonts w:ascii="Garamond" w:cs="Garamond" w:eastAsia="Garamond" w:hAnsi="Garamond"/>
          <w:b/>
          <w:bCs/>
          <w:i w:val="false"/>
          <w:iCs w:val="false"/>
          <w:color w:val="1B2A4A"/>
          <w:sz w:val="22"/>
          <w:szCs w:val="22"/>
        </w:rPr>
        <w:t xml:space="preserve">House Quorum</w:t>
      </w:r>
    </w:p>
    <w:p>
      <w:pPr>
        <w:spacing w:after="120" w:before="0"/>
        <w:ind w:left="431"/>
        <w:jc w:val="both"/>
      </w:pPr>
      <w:r>
        <w:rPr>
          <w:rFonts w:ascii="Garamond" w:cs="Garamond" w:eastAsia="Garamond" w:hAnsi="Garamond"/>
          <w:b w:val="false"/>
          <w:bCs w:val="false"/>
          <w:i w:val="false"/>
          <w:iCs w:val="false"/>
          <w:color w:val="2a2520"/>
          <w:sz w:val="22"/>
          <w:szCs w:val="22"/>
        </w:rPr>
        <w:t xml:space="preserve">A majority of the full seated House membership constitutes a quorum for ordinary business. The Speaker may compel attendance of absent members by warrant. No vote that requires an absolute majority of full membership may be held without quorum.</w:t>
      </w:r>
    </w:p>
    <w:p>
      <w:pPr>
        <w:spacing w:after="60" w:before="200"/>
        <w:ind w:left="431"/>
        <w:jc w:val="left"/>
      </w:pPr>
      <w:r>
        <w:rPr>
          <w:rFonts w:ascii="Courier New" w:cs="Courier New" w:eastAsia="Courier New" w:hAnsi="Courier New"/>
          <w:b/>
          <w:bCs/>
          <w:color w:val="1B2A4A"/>
          <w:sz w:val="18"/>
          <w:szCs w:val="18"/>
        </w:rPr>
        <w:t xml:space="preserve">§3.6  </w:t>
      </w:r>
      <w:r>
        <w:rPr>
          <w:rFonts w:ascii="Garamond" w:cs="Garamond" w:eastAsia="Garamond" w:hAnsi="Garamond"/>
          <w:b/>
          <w:bCs/>
          <w:i w:val="false"/>
          <w:iCs w:val="false"/>
          <w:color w:val="1B2A4A"/>
          <w:sz w:val="22"/>
          <w:szCs w:val="22"/>
        </w:rPr>
        <w:t xml:space="preserve">Legislative Oversight and Transparency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operates under continuous Inspectorate oversight — the Inspectorates publish findings but do not direct legislative outcomes.</w:t>
      </w:r>
    </w:p>
    <w:p>
      <w:pPr>
        <w:spacing w:after="60" w:before="200"/>
        <w:ind w:left="431"/>
        <w:jc w:val="left"/>
      </w:pPr>
      <w:r>
        <w:rPr>
          <w:rFonts w:ascii="Courier New" w:cs="Courier New" w:eastAsia="Courier New" w:hAnsi="Courier New"/>
          <w:b/>
          <w:bCs/>
          <w:color w:val="1B2A4A"/>
          <w:sz w:val="18"/>
          <w:szCs w:val="18"/>
        </w:rPr>
        <w:t xml:space="preserve">§3.6.a  </w:t>
      </w:r>
      <w:r>
        <w:rPr>
          <w:rFonts w:ascii="Garamond" w:cs="Garamond" w:eastAsia="Garamond" w:hAnsi="Garamond"/>
          <w:b/>
          <w:bCs/>
          <w:i w:val="false"/>
          <w:iCs w:val="false"/>
          <w:color w:val="1B2A4A"/>
          <w:sz w:val="22"/>
          <w:szCs w:val="22"/>
        </w:rPr>
        <w:t xml:space="preserve">Inspectorate Access to Legislative Records</w:t>
      </w:r>
    </w:p>
    <w:p>
      <w:pPr>
        <w:spacing w:after="120" w:before="0"/>
        <w:ind w:left="431"/>
        <w:jc w:val="both"/>
      </w:pPr>
      <w:r>
        <w:rPr>
          <w:rFonts w:ascii="Garamond" w:cs="Garamond" w:eastAsia="Garamond" w:hAnsi="Garamond"/>
          <w:b w:val="false"/>
          <w:bCs w:val="false"/>
          <w:i w:val="false"/>
          <w:iCs w:val="false"/>
          <w:color w:val="2a2520"/>
          <w:sz w:val="22"/>
          <w:szCs w:val="22"/>
        </w:rPr>
        <w:t xml:space="preserve">All three Inspectorates have full access to legislative records, committee deliberations, voting records, and draft legislation. The Legislature may not classify records from the Inspectorates.</w:t>
      </w:r>
    </w:p>
    <w:p>
      <w:pPr>
        <w:spacing w:after="60" w:before="200"/>
        <w:ind w:left="431"/>
        <w:jc w:val="left"/>
      </w:pPr>
      <w:r>
        <w:rPr>
          <w:rFonts w:ascii="Courier New" w:cs="Courier New" w:eastAsia="Courier New" w:hAnsi="Courier New"/>
          <w:b/>
          <w:bCs/>
          <w:color w:val="1B2A4A"/>
          <w:sz w:val="18"/>
          <w:szCs w:val="18"/>
        </w:rPr>
        <w:t xml:space="preserve">§3.6.b  </w:t>
      </w:r>
      <w:r>
        <w:rPr>
          <w:rFonts w:ascii="Garamond" w:cs="Garamond" w:eastAsia="Garamond" w:hAnsi="Garamond"/>
          <w:b/>
          <w:bCs/>
          <w:i w:val="false"/>
          <w:iCs w:val="false"/>
          <w:color w:val="1B2A4A"/>
          <w:sz w:val="22"/>
          <w:szCs w:val="22"/>
        </w:rPr>
        <w:t xml:space="preserve">LI Pre-Passage Constitutional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LI publishes a constitutional analysis of any bill that appears to conflict with a constitutional provision, before the bill reaches a final vote. Advisory, not blocking — but creates a permanent NRS record that any member voting for the bill voted with full knowledge of the constitutional concern.</w:t>
      </w:r>
    </w:p>
    <w:p>
      <w:pPr>
        <w:spacing w:after="60" w:before="200"/>
        <w:ind w:left="431"/>
        <w:jc w:val="left"/>
      </w:pPr>
      <w:r>
        <w:rPr>
          <w:rFonts w:ascii="Courier New" w:cs="Courier New" w:eastAsia="Courier New" w:hAnsi="Courier New"/>
          <w:b/>
          <w:bCs/>
          <w:color w:val="1B2A4A"/>
          <w:sz w:val="18"/>
          <w:szCs w:val="18"/>
        </w:rPr>
        <w:t xml:space="preserve">§3.6.c  </w:t>
      </w:r>
      <w:r>
        <w:rPr>
          <w:rFonts w:ascii="Garamond" w:cs="Garamond" w:eastAsia="Garamond" w:hAnsi="Garamond"/>
          <w:b/>
          <w:bCs/>
          <w:i w:val="false"/>
          <w:iCs w:val="false"/>
          <w:color w:val="1B2A4A"/>
          <w:sz w:val="22"/>
          <w:szCs w:val="22"/>
        </w:rPr>
        <w:t xml:space="preserve">Committee Structure</w:t>
      </w:r>
    </w:p>
    <w:p>
      <w:pPr>
        <w:spacing w:after="120" w:before="0"/>
        <w:ind w:left="431"/>
        <w:jc w:val="both"/>
      </w:pPr>
      <w:r>
        <w:rPr>
          <w:rFonts w:ascii="Garamond" w:cs="Garamond" w:eastAsia="Garamond" w:hAnsi="Garamond"/>
          <w:b w:val="false"/>
          <w:bCs w:val="false"/>
          <w:i w:val="false"/>
          <w:iCs w:val="false"/>
          <w:color w:val="2a2520"/>
          <w:sz w:val="22"/>
          <w:szCs w:val="22"/>
        </w:rPr>
        <w:t xml:space="preserve">Both chambers must maintain standing committees for their constitutionally assigned functions. Committees may not be abolished while they hold a constitutional mandate. The LI audits committee operations annually.</w:t>
      </w:r>
    </w:p>
    <w:p>
      <w:pPr>
        <w:spacing w:after="60" w:before="200"/>
        <w:ind w:left="431"/>
        <w:jc w:val="left"/>
      </w:pPr>
      <w:r>
        <w:rPr>
          <w:rFonts w:ascii="Courier New" w:cs="Courier New" w:eastAsia="Courier New" w:hAnsi="Courier New"/>
          <w:b/>
          <w:bCs/>
          <w:color w:val="1B2A4A"/>
          <w:sz w:val="18"/>
          <w:szCs w:val="18"/>
        </w:rPr>
        <w:t xml:space="preserve">§3.6.d  </w:t>
      </w:r>
      <w:r>
        <w:rPr>
          <w:rFonts w:ascii="Garamond" w:cs="Garamond" w:eastAsia="Garamond" w:hAnsi="Garamond"/>
          <w:b/>
          <w:bCs/>
          <w:i w:val="false"/>
          <w:iCs w:val="false"/>
          <w:color w:val="1B2A4A"/>
          <w:sz w:val="22"/>
          <w:szCs w:val="22"/>
        </w:rPr>
        <w:t xml:space="preserve">Joint Sessions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two chambers may meet in joint session for constitutionally enumerated purposes: receiving Presidential addresses, certifying election results, and voting on constitutional amendments under Path A. Joint sessions do not allow mixing of the chambers' distinct functions.</w:t>
      </w:r>
    </w:p>
    <w:p>
      <w:pPr>
        <w:spacing w:after="60" w:before="200"/>
        <w:ind w:left="431"/>
        <w:jc w:val="left"/>
      </w:pPr>
      <w:r>
        <w:rPr>
          <w:rFonts w:ascii="Courier New" w:cs="Courier New" w:eastAsia="Courier New" w:hAnsi="Courier New"/>
          <w:b/>
          <w:bCs/>
          <w:color w:val="1B2A4A"/>
          <w:sz w:val="18"/>
          <w:szCs w:val="18"/>
        </w:rPr>
        <w:t xml:space="preserve">§3.6.e  </w:t>
      </w:r>
      <w:r>
        <w:rPr>
          <w:rFonts w:ascii="Garamond" w:cs="Garamond" w:eastAsia="Garamond" w:hAnsi="Garamond"/>
          <w:b/>
          <w:bCs/>
          <w:i w:val="false"/>
          <w:iCs w:val="false"/>
          <w:color w:val="1B2A4A"/>
          <w:sz w:val="22"/>
          <w:szCs w:val="22"/>
        </w:rPr>
        <w:t xml:space="preserve">Legislative Ethics and Conduct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may establish a joint ethics committee with authority to sanction, suspend (not remove), or refer members to the EI for investigation. Removal requires a 2/3 vote of the relevant chamber following a published EI finding — the ethics committee cannot remove members, only the full chamber can.</w:t>
      </w:r>
    </w:p>
    <w:p>
      <w:pPr>
        <w:spacing w:after="60" w:before="200"/>
        <w:ind w:left="431"/>
        <w:jc w:val="left"/>
      </w:pPr>
      <w:r>
        <w:rPr>
          <w:rFonts w:ascii="Courier New" w:cs="Courier New" w:eastAsia="Courier New" w:hAnsi="Courier New"/>
          <w:b/>
          <w:bCs/>
          <w:color w:val="1B2A4A"/>
          <w:sz w:val="18"/>
          <w:szCs w:val="18"/>
        </w:rPr>
        <w:t xml:space="preserve">§3.6.f  </w:t>
      </w:r>
      <w:r>
        <w:rPr>
          <w:rFonts w:ascii="Garamond" w:cs="Garamond" w:eastAsia="Garamond" w:hAnsi="Garamond"/>
          <w:b/>
          <w:bCs/>
          <w:i w:val="false"/>
          <w:iCs w:val="false"/>
          <w:color w:val="1B2A4A"/>
          <w:sz w:val="22"/>
          <w:szCs w:val="22"/>
        </w:rPr>
        <w:t xml:space="preserve">Legislative Privilege</w:t>
      </w:r>
    </w:p>
    <w:p>
      <w:pPr>
        <w:spacing w:after="120" w:before="0"/>
        <w:ind w:left="431"/>
        <w:jc w:val="both"/>
      </w:pPr>
      <w:r>
        <w:rPr>
          <w:rFonts w:ascii="Garamond" w:cs="Garamond" w:eastAsia="Garamond" w:hAnsi="Garamond"/>
          <w:b w:val="false"/>
          <w:bCs w:val="false"/>
          <w:i w:val="false"/>
          <w:iCs w:val="false"/>
          <w:color w:val="2a2520"/>
          <w:sz w:val="22"/>
          <w:szCs w:val="22"/>
        </w:rPr>
        <w:t xml:space="preserve">Members are privileged from civil arrest and civil suit arising from acts performed in their legislative capacity: votes, speeches, committee testimony. This privilege does not extend to criminal conduct, conduct outside legislative functions, or conduct the EI has certified as a constitutional breach.</w:t>
      </w:r>
    </w:p>
    <w:p>
      <w:pPr>
        <w:spacing w:after="60" w:before="200"/>
        <w:ind w:left="431"/>
        <w:jc w:val="left"/>
      </w:pPr>
      <w:r>
        <w:rPr>
          <w:rFonts w:ascii="Courier New" w:cs="Courier New" w:eastAsia="Courier New" w:hAnsi="Courier New"/>
          <w:b/>
          <w:bCs/>
          <w:color w:val="1B2A4A"/>
          <w:sz w:val="18"/>
          <w:szCs w:val="18"/>
        </w:rPr>
        <w:t xml:space="preserve">§3.7  </w:t>
      </w:r>
      <w:r>
        <w:rPr>
          <w:rFonts w:ascii="Garamond" w:cs="Garamond" w:eastAsia="Garamond" w:hAnsi="Garamond"/>
          <w:b/>
          <w:bCs/>
          <w:i w:val="false"/>
          <w:iCs w:val="false"/>
          <w:color w:val="1B2A4A"/>
          <w:sz w:val="22"/>
          <w:szCs w:val="22"/>
        </w:rPr>
        <w:t xml:space="preserve">Independent Statutory Officers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constitution authorizes a class of statutory officers who operate independently of both executives. Their independence is structural — fixed terms, appointment from a JI-maintained registry, and removal only on the grounds specified in enabling statute.</w:t>
      </w:r>
    </w:p>
    <w:p>
      <w:pPr>
        <w:spacing w:after="60" w:before="200"/>
        <w:ind w:left="431"/>
        <w:jc w:val="left"/>
      </w:pPr>
      <w:r>
        <w:rPr>
          <w:rFonts w:ascii="Courier New" w:cs="Courier New" w:eastAsia="Courier New" w:hAnsi="Courier New"/>
          <w:b/>
          <w:bCs/>
          <w:color w:val="1B2A4A"/>
          <w:sz w:val="18"/>
          <w:szCs w:val="18"/>
        </w:rPr>
        <w:t xml:space="preserve">§3.7.a  </w:t>
      </w:r>
      <w:r>
        <w:rPr>
          <w:rFonts w:ascii="Garamond" w:cs="Garamond" w:eastAsia="Garamond" w:hAnsi="Garamond"/>
          <w:b/>
          <w:bCs/>
          <w:i w:val="false"/>
          <w:iCs w:val="false"/>
          <w:color w:val="1B2A4A"/>
          <w:sz w:val="22"/>
          <w:szCs w:val="22"/>
        </w:rPr>
        <w:t xml:space="preserve">Authorization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Statutory Independent Officers — the constitution authorizes the Legislature to create independent statutory offices outside both executive domains. They exercise regulatory, quasi-judicial, or administrative functions with constitutional independence — neither executive may direct their operations.</w:t>
      </w:r>
    </w:p>
    <w:p>
      <w:pPr>
        <w:spacing w:after="60" w:before="200"/>
        <w:ind w:left="431"/>
        <w:jc w:val="left"/>
      </w:pPr>
      <w:r>
        <w:rPr>
          <w:rFonts w:ascii="Courier New" w:cs="Courier New" w:eastAsia="Courier New" w:hAnsi="Courier New"/>
          <w:b/>
          <w:bCs/>
          <w:color w:val="1B2A4A"/>
          <w:sz w:val="18"/>
          <w:szCs w:val="18"/>
        </w:rPr>
        <w:t xml:space="preserve">§3.7.b  </w:t>
      </w:r>
      <w:r>
        <w:rPr>
          <w:rFonts w:ascii="Garamond" w:cs="Garamond" w:eastAsia="Garamond" w:hAnsi="Garamond"/>
          <w:b/>
          <w:bCs/>
          <w:i w:val="false"/>
          <w:iCs w:val="false"/>
          <w:color w:val="1B2A4A"/>
          <w:sz w:val="22"/>
          <w:szCs w:val="22"/>
        </w:rPr>
        <w:t xml:space="preserve">Appointment</w:t>
      </w:r>
    </w:p>
    <w:p>
      <w:pPr>
        <w:spacing w:after="120" w:before="0"/>
        <w:ind w:left="431"/>
        <w:jc w:val="both"/>
      </w:pPr>
      <w:r>
        <w:rPr>
          <w:rFonts w:ascii="Garamond" w:cs="Garamond" w:eastAsia="Garamond" w:hAnsi="Garamond"/>
          <w:b w:val="false"/>
          <w:bCs w:val="false"/>
          <w:i w:val="false"/>
          <w:iCs w:val="false"/>
          <w:color w:val="2a2520"/>
          <w:sz w:val="22"/>
          <w:szCs w:val="22"/>
        </w:rPr>
        <w:t xml:space="preserve">Registry and Nomination for Independent Officers — the JI maintains a registry of qualified candidates for each independent statutory office. The PM may only nominate from the registry. The EI reviews each nominee's disclosure record for factual accuracy before Senate confirmation. Prevents purely political appointments while preserving the PM's nomination discretion within the qualified pool.</w:t>
      </w:r>
    </w:p>
    <w:p>
      <w:pPr>
        <w:spacing w:after="60" w:before="200"/>
        <w:ind w:left="431"/>
        <w:jc w:val="left"/>
      </w:pPr>
      <w:r>
        <w:rPr>
          <w:rFonts w:ascii="Courier New" w:cs="Courier New" w:eastAsia="Courier New" w:hAnsi="Courier New"/>
          <w:b/>
          <w:bCs/>
          <w:color w:val="1B2A4A"/>
          <w:sz w:val="18"/>
          <w:szCs w:val="18"/>
        </w:rPr>
        <w:t xml:space="preserve">§3.7.c  </w:t>
      </w:r>
      <w:r>
        <w:rPr>
          <w:rFonts w:ascii="Garamond" w:cs="Garamond" w:eastAsia="Garamond" w:hAnsi="Garamond"/>
          <w:b/>
          <w:bCs/>
          <w:i w:val="false"/>
          <w:iCs w:val="false"/>
          <w:color w:val="1B2A4A"/>
          <w:sz w:val="22"/>
          <w:szCs w:val="22"/>
        </w:rPr>
        <w:t xml:space="preserve">Senate Confirmation of Independent Officers</w:t>
      </w:r>
    </w:p>
    <w:p>
      <w:pPr>
        <w:spacing w:after="120" w:before="0"/>
        <w:ind w:left="431"/>
        <w:jc w:val="both"/>
      </w:pPr>
      <w:r>
        <w:rPr>
          <w:rFonts w:ascii="Garamond" w:cs="Garamond" w:eastAsia="Garamond" w:hAnsi="Garamond"/>
          <w:b w:val="false"/>
          <w:bCs w:val="false"/>
          <w:i w:val="false"/>
          <w:iCs w:val="false"/>
          <w:color w:val="2a2520"/>
          <w:sz w:val="22"/>
          <w:szCs w:val="22"/>
        </w:rPr>
        <w:t xml:space="preserve">Confirmed by the Senate. Thresholds defined by the enabling statute within constitutional bounds. The Senate may not confirm an officer the EI has flagged for a material disclosure inaccuracy until the discrepancy is resolved.</w:t>
      </w:r>
    </w:p>
    <w:p>
      <w:pPr>
        <w:spacing w:after="60" w:before="200"/>
        <w:ind w:left="431"/>
        <w:jc w:val="left"/>
      </w:pPr>
      <w:r>
        <w:rPr>
          <w:rFonts w:ascii="Courier New" w:cs="Courier New" w:eastAsia="Courier New" w:hAnsi="Courier New"/>
          <w:b/>
          <w:bCs/>
          <w:color w:val="1B2A4A"/>
          <w:sz w:val="18"/>
          <w:szCs w:val="18"/>
        </w:rPr>
        <w:t xml:space="preserve">§3.7.d  </w:t>
      </w:r>
      <w:r>
        <w:rPr>
          <w:rFonts w:ascii="Garamond" w:cs="Garamond" w:eastAsia="Garamond" w:hAnsi="Garamond"/>
          <w:b/>
          <w:bCs/>
          <w:i w:val="false"/>
          <w:iCs w:val="false"/>
          <w:color w:val="1B2A4A"/>
          <w:sz w:val="22"/>
          <w:szCs w:val="22"/>
        </w:rPr>
        <w:t xml:space="preserve">Removal of Independent Officers</w:t>
      </w:r>
    </w:p>
    <w:p>
      <w:pPr>
        <w:spacing w:after="120" w:before="0"/>
        <w:ind w:left="431"/>
        <w:jc w:val="both"/>
      </w:pPr>
      <w:r>
        <w:rPr>
          <w:rFonts w:ascii="Garamond" w:cs="Garamond" w:eastAsia="Garamond" w:hAnsi="Garamond"/>
          <w:b w:val="false"/>
          <w:bCs w:val="false"/>
          <w:i w:val="false"/>
          <w:iCs w:val="false"/>
          <w:color w:val="2a2520"/>
          <w:sz w:val="22"/>
          <w:szCs w:val="22"/>
        </w:rPr>
        <w:t xml:space="preserve">Removal requires a for-cause finding. The EI must publish a factual finding before any removal vote. Removal is by 2/3 of both chambers simultaneously. Neither executive may remove a statutory independent officer unilaterally.</w:t>
      </w:r>
    </w:p>
    <w:p>
      <w:pPr>
        <w:spacing w:after="60" w:before="200"/>
        <w:ind w:left="431"/>
        <w:jc w:val="left"/>
      </w:pPr>
      <w:r>
        <w:rPr>
          <w:rFonts w:ascii="Courier New" w:cs="Courier New" w:eastAsia="Courier New" w:hAnsi="Courier New"/>
          <w:b/>
          <w:bCs/>
          <w:color w:val="1B2A4A"/>
          <w:sz w:val="18"/>
          <w:szCs w:val="18"/>
        </w:rPr>
        <w:t xml:space="preserve">§3.8  </w:t>
      </w:r>
      <w:r>
        <w:rPr>
          <w:rFonts w:ascii="Garamond" w:cs="Garamond" w:eastAsia="Garamond" w:hAnsi="Garamond"/>
          <w:b/>
          <w:bCs/>
          <w:i w:val="false"/>
          <w:iCs w:val="false"/>
          <w:color w:val="1B2A4A"/>
          <w:sz w:val="22"/>
          <w:szCs w:val="22"/>
        </w:rPr>
        <w:t xml:space="preserve">Impeachment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House may initiate impeachment proceedings against officers appointed to and serving in the President's executive domain, and against inferior court judges. The President is not subject to this section — presidential removal is governed exclusively by §2.10. The Prime Minister is not subject to this section — PM removal is governed exclusively by §2.3.a. Supreme Court justices are not subject to this section — SC removal is governed exclusively by §4.1.d. Legislative members are not subject to this section — their removal is governed exclusively by §3.6.</w:t>
      </w:r>
    </w:p>
    <w:p>
      <w:pPr>
        <w:spacing w:after="60" w:before="200"/>
        <w:ind w:left="431"/>
        <w:jc w:val="left"/>
      </w:pPr>
      <w:r>
        <w:rPr>
          <w:rFonts w:ascii="Courier New" w:cs="Courier New" w:eastAsia="Courier New" w:hAnsi="Courier New"/>
          <w:b/>
          <w:bCs/>
          <w:color w:val="1B2A4A"/>
          <w:sz w:val="18"/>
          <w:szCs w:val="18"/>
        </w:rPr>
        <w:t xml:space="preserve">§3.8.a  </w:t>
      </w:r>
      <w:r>
        <w:rPr>
          <w:rFonts w:ascii="Garamond" w:cs="Garamond" w:eastAsia="Garamond" w:hAnsi="Garamond"/>
          <w:b/>
          <w:bCs/>
          <w:i w:val="false"/>
          <w:iCs w:val="false"/>
          <w:color w:val="1B2A4A"/>
          <w:sz w:val="22"/>
          <w:szCs w:val="22"/>
        </w:rPr>
        <w:t xml:space="preserve">Impeachment Inquiry</w:t>
      </w:r>
    </w:p>
    <w:p>
      <w:pPr>
        <w:spacing w:after="120" w:before="0"/>
        <w:ind w:left="431"/>
        <w:jc w:val="both"/>
      </w:pPr>
      <w:r>
        <w:rPr>
          <w:rFonts w:ascii="Garamond" w:cs="Garamond" w:eastAsia="Garamond" w:hAnsi="Garamond"/>
          <w:b w:val="false"/>
          <w:bCs w:val="false"/>
          <w:i w:val="false"/>
          <w:iCs w:val="false"/>
          <w:color w:val="2a2520"/>
          <w:sz w:val="22"/>
          <w:szCs w:val="22"/>
        </w:rPr>
        <w:t xml:space="preserve">Any 1/3 minority of the House may open a formal impeachment inquiry. The inquiry is conducted by a House committee with findings published to the NRS. An inquiry carries no immediate consequences for the subject official. Inquiries lapse 120 days after opening if no Articles of Impeachment are filed.</w:t>
      </w:r>
    </w:p>
    <w:p>
      <w:pPr>
        <w:spacing w:after="60" w:before="200"/>
        <w:ind w:left="431"/>
        <w:jc w:val="left"/>
      </w:pPr>
      <w:r>
        <w:rPr>
          <w:rFonts w:ascii="Courier New" w:cs="Courier New" w:eastAsia="Courier New" w:hAnsi="Courier New"/>
          <w:b/>
          <w:bCs/>
          <w:color w:val="1B2A4A"/>
          <w:sz w:val="18"/>
          <w:szCs w:val="18"/>
        </w:rPr>
        <w:t xml:space="preserve">§3.8.b  </w:t>
      </w:r>
      <w:r>
        <w:rPr>
          <w:rFonts w:ascii="Garamond" w:cs="Garamond" w:eastAsia="Garamond" w:hAnsi="Garamond"/>
          <w:b/>
          <w:bCs/>
          <w:i w:val="false"/>
          <w:iCs w:val="false"/>
          <w:color w:val="1B2A4A"/>
          <w:sz w:val="22"/>
          <w:szCs w:val="22"/>
        </w:rPr>
        <w:t xml:space="preserve">Articles of Impeachment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full House votes on Articles of Impeachment by absolute majority of full seated membership. Passage transmits the Articles immediately to the Senate and publishes them permanently to the NRS. The Articles must state specific grounds in plain language. The subject official continues in office pending the Senate trial. Impeachment proceedings and Inspectorate findings proceed concurrently on independent tracks; the more restrictive consequence applies where both converge.</w:t>
      </w:r>
    </w:p>
    <w:p>
      <w:pPr>
        <w:spacing w:after="60" w:before="200"/>
        <w:ind w:left="431"/>
        <w:jc w:val="left"/>
      </w:pPr>
      <w:r>
        <w:rPr>
          <w:rFonts w:ascii="Courier New" w:cs="Courier New" w:eastAsia="Courier New" w:hAnsi="Courier New"/>
          <w:b/>
          <w:bCs/>
          <w:color w:val="1B2A4A"/>
          <w:sz w:val="18"/>
          <w:szCs w:val="18"/>
        </w:rPr>
        <w:t xml:space="preserve">§3.8.c  </w:t>
      </w:r>
      <w:r>
        <w:rPr>
          <w:rFonts w:ascii="Garamond" w:cs="Garamond" w:eastAsia="Garamond" w:hAnsi="Garamond"/>
          <w:b/>
          <w:bCs/>
          <w:i w:val="false"/>
          <w:iCs w:val="false"/>
          <w:color w:val="1B2A4A"/>
          <w:sz w:val="22"/>
          <w:szCs w:val="22"/>
        </w:rPr>
        <w:t xml:space="preserve">Senate Trial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presides over Senate impeachment trials without voting on the final removal question. Where the President is the subject of proceedings under §2.10, the most senior available Supreme Court justice presides under the same conditions. The trial is conducted in public and recorded on the NRS. Conviction and removal requires 2/3 of the full seated Senate membership. On conviction: removal is automatic and immediate; the Senate may additionally bar the convicted official from future federal office by simple majority vote; all criminal liability remains separately pursuable. Acquittal is final — no further impeachment proceedings on the same Articles and the same conduct may be initiated. An acquitted or convicted official retains all Article I rights.</w:t>
      </w:r>
    </w:p>
    <w:p>
      <w:pPr>
        <w:spacing w:after="60" w:before="200"/>
        <w:ind w:left="431"/>
        <w:jc w:val="left"/>
      </w:pPr>
      <w:r>
        <w:rPr>
          <w:rFonts w:ascii="Courier New" w:cs="Courier New" w:eastAsia="Courier New" w:hAnsi="Courier New"/>
          <w:b/>
          <w:bCs/>
          <w:color w:val="1B2A4A"/>
          <w:sz w:val="18"/>
          <w:szCs w:val="18"/>
        </w:rPr>
        <w:t xml:space="preserve">§3.8.d  </w:t>
      </w:r>
      <w:r>
        <w:rPr>
          <w:rFonts w:ascii="Garamond" w:cs="Garamond" w:eastAsia="Garamond" w:hAnsi="Garamond"/>
          <w:b/>
          <w:bCs/>
          <w:i w:val="false"/>
          <w:iCs w:val="false"/>
          <w:color w:val="1B2A4A"/>
          <w:sz w:val="22"/>
          <w:szCs w:val="22"/>
        </w:rPr>
        <w:t xml:space="preserve">Executive Continuity During Impeachment</w:t>
      </w:r>
    </w:p>
    <w:p>
      <w:pPr>
        <w:spacing w:after="120" w:before="0"/>
        <w:ind w:left="431"/>
        <w:jc w:val="both"/>
      </w:pPr>
      <w:r>
        <w:rPr>
          <w:rFonts w:ascii="Garamond" w:cs="Garamond" w:eastAsia="Garamond" w:hAnsi="Garamond"/>
          <w:b w:val="false"/>
          <w:bCs w:val="false"/>
          <w:i w:val="false"/>
          <w:iCs w:val="false"/>
          <w:color w:val="2a2520"/>
          <w:sz w:val="22"/>
          <w:szCs w:val="22"/>
        </w:rPr>
        <w:t xml:space="preserve">Impeachment of an officer within the President's executive domain activates the relevant succession protocols for that officer's functions from the date the House passes Articles, pending the Senate trial's conclusion. The impeached official retains personal Article I rights but is relieved of executive authority pending the Senate trial.</w:t>
      </w:r>
    </w:p>
    <w:p>
      <w:pPr>
        <w:spacing w:after="60" w:before="200"/>
        <w:jc w:val="left"/>
      </w:pPr>
      <w:r>
        <w:rPr>
          <w:rFonts w:ascii="Garamond" w:cs="Garamond" w:eastAsia="Garamond" w:hAnsi="Garamond"/>
          <w:b/>
          <w:bCs/>
          <w:i w:val="false"/>
          <w:iCs w:val="false"/>
          <w:color w:val="1B2A4A"/>
          <w:sz w:val="34"/>
          <w:szCs w:val="34"/>
        </w:rPr>
        <w:t xml:space="preserve">Article IV — The Judicial Architecture</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§4.1  </w:t>
      </w:r>
      <w:r>
        <w:rPr>
          <w:rFonts w:ascii="Garamond" w:cs="Garamond" w:eastAsia="Garamond" w:hAnsi="Garamond"/>
          <w:b/>
          <w:bCs/>
          <w:i w:val="false"/>
          <w:iCs w:val="false"/>
          <w:color w:val="1B2A4A"/>
          <w:sz w:val="22"/>
          <w:szCs w:val="22"/>
        </w:rPr>
        <w:t xml:space="preserve">Court Structure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Republic's judiciary operates at three levels: District Courts (fact-finding and evidence), Appellate Courts (rules compliance), and the Supreme Court (final constitutional authority). States may maintain specialized court structures by statute, provided any constitutional question arising in any proceeding may be referred to the Supreme Court by any party or by the presiding court of its own motion.</w:t>
      </w:r>
    </w:p>
    <w:p>
      <w:pPr>
        <w:spacing w:after="60" w:before="200"/>
        <w:ind w:left="431"/>
        <w:jc w:val="left"/>
      </w:pPr>
      <w:r>
        <w:rPr>
          <w:rFonts w:ascii="Courier New" w:cs="Courier New" w:eastAsia="Courier New" w:hAnsi="Courier New"/>
          <w:b/>
          <w:bCs/>
          <w:color w:val="1B2A4A"/>
          <w:sz w:val="18"/>
          <w:szCs w:val="18"/>
        </w:rPr>
        <w:t xml:space="preserve">§4.1.a  </w:t>
      </w:r>
      <w:r>
        <w:rPr>
          <w:rFonts w:ascii="Garamond" w:cs="Garamond" w:eastAsia="Garamond" w:hAnsi="Garamond"/>
          <w:b/>
          <w:bCs/>
          <w:i w:val="false"/>
          <w:iCs w:val="false"/>
          <w:color w:val="1B2A4A"/>
          <w:sz w:val="22"/>
          <w:szCs w:val="22"/>
        </w:rPr>
        <w:t xml:space="preserve">Establishment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House alone may create or abolish inferior courts by statute — one of the few exclusively House powers. The Senate confirms the judges who sit on those courts (§4.1.b), but the existence and structure of the courts is a House matter. The House may also define the jurisdiction and rules of inferior courts by statute, subject to constitutional constraints on judicial independence.</w:t>
      </w:r>
    </w:p>
    <w:p>
      <w:pPr>
        <w:spacing w:after="60" w:before="200"/>
        <w:ind w:left="431"/>
        <w:jc w:val="left"/>
      </w:pPr>
      <w:r>
        <w:rPr>
          <w:rFonts w:ascii="Courier New" w:cs="Courier New" w:eastAsia="Courier New" w:hAnsi="Courier New"/>
          <w:b/>
          <w:bCs/>
          <w:color w:val="1B2A4A"/>
          <w:sz w:val="18"/>
          <w:szCs w:val="18"/>
        </w:rPr>
        <w:t xml:space="preserve">§4.1.b  </w:t>
      </w:r>
      <w:r>
        <w:rPr>
          <w:rFonts w:ascii="Garamond" w:cs="Garamond" w:eastAsia="Garamond" w:hAnsi="Garamond"/>
          <w:b/>
          <w:bCs/>
          <w:i w:val="false"/>
          <w:iCs w:val="false"/>
          <w:color w:val="1B2A4A"/>
          <w:sz w:val="22"/>
          <w:szCs w:val="22"/>
        </w:rPr>
        <w:t xml:space="preserve">Appointment of Inferior Courts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nominates inferior court judges within 90 days of a vacancy. The Senate confirms by a supermajority of 55–67% of full seated membership, as the Legislature defines by statute. Before the confirmation vote, the PM submits the nominee's disclosure record to the EI; the EI publishes its review before the vote. Where the PM fails to nominate within 90 days, the Senate may nominate directly. The confirmation period is prorated where nomination occurs late. No vacancy may remain unfilled beyond 180 days; Deemed Confirmation applies at that ceiling if no vote has been held.</w:t>
      </w:r>
    </w:p>
    <w:p>
      <w:pPr>
        <w:spacing w:after="60" w:before="200"/>
        <w:ind w:left="431"/>
        <w:jc w:val="left"/>
      </w:pPr>
      <w:r>
        <w:rPr>
          <w:rFonts w:ascii="Courier New" w:cs="Courier New" w:eastAsia="Courier New" w:hAnsi="Courier New"/>
          <w:b/>
          <w:bCs/>
          <w:color w:val="1B2A4A"/>
          <w:sz w:val="18"/>
          <w:szCs w:val="18"/>
        </w:rPr>
        <w:t xml:space="preserve">§4.1.c  </w:t>
      </w:r>
      <w:r>
        <w:rPr>
          <w:rFonts w:ascii="Garamond" w:cs="Garamond" w:eastAsia="Garamond" w:hAnsi="Garamond"/>
          <w:b/>
          <w:bCs/>
          <w:i w:val="false"/>
          <w:iCs w:val="false"/>
          <w:color w:val="1B2A4A"/>
          <w:sz w:val="22"/>
          <w:szCs w:val="22"/>
        </w:rPr>
        <w:t xml:space="preserve">Judicial Tenure Protection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Inferior court judges, once commissioned, serve during good behavior with no fixed term. The Legislature may establish a maximum service age or maximum total service period (not less than 15 years from first commissioning), but may not create fixed-term appointments shorter than 15 years. Ensures judicial independence from political branches — a judge who must seek reappointment is not fully independent.</w:t>
      </w:r>
    </w:p>
    <w:p>
      <w:pPr>
        <w:spacing w:after="60" w:before="200"/>
        <w:ind w:left="431"/>
        <w:jc w:val="left"/>
      </w:pPr>
      <w:r>
        <w:rPr>
          <w:rFonts w:ascii="Courier New" w:cs="Courier New" w:eastAsia="Courier New" w:hAnsi="Courier New"/>
          <w:b/>
          <w:bCs/>
          <w:color w:val="1B2A4A"/>
          <w:sz w:val="18"/>
          <w:szCs w:val="18"/>
        </w:rPr>
        <w:t xml:space="preserve">§4.1.d  </w:t>
      </w:r>
      <w:r>
        <w:rPr>
          <w:rFonts w:ascii="Garamond" w:cs="Garamond" w:eastAsia="Garamond" w:hAnsi="Garamond"/>
          <w:b/>
          <w:bCs/>
          <w:i w:val="false"/>
          <w:iCs w:val="false"/>
          <w:color w:val="1B2A4A"/>
          <w:sz w:val="22"/>
          <w:szCs w:val="22"/>
        </w:rPr>
        <w:t xml:space="preserve">Judicial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Inferior court judges may be removed through three tracks: legislative removal by 2/3 of both chambers for constitutional breach or demonstrated incapacity; judicial discipline through a process the Legislature establishes by statute, subject to SC oversight; and criminal conviction for disqualifying offenses. The EI must publish a factual finding before any legislative removal vote.</w:t>
      </w:r>
    </w:p>
    <w:p>
      <w:pPr>
        <w:spacing w:after="60" w:before="200"/>
        <w:ind w:left="431"/>
        <w:jc w:val="left"/>
      </w:pPr>
      <w:r>
        <w:rPr>
          <w:rFonts w:ascii="Courier New" w:cs="Courier New" w:eastAsia="Courier New" w:hAnsi="Courier New"/>
          <w:b/>
          <w:bCs/>
          <w:color w:val="1B2A4A"/>
          <w:sz w:val="18"/>
          <w:szCs w:val="18"/>
        </w:rPr>
        <w:t xml:space="preserve">§4.2  </w:t>
      </w:r>
      <w:r>
        <w:rPr>
          <w:rFonts w:ascii="Garamond" w:cs="Garamond" w:eastAsia="Garamond" w:hAnsi="Garamond"/>
          <w:b/>
          <w:bCs/>
          <w:i w:val="false"/>
          <w:iCs w:val="false"/>
          <w:color w:val="1B2A4A"/>
          <w:sz w:val="22"/>
          <w:szCs w:val="22"/>
        </w:rPr>
        <w:t xml:space="preserve">Open-Candidacy Judicial Selection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Supreme Court justices are elected by national ranked-choice vote from an open pool of registered candidates. No political branch nominates, appoints, or confirms SC justices. Three justices are elected every four years under a staggered class system; each serves a single non-renewable 12-year term.</w:t>
      </w:r>
    </w:p>
    <w:p>
      <w:pPr>
        <w:spacing w:after="60" w:before="200"/>
        <w:ind w:left="431"/>
        <w:jc w:val="left"/>
      </w:pPr>
      <w:r>
        <w:rPr>
          <w:rFonts w:ascii="Courier New" w:cs="Courier New" w:eastAsia="Courier New" w:hAnsi="Courier New"/>
          <w:b/>
          <w:bCs/>
          <w:color w:val="1B2A4A"/>
          <w:sz w:val="18"/>
          <w:szCs w:val="18"/>
        </w:rPr>
        <w:t xml:space="preserve">§4.2.a  </w:t>
      </w:r>
      <w:r>
        <w:rPr>
          <w:rFonts w:ascii="Garamond" w:cs="Garamond" w:eastAsia="Garamond" w:hAnsi="Garamond"/>
          <w:b/>
          <w:bCs/>
          <w:i w:val="false"/>
          <w:iCs w:val="false"/>
          <w:color w:val="1B2A4A"/>
          <w:sz w:val="22"/>
          <w:szCs w:val="22"/>
        </w:rPr>
        <w:t xml:space="preserve">Candidate Registration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Any citizen on the SC Candidate Registry (maintained by the JI under §8.4.e) may stand by filing a full disclosure record with the EI. The EI reviews within 14 days for factual accuracy — not to assess the quality of credentials. A candidate with a material inaccuracy is removed from the ballot; the EI publishes the grounds.</w:t>
      </w:r>
    </w:p>
    <w:p>
      <w:pPr>
        <w:spacing w:after="60" w:before="200"/>
        <w:ind w:left="431"/>
        <w:jc w:val="left"/>
      </w:pPr>
      <w:r>
        <w:rPr>
          <w:rFonts w:ascii="Courier New" w:cs="Courier New" w:eastAsia="Courier New" w:hAnsi="Courier New"/>
          <w:b/>
          <w:bCs/>
          <w:color w:val="1B2A4A"/>
          <w:sz w:val="18"/>
          <w:szCs w:val="18"/>
        </w:rPr>
        <w:t xml:space="preserve">§4.2.b  </w:t>
      </w:r>
      <w:r>
        <w:rPr>
          <w:rFonts w:ascii="Garamond" w:cs="Garamond" w:eastAsia="Garamond" w:hAnsi="Garamond"/>
          <w:b/>
          <w:bCs/>
          <w:i w:val="false"/>
          <w:iCs w:val="false"/>
          <w:color w:val="1B2A4A"/>
          <w:sz w:val="22"/>
          <w:szCs w:val="22"/>
        </w:rPr>
        <w:t xml:space="preserve">Judicial Selection Board</w:t>
      </w:r>
    </w:p>
    <w:p>
      <w:pPr>
        <w:spacing w:after="120" w:before="0"/>
        <w:ind w:left="431"/>
        <w:jc w:val="both"/>
      </w:pPr>
      <w:r>
        <w:rPr>
          <w:rFonts w:ascii="Garamond" w:cs="Garamond" w:eastAsia="Garamond" w:hAnsi="Garamond"/>
          <w:b w:val="false"/>
          <w:bCs w:val="false"/>
          <w:i w:val="false"/>
          <w:iCs w:val="false"/>
          <w:color w:val="2a2520"/>
          <w:sz w:val="22"/>
          <w:szCs w:val="22"/>
        </w:rPr>
        <w:t xml:space="preserve">Five senior judges (at least 10 years continuous service) chosen by lot by the JI from all eligible judges who are not themselves candidates. Advisory assessment of every candidate's judicial record, legal reasoning, and professional independence. Advisory only — no ballot access authority, no endorsement. Published no later than 60 days before the election.</w:t>
      </w:r>
    </w:p>
    <w:p>
      <w:pPr>
        <w:spacing w:after="60" w:before="200"/>
        <w:ind w:left="431"/>
        <w:jc w:val="left"/>
      </w:pPr>
      <w:r>
        <w:rPr>
          <w:rFonts w:ascii="Courier New" w:cs="Courier New" w:eastAsia="Courier New" w:hAnsi="Courier New"/>
          <w:b/>
          <w:bCs/>
          <w:color w:val="1B2A4A"/>
          <w:sz w:val="18"/>
          <w:szCs w:val="18"/>
        </w:rPr>
        <w:t xml:space="preserve">§4.2.c  </w:t>
      </w:r>
      <w:r>
        <w:rPr>
          <w:rFonts w:ascii="Garamond" w:cs="Garamond" w:eastAsia="Garamond" w:hAnsi="Garamond"/>
          <w:b/>
          <w:bCs/>
          <w:i w:val="false"/>
          <w:iCs w:val="false"/>
          <w:color w:val="1B2A4A"/>
          <w:sz w:val="22"/>
          <w:szCs w:val="22"/>
        </w:rPr>
        <w:t xml:space="preserve">Judicial Inspectorate Certification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JI confirms that each candidate remains on the SC Candidate Registry and that no disqualifying change has occurred since Registry admission. Candidates who fail JI certification may appeal under §8.4.i.</w:t>
      </w:r>
    </w:p>
    <w:p>
      <w:pPr>
        <w:spacing w:after="60" w:before="200"/>
        <w:ind w:left="431"/>
        <w:jc w:val="left"/>
      </w:pPr>
      <w:r>
        <w:rPr>
          <w:rFonts w:ascii="Courier New" w:cs="Courier New" w:eastAsia="Courier New" w:hAnsi="Courier New"/>
          <w:b/>
          <w:bCs/>
          <w:color w:val="1B2A4A"/>
          <w:sz w:val="18"/>
          <w:szCs w:val="18"/>
        </w:rPr>
        <w:t xml:space="preserve">§4.2.d  </w:t>
      </w:r>
      <w:r>
        <w:rPr>
          <w:rFonts w:ascii="Garamond" w:cs="Garamond" w:eastAsia="Garamond" w:hAnsi="Garamond"/>
          <w:b/>
          <w:bCs/>
          <w:i w:val="false"/>
          <w:iCs w:val="false"/>
          <w:color w:val="1B2A4A"/>
          <w:sz w:val="22"/>
          <w:szCs w:val="22"/>
        </w:rPr>
        <w:t xml:space="preserve">Public Election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National RCV election administered by the Electoral Commission. All JI-certified candidates appear on the ballot. Winner achieves a national RCV majority. The EC certifies the result; the elected justice takes the Official Oath. Recorded on the NRS within 24 hours. From this moment, the justice serves a single non-renewable 12-year term.</w:t>
      </w:r>
    </w:p>
    <w:p>
      <w:pPr>
        <w:spacing w:after="60" w:before="200"/>
        <w:ind w:left="431"/>
        <w:jc w:val="left"/>
      </w:pPr>
      <w:r>
        <w:rPr>
          <w:rFonts w:ascii="Courier New" w:cs="Courier New" w:eastAsia="Courier New" w:hAnsi="Courier New"/>
          <w:b/>
          <w:bCs/>
          <w:color w:val="1B2A4A"/>
          <w:sz w:val="18"/>
          <w:szCs w:val="18"/>
        </w:rPr>
        <w:t xml:space="preserve">§4.2.e  </w:t>
      </w:r>
      <w:r>
        <w:rPr>
          <w:rFonts w:ascii="Garamond" w:cs="Garamond" w:eastAsia="Garamond" w:hAnsi="Garamond"/>
          <w:b/>
          <w:bCs/>
          <w:i w:val="false"/>
          <w:iCs w:val="false"/>
          <w:color w:val="1B2A4A"/>
          <w:sz w:val="22"/>
          <w:szCs w:val="22"/>
        </w:rPr>
        <w:t xml:space="preserve">Mid-Term Vacancies</w:t>
      </w:r>
    </w:p>
    <w:p>
      <w:pPr>
        <w:spacing w:after="120" w:before="0"/>
        <w:ind w:left="431"/>
        <w:jc w:val="both"/>
      </w:pPr>
      <w:r>
        <w:rPr>
          <w:rFonts w:ascii="Garamond" w:cs="Garamond" w:eastAsia="Garamond" w:hAnsi="Garamond"/>
          <w:b w:val="false"/>
          <w:bCs w:val="false"/>
          <w:i w:val="false"/>
          <w:iCs w:val="false"/>
          <w:color w:val="2a2520"/>
          <w:sz w:val="22"/>
          <w:szCs w:val="22"/>
        </w:rPr>
        <w:t xml:space="preserve">Any vacancy triggers a special election within 180 days. The full open-candidacy process applies with compressed timelines: registration Day 30, EI review Day 60, Board assessment Day 90, JI certification Day 120, election Day 180. The replacement serves only the remainder of the original 12-year term — not a new full term.</w:t>
      </w:r>
    </w:p>
    <w:p>
      <w:pPr>
        <w:spacing w:after="60" w:before="200"/>
        <w:ind w:left="431"/>
        <w:jc w:val="left"/>
      </w:pPr>
      <w:r>
        <w:rPr>
          <w:rFonts w:ascii="Courier New" w:cs="Courier New" w:eastAsia="Courier New" w:hAnsi="Courier New"/>
          <w:b/>
          <w:bCs/>
          <w:color w:val="1B2A4A"/>
          <w:sz w:val="18"/>
          <w:szCs w:val="18"/>
        </w:rPr>
        <w:t xml:space="preserve">§4.2.f  </w:t>
      </w:r>
      <w:r>
        <w:rPr>
          <w:rFonts w:ascii="Garamond" w:cs="Garamond" w:eastAsia="Garamond" w:hAnsi="Garamond"/>
          <w:b/>
          <w:bCs/>
          <w:i w:val="false"/>
          <w:iCs w:val="false"/>
          <w:color w:val="1B2A4A"/>
          <w:sz w:val="22"/>
          <w:szCs w:val="22"/>
        </w:rPr>
        <w:t xml:space="preserve">Emergency Panel for Tier 1 Scope Challenges</w:t>
      </w:r>
    </w:p>
    <w:p>
      <w:pPr>
        <w:spacing w:after="120" w:before="0"/>
        <w:ind w:left="431"/>
        <w:jc w:val="both"/>
      </w:pPr>
      <w:r>
        <w:rPr>
          <w:rFonts w:ascii="Garamond" w:cs="Garamond" w:eastAsia="Garamond" w:hAnsi="Garamond"/>
          <w:b w:val="false"/>
          <w:bCs w:val="false"/>
          <w:i w:val="false"/>
          <w:iCs w:val="false"/>
          <w:color w:val="2a2520"/>
          <w:sz w:val="22"/>
          <w:szCs w:val="22"/>
        </w:rPr>
        <w:t xml:space="preserve">Four justices are drawn by rotation each 2-year cycle. Sole jurisdiction over constitutional challenges to Tier 1 presidential military authority during active operations. Must rule within 48 hours. Binding on the full Court unless overruled within 72 hours. Ensures SC oversight during active crisis without paralysis.</w:t>
      </w:r>
    </w:p>
    <w:p>
      <w:pPr>
        <w:spacing w:after="60" w:before="200"/>
        <w:ind w:left="431"/>
        <w:jc w:val="left"/>
      </w:pPr>
      <w:r>
        <w:rPr>
          <w:rFonts w:ascii="Courier New" w:cs="Courier New" w:eastAsia="Courier New" w:hAnsi="Courier New"/>
          <w:b/>
          <w:bCs/>
          <w:color w:val="1B2A4A"/>
          <w:sz w:val="18"/>
          <w:szCs w:val="18"/>
        </w:rPr>
        <w:t xml:space="preserve">§4.2.g  </w:t>
      </w:r>
      <w:r>
        <w:rPr>
          <w:rFonts w:ascii="Garamond" w:cs="Garamond" w:eastAsia="Garamond" w:hAnsi="Garamond"/>
          <w:b/>
          <w:bCs/>
          <w:i w:val="false"/>
          <w:iCs w:val="false"/>
          <w:color w:val="1B2A4A"/>
          <w:sz w:val="22"/>
          <w:szCs w:val="22"/>
        </w:rPr>
        <w:t xml:space="preserve">Vacancy Operating Rules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most senior Appellate Court judge by continuous service is automatically designated as Temporary Associate Justice within 5 days of any SC vacancy, without nomination or confirmation. The Temporary Associate Justice holds a full vote in all cases and may not stand as a candidate for the seat they are temporarily filling. For purposes of this provision, "continuous service" means uninterrupted judicial commission without a break exceeding 90 days, calculated from the most recent judicial commission date; service across multiple courts without a gap exceeding 90 days counts as continuous service from the date of first commission.</w:t>
      </w:r>
    </w:p>
    <w:p>
      <w:pPr>
        <w:spacing w:after="60" w:before="200"/>
        <w:ind w:left="431"/>
        <w:jc w:val="left"/>
      </w:pPr>
      <w:r>
        <w:rPr>
          <w:rFonts w:ascii="Courier New" w:cs="Courier New" w:eastAsia="Courier New" w:hAnsi="Courier New"/>
          <w:b/>
          <w:bCs/>
          <w:color w:val="1B2A4A"/>
          <w:sz w:val="18"/>
          <w:szCs w:val="18"/>
        </w:rPr>
        <w:t xml:space="preserve">§4.2.h  </w:t>
      </w:r>
      <w:r>
        <w:rPr>
          <w:rFonts w:ascii="Garamond" w:cs="Garamond" w:eastAsia="Garamond" w:hAnsi="Garamond"/>
          <w:b/>
          <w:bCs/>
          <w:i w:val="false"/>
          <w:iCs w:val="false"/>
          <w:color w:val="1B2A4A"/>
          <w:sz w:val="22"/>
          <w:szCs w:val="22"/>
        </w:rPr>
        <w:t xml:space="preserve">Initial Class Assignment</w:t>
      </w:r>
    </w:p>
    <w:p>
      <w:pPr>
        <w:spacing w:after="120" w:before="0"/>
        <w:ind w:left="431"/>
        <w:jc w:val="both"/>
      </w:pPr>
      <w:r>
        <w:rPr>
          <w:rFonts w:ascii="Garamond" w:cs="Garamond" w:eastAsia="Garamond" w:hAnsi="Garamond"/>
          <w:b w:val="false"/>
          <w:bCs w:val="false"/>
          <w:i w:val="false"/>
          <w:iCs w:val="false"/>
          <w:color w:val="2a2520"/>
          <w:sz w:val="22"/>
          <w:szCs w:val="22"/>
        </w:rPr>
        <w:t xml:space="preserve">At Phase 3, all nine seats are filled simultaneously, then assigned to three classes by public lot drawn by the JI. Class A: 4-year initial term. Class B: 8-year initial term. Class C: 12-year initial term. All subsequent terms: 12 years. The lot assignment is published to the NRS before any justice takes the oath. Three seats elected every 4 years thereafter.</w:t>
      </w:r>
    </w:p>
    <w:p>
      <w:pPr>
        <w:spacing w:after="60" w:before="200"/>
        <w:ind w:left="431"/>
        <w:jc w:val="left"/>
      </w:pPr>
      <w:r>
        <w:rPr>
          <w:rFonts w:ascii="Courier New" w:cs="Courier New" w:eastAsia="Courier New" w:hAnsi="Courier New"/>
          <w:b/>
          <w:bCs/>
          <w:color w:val="1B2A4A"/>
          <w:sz w:val="18"/>
          <w:szCs w:val="18"/>
        </w:rPr>
        <w:t xml:space="preserve">§4.2.i  </w:t>
      </w:r>
      <w:r>
        <w:rPr>
          <w:rFonts w:ascii="Garamond" w:cs="Garamond" w:eastAsia="Garamond" w:hAnsi="Garamond"/>
          <w:b/>
          <w:bCs/>
          <w:i w:val="false"/>
          <w:iCs w:val="false"/>
          <w:color w:val="1B2A4A"/>
          <w:sz w:val="22"/>
          <w:szCs w:val="22"/>
        </w:rPr>
        <w:t xml:space="preserve">Judicial Recusal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by statute establish a recusal framework for Supreme Court justices within two years of Phase 4 activation. The framework must require recusal where a justice received material campaign support from any party to a pending case, or holds a financial interest in the outcome. A justice who fails to recuse under mandatory circumstances may be reported to the JI, which publishes its finding to the NRS. In the absence of a statutory framework two years after Phase 4 activation, a justice must recuse from any proceeding where their impartiality could reasonably be questioned by an informed observer with knowledge of the relevant facts. This default is self-executing; any party may petition for recusal and the determination is made by the remaining justices.</w:t>
      </w:r>
    </w:p>
    <w:p>
      <w:pPr>
        <w:spacing w:after="60" w:before="200"/>
        <w:ind w:left="431"/>
        <w:jc w:val="left"/>
      </w:pPr>
      <w:r>
        <w:rPr>
          <w:rFonts w:ascii="Courier New" w:cs="Courier New" w:eastAsia="Courier New" w:hAnsi="Courier New"/>
          <w:b/>
          <w:bCs/>
          <w:color w:val="1B2A4A"/>
          <w:sz w:val="18"/>
          <w:szCs w:val="18"/>
        </w:rPr>
        <w:t xml:space="preserve">§4.3  </w:t>
      </w:r>
      <w:r>
        <w:rPr>
          <w:rFonts w:ascii="Garamond" w:cs="Garamond" w:eastAsia="Garamond" w:hAnsi="Garamond"/>
          <w:b/>
          <w:bCs/>
          <w:i w:val="false"/>
          <w:iCs w:val="false"/>
          <w:color w:val="1B2A4A"/>
          <w:sz w:val="22"/>
          <w:szCs w:val="22"/>
        </w:rPr>
        <w:t xml:space="preserve">Judicial Independence and Scope</w:t>
      </w:r>
    </w:p>
    <w:p>
      <w:pPr>
        <w:spacing w:after="120" w:before="0"/>
        <w:ind w:left="431"/>
        <w:jc w:val="both"/>
      </w:pPr>
      <w:r>
        <w:rPr>
          <w:rFonts w:ascii="Garamond" w:cs="Garamond" w:eastAsia="Garamond" w:hAnsi="Garamond"/>
          <w:b w:val="false"/>
          <w:bCs w:val="false"/>
          <w:i w:val="false"/>
          <w:iCs w:val="false"/>
          <w:color w:val="2a2520"/>
          <w:sz w:val="22"/>
          <w:szCs w:val="22"/>
        </w:rPr>
        <w:t xml:space="preserve">Courts act only on cases brought by a party with a concrete, articulable injury. Judges may not issue advisory opinions or preemptive rulings. All decisions altering legal status require full merits briefings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200"/>
        <w:ind w:left="431"/>
        <w:jc w:val="left"/>
      </w:pPr>
      <w:r>
        <w:rPr>
          <w:rFonts w:ascii="Courier New" w:cs="Courier New" w:eastAsia="Courier New" w:hAnsi="Courier New"/>
          <w:b/>
          <w:bCs/>
          <w:color w:val="1B2A4A"/>
          <w:sz w:val="18"/>
          <w:szCs w:val="18"/>
        </w:rPr>
        <w:t xml:space="preserve">§4.3.a  </w:t>
      </w:r>
      <w:r>
        <w:rPr>
          <w:rFonts w:ascii="Garamond" w:cs="Garamond" w:eastAsia="Garamond" w:hAnsi="Garamond"/>
          <w:b/>
          <w:bCs/>
          <w:i w:val="false"/>
          <w:iCs w:val="false"/>
          <w:color w:val="1B2A4A"/>
          <w:sz w:val="22"/>
          <w:szCs w:val="22"/>
        </w:rPr>
        <w:t xml:space="preserve">Judicial Review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SC (and inferior courts within their jurisdictions) has authority to declare legislative acts, executive orders, and administrative decisions unconstitutional and void. No political actor may override a constitutional ruling. The SC identifies the constitutional defect; the Legislature may respond by enacting new legislation that addresses it.</w:t>
      </w:r>
    </w:p>
    <w:p>
      <w:pPr>
        <w:spacing w:after="60" w:before="200"/>
        <w:ind w:left="431"/>
        <w:jc w:val="left"/>
      </w:pPr>
      <w:r>
        <w:rPr>
          <w:rFonts w:ascii="Courier New" w:cs="Courier New" w:eastAsia="Courier New" w:hAnsi="Courier New"/>
          <w:b/>
          <w:bCs/>
          <w:color w:val="1B2A4A"/>
          <w:sz w:val="18"/>
          <w:szCs w:val="18"/>
        </w:rPr>
        <w:t xml:space="preserve">§4.3.b  </w:t>
      </w:r>
      <w:r>
        <w:rPr>
          <w:rFonts w:ascii="Garamond" w:cs="Garamond" w:eastAsia="Garamond" w:hAnsi="Garamond"/>
          <w:b/>
          <w:bCs/>
          <w:i w:val="false"/>
          <w:iCs w:val="false"/>
          <w:color w:val="1B2A4A"/>
          <w:sz w:val="22"/>
          <w:szCs w:val="22"/>
        </w:rPr>
        <w:t xml:space="preserve">Judicial Scope</w:t>
      </w:r>
    </w:p>
    <w:p>
      <w:pPr>
        <w:spacing w:after="120" w:before="0"/>
        <w:ind w:left="431"/>
        <w:jc w:val="both"/>
      </w:pPr>
      <w:r>
        <w:rPr>
          <w:rFonts w:ascii="Garamond" w:cs="Garamond" w:eastAsia="Garamond" w:hAnsi="Garamond"/>
          <w:b w:val="false"/>
          <w:bCs w:val="false"/>
          <w:i w:val="false"/>
          <w:iCs w:val="false"/>
          <w:color w:val="2a2520"/>
          <w:sz w:val="22"/>
          <w:szCs w:val="22"/>
        </w:rPr>
        <w:t xml:space="preserve">Courts decide constitutional questions, not policy questions. The SC may not substitute its judgment for the Legislature's on policy matters — it may only determine whether the Legislature acted within its constitutional authority. A statute that is constitutionally permissible but poor policy is not the court's concern.</w:t>
      </w:r>
    </w:p>
    <w:p>
      <w:pPr>
        <w:spacing w:after="60" w:before="200"/>
        <w:ind w:left="431"/>
        <w:jc w:val="left"/>
      </w:pPr>
      <w:r>
        <w:rPr>
          <w:rFonts w:ascii="Courier New" w:cs="Courier New" w:eastAsia="Courier New" w:hAnsi="Courier New"/>
          <w:b/>
          <w:bCs/>
          <w:color w:val="1B2A4A"/>
          <w:sz w:val="18"/>
          <w:szCs w:val="18"/>
        </w:rPr>
        <w:t xml:space="preserve">§4.3.c  </w:t>
      </w:r>
      <w:r>
        <w:rPr>
          <w:rFonts w:ascii="Garamond" w:cs="Garamond" w:eastAsia="Garamond" w:hAnsi="Garamond"/>
          <w:b/>
          <w:bCs/>
          <w:i w:val="false"/>
          <w:iCs w:val="false"/>
          <w:color w:val="1B2A4A"/>
          <w:sz w:val="22"/>
          <w:szCs w:val="22"/>
        </w:rPr>
        <w:t xml:space="preserve">Statutory Interpretation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Courts apply statutes to specific cases and resolve ambiguities. Where a statute is ambiguous, courts apply the interpretation most consistent with the constitution. Courts may not rewrite clear statutory language to produce a preferred outcome — they interpret, they do not legislate.</w:t>
      </w:r>
    </w:p>
    <w:p>
      <w:pPr>
        <w:spacing w:after="60" w:before="200"/>
        <w:ind w:left="431"/>
        <w:jc w:val="left"/>
      </w:pPr>
      <w:r>
        <w:rPr>
          <w:rFonts w:ascii="Courier New" w:cs="Courier New" w:eastAsia="Courier New" w:hAnsi="Courier New"/>
          <w:b/>
          <w:bCs/>
          <w:color w:val="1B2A4A"/>
          <w:sz w:val="18"/>
          <w:szCs w:val="18"/>
        </w:rPr>
        <w:t xml:space="preserve">§4.3.d  </w:t>
      </w:r>
      <w:r>
        <w:rPr>
          <w:rFonts w:ascii="Garamond" w:cs="Garamond" w:eastAsia="Garamond" w:hAnsi="Garamond"/>
          <w:b/>
          <w:bCs/>
          <w:i w:val="false"/>
          <w:iCs w:val="false"/>
          <w:color w:val="1B2A4A"/>
          <w:sz w:val="22"/>
          <w:szCs w:val="22"/>
        </w:rPr>
        <w:t xml:space="preserve">Original Jurisdiction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SC has original (first-instance) jurisdiction over constitutional disputes between States, between a State and the federal government, and over challenges to the constitutional validity of a federal statute brought within 90 days of enactment. Certain cases bypass all lower courts and go directly to the SC — cases where a lower court ruling would create a patchwork of inconsistent constitutional interpretations.</w:t>
      </w:r>
    </w:p>
    <w:p>
      <w:pPr>
        <w:spacing w:after="60" w:before="200"/>
        <w:ind w:left="431"/>
        <w:jc w:val="left"/>
      </w:pPr>
      <w:r>
        <w:rPr>
          <w:rFonts w:ascii="Courier New" w:cs="Courier New" w:eastAsia="Courier New" w:hAnsi="Courier New"/>
          <w:b/>
          <w:bCs/>
          <w:color w:val="1B2A4A"/>
          <w:sz w:val="18"/>
          <w:szCs w:val="18"/>
        </w:rPr>
        <w:t xml:space="preserve">§4.3.e  </w:t>
      </w:r>
      <w:r>
        <w:rPr>
          <w:rFonts w:ascii="Garamond" w:cs="Garamond" w:eastAsia="Garamond" w:hAnsi="Garamond"/>
          <w:b/>
          <w:bCs/>
          <w:i w:val="false"/>
          <w:iCs w:val="false"/>
          <w:color w:val="1B2A4A"/>
          <w:sz w:val="22"/>
          <w:szCs w:val="22"/>
        </w:rPr>
        <w:t xml:space="preserve">Inspectorate Findings in Constitutional Proceedings</w:t>
      </w:r>
    </w:p>
    <w:p>
      <w:pPr>
        <w:spacing w:after="120" w:before="0"/>
        <w:ind w:left="431"/>
        <w:jc w:val="both"/>
      </w:pPr>
      <w:r>
        <w:rPr>
          <w:rFonts w:ascii="Garamond" w:cs="Garamond" w:eastAsia="Garamond" w:hAnsi="Garamond"/>
          <w:b w:val="false"/>
          <w:bCs w:val="false"/>
          <w:i w:val="false"/>
          <w:iCs w:val="false"/>
          <w:color w:val="2a2520"/>
          <w:sz w:val="22"/>
          <w:szCs w:val="22"/>
        </w:rPr>
        <w:t xml:space="preserve">NRS findings published by the LI, EI, or JI are admissible as authoritative factual evidence in judicial proceedings. Courts must address any inconsistency between their factual findings and a prior Inspectorate finding in written decisions. Inspectorate findings are not judicial determinations — courts retain full authority to reach different factual conclusions — but must explain why.</w:t>
      </w:r>
    </w:p>
    <w:p>
      <w:pPr>
        <w:spacing w:after="60" w:before="200"/>
        <w:ind w:left="431"/>
        <w:jc w:val="left"/>
      </w:pPr>
      <w:r>
        <w:rPr>
          <w:rFonts w:ascii="Courier New" w:cs="Courier New" w:eastAsia="Courier New" w:hAnsi="Courier New"/>
          <w:b/>
          <w:bCs/>
          <w:color w:val="1B2A4A"/>
          <w:sz w:val="18"/>
          <w:szCs w:val="18"/>
        </w:rPr>
        <w:t xml:space="preserve">§4.3.f  </w:t>
      </w:r>
      <w:r>
        <w:rPr>
          <w:rFonts w:ascii="Garamond" w:cs="Garamond" w:eastAsia="Garamond" w:hAnsi="Garamond"/>
          <w:b/>
          <w:bCs/>
          <w:i w:val="false"/>
          <w:iCs w:val="false"/>
          <w:color w:val="1B2A4A"/>
          <w:sz w:val="22"/>
          <w:szCs w:val="22"/>
        </w:rPr>
        <w:t xml:space="preserve">Organizational Standing</w:t>
      </w:r>
    </w:p>
    <w:p>
      <w:pPr>
        <w:spacing w:after="120" w:before="0"/>
        <w:ind w:left="431"/>
        <w:jc w:val="both"/>
      </w:pPr>
      <w:r>
        <w:rPr>
          <w:rFonts w:ascii="Garamond" w:cs="Garamond" w:eastAsia="Garamond" w:hAnsi="Garamond"/>
          <w:b w:val="false"/>
          <w:bCs w:val="false"/>
          <w:i w:val="false"/>
          <w:iCs w:val="false"/>
          <w:color w:val="2a2520"/>
          <w:sz w:val="22"/>
          <w:szCs w:val="22"/>
        </w:rPr>
        <w:t xml:space="preserve">An organization may bring a constitutional claim on behalf of its members where: (a) at least one member would individually have standing; (b) the claim is germane to the organization's established constitutional purpose; and (c) neither the claim nor the relief sought requires the participation of individual members as named parties. The organization must identify at least one member with specific, articulable injury and publish that identification to the NRS concurrent with filing.</w:t>
      </w:r>
    </w:p>
    <w:p>
      <w:pPr>
        <w:spacing w:after="60" w:before="200"/>
        <w:ind w:left="431"/>
        <w:jc w:val="left"/>
      </w:pPr>
      <w:r>
        <w:rPr>
          <w:rFonts w:ascii="Courier New" w:cs="Courier New" w:eastAsia="Courier New" w:hAnsi="Courier New"/>
          <w:b/>
          <w:bCs/>
          <w:color w:val="1B2A4A"/>
          <w:sz w:val="18"/>
          <w:szCs w:val="18"/>
        </w:rPr>
        <w:t xml:space="preserve">§4.4  </w:t>
      </w:r>
      <w:r>
        <w:rPr>
          <w:rFonts w:ascii="Garamond" w:cs="Garamond" w:eastAsia="Garamond" w:hAnsi="Garamond"/>
          <w:b/>
          <w:bCs/>
          <w:i w:val="false"/>
          <w:iCs w:val="false"/>
          <w:color w:val="1B2A4A"/>
          <w:sz w:val="22"/>
          <w:szCs w:val="22"/>
        </w:rPr>
        <w:t xml:space="preserve">Judgment Recognition and Authentication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Judicial judgments, official records, and authenticated documents are recognized across all jurisdictions within the Republic. The NRS is the authentication infrastructure for this cross-jurisdictional recognition.</w:t>
      </w:r>
    </w:p>
    <w:p>
      <w:pPr>
        <w:spacing w:after="60" w:before="200"/>
        <w:ind w:left="431"/>
        <w:jc w:val="left"/>
      </w:pPr>
      <w:r>
        <w:rPr>
          <w:rFonts w:ascii="Courier New" w:cs="Courier New" w:eastAsia="Courier New" w:hAnsi="Courier New"/>
          <w:b/>
          <w:bCs/>
          <w:color w:val="1B2A4A"/>
          <w:sz w:val="18"/>
          <w:szCs w:val="18"/>
        </w:rPr>
        <w:t xml:space="preserve">§4.4.a  </w:t>
      </w:r>
      <w:r>
        <w:rPr>
          <w:rFonts w:ascii="Garamond" w:cs="Garamond" w:eastAsia="Garamond" w:hAnsi="Garamond"/>
          <w:b/>
          <w:bCs/>
          <w:i w:val="false"/>
          <w:iCs w:val="false"/>
          <w:color w:val="1B2A4A"/>
          <w:sz w:val="22"/>
          <w:szCs w:val="22"/>
        </w:rPr>
        <w:t xml:space="preserve">Judicial Judgments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Non-recognition grounds are exhaustive: the issuing court lacked jurisdiction; the judgment was obtained by fraud; or enforcement would require an act the Legislature has defined as categorically unenforceable. These three grounds are the only bases on which a Republic court may decline to recognize a judgment valid in another jurisdiction. Any judgment contrary to Article I is void by operation of §15.6 and requires no separate non-recognition finding.</w:t>
      </w:r>
    </w:p>
    <w:p>
      <w:pPr>
        <w:spacing w:after="60" w:before="200"/>
        <w:ind w:left="431"/>
        <w:jc w:val="left"/>
      </w:pPr>
      <w:r>
        <w:rPr>
          <w:rFonts w:ascii="Courier New" w:cs="Courier New" w:eastAsia="Courier New" w:hAnsi="Courier New"/>
          <w:b/>
          <w:bCs/>
          <w:color w:val="1B2A4A"/>
          <w:sz w:val="18"/>
          <w:szCs w:val="18"/>
        </w:rPr>
        <w:t xml:space="preserve">§4.4.b  </w:t>
      </w:r>
      <w:r>
        <w:rPr>
          <w:rFonts w:ascii="Garamond" w:cs="Garamond" w:eastAsia="Garamond" w:hAnsi="Garamond"/>
          <w:b/>
          <w:bCs/>
          <w:i w:val="false"/>
          <w:iCs w:val="false"/>
          <w:color w:val="1B2A4A"/>
          <w:sz w:val="22"/>
          <w:szCs w:val="22"/>
        </w:rPr>
        <w:t xml:space="preserve">NRS Authentication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judgment, order, or status record published to the NRS is self-authenticating in any other State or Territory court. No re-certification, notarization, or further authentication required. Eliminates the multi-state authentication burden that historically delayed enforcement of out-of-state judgments.</w:t>
      </w:r>
    </w:p>
    <w:p>
      <w:pPr>
        <w:spacing w:after="60" w:before="200"/>
        <w:ind w:left="431"/>
        <w:jc w:val="left"/>
      </w:pPr>
      <w:r>
        <w:rPr>
          <w:rFonts w:ascii="Courier New" w:cs="Courier New" w:eastAsia="Courier New" w:hAnsi="Courier New"/>
          <w:b/>
          <w:bCs/>
          <w:color w:val="1B2A4A"/>
          <w:sz w:val="18"/>
          <w:szCs w:val="18"/>
        </w:rPr>
        <w:t xml:space="preserve">§4.4.c  </w:t>
      </w:r>
      <w:r>
        <w:rPr>
          <w:rFonts w:ascii="Garamond" w:cs="Garamond" w:eastAsia="Garamond" w:hAnsi="Garamond"/>
          <w:b/>
          <w:bCs/>
          <w:i w:val="false"/>
          <w:iCs w:val="false"/>
          <w:color w:val="1B2A4A"/>
          <w:sz w:val="22"/>
          <w:szCs w:val="22"/>
        </w:rPr>
        <w:t xml:space="preserve">Public Acts and Official Records</w:t>
      </w:r>
    </w:p>
    <w:p>
      <w:pPr>
        <w:spacing w:after="120" w:before="0"/>
        <w:ind w:left="431"/>
        <w:jc w:val="both"/>
      </w:pPr>
      <w:r>
        <w:rPr>
          <w:rFonts w:ascii="Garamond" w:cs="Garamond" w:eastAsia="Garamond" w:hAnsi="Garamond"/>
          <w:b w:val="false"/>
          <w:bCs w:val="false"/>
          <w:i w:val="false"/>
          <w:iCs w:val="false"/>
          <w:color w:val="2a2520"/>
          <w:sz w:val="22"/>
          <w:szCs w:val="22"/>
        </w:rPr>
        <w:t xml:space="preserve">Official records published to the NRS are self-authenticating — no re-certification is required for use in any legal or administrative proceeding. Professional licenses issued by any State or Territory receive recognition across all States and Territories. §1.13 governs any State departure from the recognition default.</w:t>
      </w:r>
    </w:p>
    <w:p>
      <w:pPr>
        <w:spacing w:after="60" w:before="200"/>
        <w:ind w:left="431"/>
        <w:jc w:val="left"/>
      </w:pPr>
      <w:r>
        <w:rPr>
          <w:rFonts w:ascii="Courier New" w:cs="Courier New" w:eastAsia="Courier New" w:hAnsi="Courier New"/>
          <w:b/>
          <w:bCs/>
          <w:color w:val="1B2A4A"/>
          <w:sz w:val="18"/>
          <w:szCs w:val="18"/>
        </w:rPr>
        <w:t xml:space="preserve">§4.4.d  </w:t>
      </w:r>
      <w:r>
        <w:rPr>
          <w:rFonts w:ascii="Garamond" w:cs="Garamond" w:eastAsia="Garamond" w:hAnsi="Garamond"/>
          <w:b/>
          <w:bCs/>
          <w:i w:val="false"/>
          <w:iCs w:val="false"/>
          <w:color w:val="1B2A4A"/>
          <w:sz w:val="22"/>
          <w:szCs w:val="22"/>
        </w:rPr>
        <w:t xml:space="preserve">Status Orders — Special Protections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Protective orders, custody determinations, and other status orders take immediate effect in every State and Territory upon publication to the NRS. No waiting period, no local re-registration.</w:t>
      </w:r>
    </w:p>
    <w:p>
      <w:pPr>
        <w:spacing w:after="60" w:before="200"/>
        <w:ind w:left="431"/>
        <w:jc w:val="left"/>
      </w:pPr>
      <w:r>
        <w:rPr>
          <w:rFonts w:ascii="Courier New" w:cs="Courier New" w:eastAsia="Courier New" w:hAnsi="Courier New"/>
          <w:b/>
          <w:bCs/>
          <w:color w:val="1B2A4A"/>
          <w:sz w:val="18"/>
          <w:szCs w:val="18"/>
        </w:rPr>
        <w:t xml:space="preserve">§4.4.e  </w:t>
      </w:r>
      <w:r>
        <w:rPr>
          <w:rFonts w:ascii="Garamond" w:cs="Garamond" w:eastAsia="Garamond" w:hAnsi="Garamond"/>
          <w:b/>
          <w:bCs/>
          <w:i w:val="false"/>
          <w:iCs w:val="false"/>
          <w:color w:val="1B2A4A"/>
          <w:sz w:val="22"/>
          <w:szCs w:val="22"/>
        </w:rPr>
        <w:t xml:space="preserve">Non-Discrimination in Recognition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or Territory may not discriminate in its recognition of another jurisdiction's judgments or records based on the nature of the parties, the subject matter, or the legal status recognized by the issuing jurisdiction. Recognition is mandatory; non-recognition grounds are exhaustive under §4.4.a.</w:t>
      </w:r>
    </w:p>
    <w:p>
      <w:pPr>
        <w:spacing w:after="60" w:before="200"/>
        <w:ind w:left="431"/>
        <w:jc w:val="left"/>
      </w:pPr>
      <w:r>
        <w:rPr>
          <w:rFonts w:ascii="Courier New" w:cs="Courier New" w:eastAsia="Courier New" w:hAnsi="Courier New"/>
          <w:b/>
          <w:bCs/>
          <w:color w:val="1B2A4A"/>
          <w:sz w:val="18"/>
          <w:szCs w:val="18"/>
        </w:rPr>
        <w:t xml:space="preserve">§4.4.f  </w:t>
      </w:r>
      <w:r>
        <w:rPr>
          <w:rFonts w:ascii="Garamond" w:cs="Garamond" w:eastAsia="Garamond" w:hAnsi="Garamond"/>
          <w:b/>
          <w:bCs/>
          <w:i w:val="false"/>
          <w:iCs w:val="false"/>
          <w:color w:val="1B2A4A"/>
          <w:sz w:val="22"/>
          <w:szCs w:val="22"/>
        </w:rPr>
        <w:t xml:space="preserve">Legislative Implementation Mandates</w:t>
      </w:r>
    </w:p>
    <w:p>
      <w:pPr>
        <w:spacing w:after="120" w:before="0"/>
        <w:ind w:left="431"/>
        <w:jc w:val="both"/>
      </w:pPr>
      <w:r>
        <w:rPr>
          <w:rFonts w:ascii="Garamond" w:cs="Garamond" w:eastAsia="Garamond" w:hAnsi="Garamond"/>
          <w:b w:val="false"/>
          <w:bCs w:val="false"/>
          <w:i w:val="false"/>
          <w:iCs w:val="false"/>
          <w:color w:val="2a2520"/>
          <w:sz w:val="22"/>
          <w:szCs w:val="22"/>
        </w:rPr>
        <w:t xml:space="preserve">A judgment is final for §4.4.a purposes if it is not subject to an automatic stay under the issuing jurisdiction's procedural law, regardless of whether an appeal is pending. The Legislature may refine the finality standard for specific categories but may not use pending-appeal status alone to block enforcement. The procedural framework mandate — filing forms, fee schedule, and enforcement timeline — is established by statute.</w:t>
      </w:r>
    </w:p>
    <w:p>
      <w:pPr>
        <w:spacing w:after="60" w:before="200"/>
        <w:ind w:left="431"/>
        <w:jc w:val="left"/>
      </w:pPr>
      <w:r>
        <w:rPr>
          <w:rFonts w:ascii="Courier New" w:cs="Courier New" w:eastAsia="Courier New" w:hAnsi="Courier New"/>
          <w:b/>
          <w:bCs/>
          <w:color w:val="1B2A4A"/>
          <w:sz w:val="18"/>
          <w:szCs w:val="18"/>
        </w:rPr>
        <w:t xml:space="preserve">§4.5  </w:t>
      </w:r>
      <w:r>
        <w:rPr>
          <w:rFonts w:ascii="Garamond" w:cs="Garamond" w:eastAsia="Garamond" w:hAnsi="Garamond"/>
          <w:b/>
          <w:bCs/>
          <w:i w:val="false"/>
          <w:iCs w:val="false"/>
          <w:color w:val="1B2A4A"/>
          <w:sz w:val="22"/>
          <w:szCs w:val="22"/>
        </w:rPr>
        <w:t xml:space="preserve">Jury Service</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are required to serve on juries when called. Jury service is compensated at the national median daily income rate, as the Legislature defines by statute. Unexcused refusal is subject to civil consequences the Legislature defines by statute. Jury service does not constitute forced labor under §1.4.</w:t>
      </w:r>
    </w:p>
    <w:p>
      <w:pPr>
        <w:spacing w:after="60" w:before="200"/>
        <w:jc w:val="left"/>
      </w:pPr>
      <w:r>
        <w:rPr>
          <w:rFonts w:ascii="Garamond" w:cs="Garamond" w:eastAsia="Garamond" w:hAnsi="Garamond"/>
          <w:b/>
          <w:bCs/>
          <w:i w:val="false"/>
          <w:iCs w:val="false"/>
          <w:color w:val="1B2A4A"/>
          <w:sz w:val="34"/>
          <w:szCs w:val="34"/>
        </w:rPr>
        <w:t xml:space="preserve">Article V — Citizenship and National Identity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§5.1  </w:t>
      </w:r>
      <w:r>
        <w:rPr>
          <w:rFonts w:ascii="Garamond" w:cs="Garamond" w:eastAsia="Garamond" w:hAnsi="Garamond"/>
          <w:b/>
          <w:bCs/>
          <w:i w:val="false"/>
          <w:iCs w:val="false"/>
          <w:color w:val="1B2A4A"/>
          <w:sz w:val="22"/>
          <w:szCs w:val="22"/>
        </w:rPr>
        <w:t xml:space="preserve">Citizenship</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Citizenship is acquired by birth, by parentage, or by naturalization under the conditions of this section. Citizens hold the full rights established in Article I and are eligible to vote, hold office, and stand for election.</w:t>
      </w:r>
    </w:p>
    <w:p>
      <w:pPr>
        <w:spacing w:after="60" w:before="200"/>
        <w:ind w:left="431"/>
        <w:jc w:val="left"/>
      </w:pPr>
      <w:r>
        <w:rPr>
          <w:rFonts w:ascii="Courier New" w:cs="Courier New" w:eastAsia="Courier New" w:hAnsi="Courier New"/>
          <w:b/>
          <w:bCs/>
          <w:color w:val="1B2A4A"/>
          <w:sz w:val="18"/>
          <w:szCs w:val="18"/>
        </w:rPr>
        <w:t xml:space="preserve">§5.1.a  </w:t>
      </w:r>
      <w:r>
        <w:rPr>
          <w:rFonts w:ascii="Garamond" w:cs="Garamond" w:eastAsia="Garamond" w:hAnsi="Garamond"/>
          <w:b/>
          <w:bCs/>
          <w:i w:val="false"/>
          <w:iCs w:val="false"/>
          <w:color w:val="1B2A4A"/>
          <w:sz w:val="22"/>
          <w:szCs w:val="22"/>
        </w:rPr>
        <w:t xml:space="preserve">Inherent Citizenship</w:t>
      </w:r>
    </w:p>
    <w:p>
      <w:pPr>
        <w:spacing w:after="120" w:before="0"/>
        <w:ind w:left="431"/>
        <w:jc w:val="both"/>
      </w:pPr>
      <w:r>
        <w:rPr>
          <w:rFonts w:ascii="Garamond" w:cs="Garamond" w:eastAsia="Garamond" w:hAnsi="Garamond"/>
          <w:b w:val="false"/>
          <w:bCs w:val="false"/>
          <w:i w:val="false"/>
          <w:iCs w:val="false"/>
          <w:color w:val="2a2520"/>
          <w:sz w:val="22"/>
          <w:szCs w:val="22"/>
        </w:rPr>
        <w:t xml:space="preserve">A child is automatically a citizen at birth if at least one parent is a Citizen or Legal Resident at the time of birth. Statelessness prevention clause: where a child would otherwise be stateless, citizenship is granted regardless of parental status. No citizenship may be stripped from a natural-born citizen.</w:t>
      </w:r>
    </w:p>
    <w:p>
      <w:pPr>
        <w:spacing w:after="60" w:before="200"/>
        <w:ind w:left="431"/>
        <w:jc w:val="left"/>
      </w:pPr>
      <w:r>
        <w:rPr>
          <w:rFonts w:ascii="Courier New" w:cs="Courier New" w:eastAsia="Courier New" w:hAnsi="Courier New"/>
          <w:b/>
          <w:bCs/>
          <w:color w:val="1B2A4A"/>
          <w:sz w:val="18"/>
          <w:szCs w:val="18"/>
        </w:rPr>
        <w:t xml:space="preserve">§5.1.a.i  </w:t>
      </w:r>
      <w:r>
        <w:rPr>
          <w:rFonts w:ascii="Garamond" w:cs="Garamond" w:eastAsia="Garamond" w:hAnsi="Garamond"/>
          <w:b/>
          <w:bCs/>
          <w:i w:val="false"/>
          <w:iCs w:val="false"/>
          <w:color w:val="1B2A4A"/>
          <w:sz w:val="22"/>
          <w:szCs w:val="22"/>
        </w:rPr>
        <w:t xml:space="preserve">Statelessness Prevention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child born on Republic territory to parents holding neither Citizen nor Legal Resident status is an Inhabitant from birth, with full Article I protections and BNF access. Where no country recognizes the child as a citizen, the Republic provides a determination process consistent with §6.4's protection principles — protection first, determination second. A child determined to hold no other citizenship is eligible for Legal Residency from birth, with all Inhabitant years counting toward the §5.1.c residency requirement. Where a parent or guardian who is the primary caregiver of a child granted Inhabitant status under this provision is subject to removal, the removal order is stayed pending resolution of the child's custodial arrangements under §5.3. The Republic may not execute removal where doing so would deprive an Inhabitant child of their primary caregiver without first establishing an alternative care arrangement.</w:t>
      </w:r>
    </w:p>
    <w:p>
      <w:pPr>
        <w:spacing w:after="60" w:before="200"/>
        <w:ind w:left="431"/>
        <w:jc w:val="left"/>
      </w:pPr>
      <w:r>
        <w:rPr>
          <w:rFonts w:ascii="Courier New" w:cs="Courier New" w:eastAsia="Courier New" w:hAnsi="Courier New"/>
          <w:b/>
          <w:bCs/>
          <w:color w:val="1B2A4A"/>
          <w:sz w:val="18"/>
          <w:szCs w:val="18"/>
        </w:rPr>
        <w:t xml:space="preserve">§5.1.b  </w:t>
      </w:r>
      <w:r>
        <w:rPr>
          <w:rFonts w:ascii="Garamond" w:cs="Garamond" w:eastAsia="Garamond" w:hAnsi="Garamond"/>
          <w:b/>
          <w:bCs/>
          <w:i w:val="false"/>
          <w:iCs w:val="false"/>
          <w:color w:val="1B2A4A"/>
          <w:sz w:val="22"/>
          <w:szCs w:val="22"/>
        </w:rPr>
        <w:t xml:space="preserve">Coming of Age</w:t>
      </w:r>
    </w:p>
    <w:p>
      <w:pPr>
        <w:spacing w:after="120" w:before="0"/>
        <w:ind w:left="431"/>
        <w:jc w:val="both"/>
      </w:pPr>
      <w:r>
        <w:rPr>
          <w:rFonts w:ascii="Garamond" w:cs="Garamond" w:eastAsia="Garamond" w:hAnsi="Garamond"/>
          <w:b w:val="false"/>
          <w:bCs w:val="false"/>
          <w:i w:val="false"/>
          <w:iCs w:val="false"/>
          <w:color w:val="2a2520"/>
          <w:sz w:val="22"/>
          <w:szCs w:val="22"/>
        </w:rPr>
        <w:t xml:space="preserve">Children of citizens are Inhabitants at birth with full Article I protections. Full citizenship rights — including the right to vote — activate at 18. The distinction between Inhabitant and Citizen status for citizen children prevents citizenship from being used to exempt children from local law.</w:t>
      </w:r>
    </w:p>
    <w:p>
      <w:pPr>
        <w:spacing w:after="60" w:before="200"/>
        <w:ind w:left="431"/>
        <w:jc w:val="left"/>
      </w:pPr>
      <w:r>
        <w:rPr>
          <w:rFonts w:ascii="Courier New" w:cs="Courier New" w:eastAsia="Courier New" w:hAnsi="Courier New"/>
          <w:b/>
          <w:bCs/>
          <w:color w:val="1B2A4A"/>
          <w:sz w:val="18"/>
          <w:szCs w:val="18"/>
        </w:rPr>
        <w:t xml:space="preserve">§5.1.c  </w:t>
      </w:r>
      <w:r>
        <w:rPr>
          <w:rFonts w:ascii="Garamond" w:cs="Garamond" w:eastAsia="Garamond" w:hAnsi="Garamond"/>
          <w:b/>
          <w:bCs/>
          <w:i w:val="false"/>
          <w:iCs w:val="false"/>
          <w:color w:val="1B2A4A"/>
          <w:sz w:val="22"/>
          <w:szCs w:val="22"/>
        </w:rPr>
        <w:t xml:space="preserve">Naturalization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Legal Resident may earn citizenship after five continuous years of residency, a clean legal record, and passing the Constitutional Logic Test.</w:t>
      </w:r>
    </w:p>
    <w:p>
      <w:pPr>
        <w:spacing w:after="60" w:before="200"/>
        <w:ind w:left="431"/>
        <w:jc w:val="left"/>
      </w:pPr>
      <w:r>
        <w:rPr>
          <w:rFonts w:ascii="Courier New" w:cs="Courier New" w:eastAsia="Courier New" w:hAnsi="Courier New"/>
          <w:b/>
          <w:bCs/>
          <w:color w:val="1B2A4A"/>
          <w:sz w:val="18"/>
          <w:szCs w:val="18"/>
        </w:rPr>
        <w:t xml:space="preserve">§5.1.d  </w:t>
      </w:r>
      <w:r>
        <w:rPr>
          <w:rFonts w:ascii="Garamond" w:cs="Garamond" w:eastAsia="Garamond" w:hAnsi="Garamond"/>
          <w:b/>
          <w:bCs/>
          <w:i w:val="false"/>
          <w:iCs w:val="false"/>
          <w:color w:val="1B2A4A"/>
          <w:sz w:val="22"/>
          <w:szCs w:val="22"/>
        </w:rPr>
        <w:t xml:space="preserve">National Service Path</w:t>
      </w:r>
    </w:p>
    <w:p>
      <w:pPr>
        <w:spacing w:after="120" w:before="0"/>
        <w:ind w:left="431"/>
        <w:jc w:val="both"/>
      </w:pPr>
      <w:r>
        <w:rPr>
          <w:rFonts w:ascii="Garamond" w:cs="Garamond" w:eastAsia="Garamond" w:hAnsi="Garamond"/>
          <w:b w:val="false"/>
          <w:bCs w:val="false"/>
          <w:i w:val="false"/>
          <w:iCs w:val="false"/>
          <w:color w:val="2a2520"/>
          <w:sz w:val="22"/>
          <w:szCs w:val="22"/>
        </w:rPr>
        <w:t xml:space="preserve">A Legal Resident may earn citizenship through honorable completion of military or national service — a service path that runs parallel to the residency path. Years of service are a legitimate basis for constitutional membership.</w:t>
      </w:r>
    </w:p>
    <w:p>
      <w:pPr>
        <w:spacing w:after="60" w:before="200"/>
        <w:ind w:left="431"/>
        <w:jc w:val="left"/>
      </w:pPr>
      <w:r>
        <w:rPr>
          <w:rFonts w:ascii="Courier New" w:cs="Courier New" w:eastAsia="Courier New" w:hAnsi="Courier New"/>
          <w:b/>
          <w:bCs/>
          <w:color w:val="1B2A4A"/>
          <w:sz w:val="18"/>
          <w:szCs w:val="18"/>
        </w:rPr>
        <w:t xml:space="preserve">§5.1.e  </w:t>
      </w:r>
      <w:r>
        <w:rPr>
          <w:rFonts w:ascii="Garamond" w:cs="Garamond" w:eastAsia="Garamond" w:hAnsi="Garamond"/>
          <w:b/>
          <w:bCs/>
          <w:i w:val="false"/>
          <w:iCs w:val="false"/>
          <w:color w:val="1B2A4A"/>
          <w:sz w:val="22"/>
          <w:szCs w:val="22"/>
        </w:rPr>
        <w:t xml:space="preserve">Citizenship Irrevocability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Citizenship may not be revoked as punishment or for any reason once granted by birth or naturalization. The Republic may not manufacture statelessness as a punitive tool. See also §5.1.a.i, which ensures children born on Republic territory to undocumented parents cannot be left stateless by inaction.</w:t>
      </w:r>
    </w:p>
    <w:p>
      <w:pPr>
        <w:spacing w:after="60" w:before="200"/>
        <w:ind w:left="431"/>
        <w:jc w:val="left"/>
      </w:pPr>
      <w:r>
        <w:rPr>
          <w:rFonts w:ascii="Courier New" w:cs="Courier New" w:eastAsia="Courier New" w:hAnsi="Courier New"/>
          <w:b/>
          <w:bCs/>
          <w:color w:val="1B2A4A"/>
          <w:sz w:val="18"/>
          <w:szCs w:val="18"/>
        </w:rPr>
        <w:t xml:space="preserve">§5.1.f  </w:t>
      </w:r>
      <w:r>
        <w:rPr>
          <w:rFonts w:ascii="Garamond" w:cs="Garamond" w:eastAsia="Garamond" w:hAnsi="Garamond"/>
          <w:b/>
          <w:bCs/>
          <w:i w:val="false"/>
          <w:iCs w:val="false"/>
          <w:color w:val="1B2A4A"/>
          <w:sz w:val="22"/>
          <w:szCs w:val="22"/>
        </w:rPr>
        <w:t xml:space="preserve">Derivative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A child born before a parent acquired Legal Residency or Citizenship, who accompanies that parent to the Republic within a Legislature-defined window, receives derivative status. Prevents a parent's pre-Republic legal status from permanently cutting off their child's path to citizenship.</w:t>
      </w:r>
    </w:p>
    <w:p>
      <w:pPr>
        <w:spacing w:after="60" w:before="200"/>
        <w:ind w:left="431"/>
        <w:jc w:val="left"/>
      </w:pPr>
      <w:r>
        <w:rPr>
          <w:rFonts w:ascii="Courier New" w:cs="Courier New" w:eastAsia="Courier New" w:hAnsi="Courier New"/>
          <w:b/>
          <w:bCs/>
          <w:color w:val="1B2A4A"/>
          <w:sz w:val="18"/>
          <w:szCs w:val="18"/>
        </w:rPr>
        <w:t xml:space="preserve">§5.1.g  </w:t>
      </w:r>
      <w:r>
        <w:rPr>
          <w:rFonts w:ascii="Garamond" w:cs="Garamond" w:eastAsia="Garamond" w:hAnsi="Garamond"/>
          <w:b/>
          <w:bCs/>
          <w:i w:val="false"/>
          <w:iCs w:val="false"/>
          <w:color w:val="1B2A4A"/>
          <w:sz w:val="22"/>
          <w:szCs w:val="22"/>
        </w:rPr>
        <w:t xml:space="preserve">Accelerated Naturalization — Long-Term Pre-Ratification Residents</w:t>
      </w:r>
    </w:p>
    <w:p>
      <w:pPr>
        <w:spacing w:after="120" w:before="0"/>
        <w:ind w:left="431"/>
        <w:jc w:val="both"/>
      </w:pPr>
      <w:r>
        <w:rPr>
          <w:rFonts w:ascii="Garamond" w:cs="Garamond" w:eastAsia="Garamond" w:hAnsi="Garamond"/>
          <w:b w:val="false"/>
          <w:bCs w:val="false"/>
          <w:i w:val="false"/>
          <w:iCs w:val="false"/>
          <w:color w:val="2a2520"/>
          <w:sz w:val="22"/>
          <w:szCs w:val="22"/>
        </w:rPr>
        <w:t xml:space="preserve">Any person who resided continuously in the Republic's territory for five or more years immediately before Day Zero but did not hold predecessor voting rights — including persons disenfranchised by laws subsequently nullified under §19.2 — may apply for citizenship through an accelerated process the Legislature must establish within one year of Phase 4. The process must waive the CLT requirement and must be completed within 90 days of application.</w:t>
      </w:r>
    </w:p>
    <w:p>
      <w:pPr>
        <w:spacing w:after="60" w:before="200"/>
        <w:ind w:left="431"/>
        <w:jc w:val="left"/>
      </w:pPr>
      <w:r>
        <w:rPr>
          <w:rFonts w:ascii="Courier New" w:cs="Courier New" w:eastAsia="Courier New" w:hAnsi="Courier New"/>
          <w:b/>
          <w:bCs/>
          <w:color w:val="1B2A4A"/>
          <w:sz w:val="18"/>
          <w:szCs w:val="18"/>
        </w:rPr>
        <w:t xml:space="preserve">§5.2  </w:t>
      </w:r>
      <w:r>
        <w:rPr>
          <w:rFonts w:ascii="Garamond" w:cs="Garamond" w:eastAsia="Garamond" w:hAnsi="Garamond"/>
          <w:b/>
          <w:bCs/>
          <w:i w:val="false"/>
          <w:iCs w:val="false"/>
          <w:color w:val="1B2A4A"/>
          <w:sz w:val="22"/>
          <w:szCs w:val="22"/>
        </w:rPr>
        <w:t xml:space="preserve">Legal Resident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Legal Residents hold a Residency Credential allowing them to work, enter contracts, own property, access BNF programs, and participate in local elections where the Legislature authorizes. They hold all Article I rights as Inhabitants. What they lack that citizens hold: federal voting rights and the right to stand for federal office. No child of a Citizen or Legal Resident may be deported, regardless of the child's own documentation status.</w:t>
      </w:r>
    </w:p>
    <w:p>
      <w:pPr>
        <w:spacing w:after="60" w:before="200"/>
        <w:ind w:left="431"/>
        <w:jc w:val="left"/>
      </w:pPr>
      <w:r>
        <w:rPr>
          <w:rFonts w:ascii="Courier New" w:cs="Courier New" w:eastAsia="Courier New" w:hAnsi="Courier New"/>
          <w:b/>
          <w:bCs/>
          <w:color w:val="1B2A4A"/>
          <w:sz w:val="18"/>
          <w:szCs w:val="18"/>
        </w:rPr>
        <w:t xml:space="preserve">§5.3  </w:t>
      </w:r>
      <w:r>
        <w:rPr>
          <w:rFonts w:ascii="Garamond" w:cs="Garamond" w:eastAsia="Garamond" w:hAnsi="Garamond"/>
          <w:b/>
          <w:bCs/>
          <w:i w:val="false"/>
          <w:iCs w:val="false"/>
          <w:color w:val="1B2A4A"/>
          <w:sz w:val="22"/>
          <w:szCs w:val="22"/>
        </w:rPr>
        <w:t xml:space="preserve">Custodial Care of Citizen Children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parent or guardian who is the primary caregiver of a citizen child is removed from the Republic, the Republic accepts responsibility for that citizen child — housing, care, and connection to remaining family. The Republic does not separate citizen children from their sole caregivers without providing for them.</w:t>
      </w:r>
    </w:p>
    <w:p>
      <w:pPr>
        <w:spacing w:after="60" w:before="200"/>
        <w:ind w:left="431"/>
        <w:jc w:val="left"/>
      </w:pPr>
      <w:r>
        <w:rPr>
          <w:rFonts w:ascii="Courier New" w:cs="Courier New" w:eastAsia="Courier New" w:hAnsi="Courier New"/>
          <w:b/>
          <w:bCs/>
          <w:color w:val="1B2A4A"/>
          <w:sz w:val="18"/>
          <w:szCs w:val="18"/>
        </w:rPr>
        <w:t xml:space="preserve">§5.4  </w:t>
      </w:r>
      <w:r>
        <w:rPr>
          <w:rFonts w:ascii="Garamond" w:cs="Garamond" w:eastAsia="Garamond" w:hAnsi="Garamond"/>
          <w:b/>
          <w:bCs/>
          <w:i w:val="false"/>
          <w:iCs w:val="false"/>
          <w:color w:val="1B2A4A"/>
          <w:sz w:val="22"/>
          <w:szCs w:val="22"/>
        </w:rPr>
        <w:t xml:space="preserve">The Constitutional Logic Test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CLT is required for earned citizenship through naturalization (§5.1.c) and national service (§5.1.d). It tests knowledge of constitutional principles and civic structure — not political opinions or cultural loyalty. The Senate deadlock rule (§5.4.c) ensures the existing test remains in force if the Legislature cannot agree on a new standard.</w:t>
      </w:r>
    </w:p>
    <w:p>
      <w:pPr>
        <w:spacing w:after="60" w:before="200"/>
        <w:ind w:left="431"/>
        <w:jc w:val="left"/>
      </w:pPr>
      <w:r>
        <w:rPr>
          <w:rFonts w:ascii="Courier New" w:cs="Courier New" w:eastAsia="Courier New" w:hAnsi="Courier New"/>
          <w:b/>
          <w:bCs/>
          <w:color w:val="1B2A4A"/>
          <w:sz w:val="18"/>
          <w:szCs w:val="18"/>
        </w:rPr>
        <w:t xml:space="preserve">§5.4.a  </w:t>
      </w:r>
      <w:r>
        <w:rPr>
          <w:rFonts w:ascii="Garamond" w:cs="Garamond" w:eastAsia="Garamond" w:hAnsi="Garamond"/>
          <w:b/>
          <w:bCs/>
          <w:i w:val="false"/>
          <w:iCs w:val="false"/>
          <w:color w:val="1B2A4A"/>
          <w:sz w:val="22"/>
          <w:szCs w:val="22"/>
        </w:rPr>
        <w:t xml:space="preserve">Senate Authority over the CLT Standard</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CLT must assess knowledge sufficient to understand the structure, powers, limits, and rights established by this Constitution. Any statute reducing the CLT below this floor is void and any citizen may challenge it in court. The Senate sets the CLT standard by statute — raising it by simple majority of both chambers. No statute may lower the CLT below the constitutional literacy floor established by this provision regardless of the majority used; any such statute is void and enforceable by any citizen in court. Compliance with the constitutional floor is enforced by courts on challenge. Where the CLT Administrator position is vacant, the Judicial Inspectorate administers the CLT on an interim basis using the most recently published test version until a new Administrator is confirmed by the Senate.</w:t>
      </w:r>
    </w:p>
    <w:p>
      <w:pPr>
        <w:spacing w:after="60" w:before="200"/>
        <w:ind w:left="431"/>
        <w:jc w:val="left"/>
      </w:pPr>
      <w:r>
        <w:rPr>
          <w:rFonts w:ascii="Courier New" w:cs="Courier New" w:eastAsia="Courier New" w:hAnsi="Courier New"/>
          <w:b/>
          <w:bCs/>
          <w:color w:val="1B2A4A"/>
          <w:sz w:val="18"/>
          <w:szCs w:val="18"/>
        </w:rPr>
        <w:t xml:space="preserve">§5.4.b  </w:t>
      </w:r>
      <w:r>
        <w:rPr>
          <w:rFonts w:ascii="Garamond" w:cs="Garamond" w:eastAsia="Garamond" w:hAnsi="Garamond"/>
          <w:b/>
          <w:bCs/>
          <w:i w:val="false"/>
          <w:iCs w:val="false"/>
          <w:color w:val="1B2A4A"/>
          <w:sz w:val="22"/>
          <w:szCs w:val="22"/>
        </w:rPr>
        <w:t xml:space="preserve">CLT Administrator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Constitutional Logic Test is administered by a CLT Administrator nominated by the PM from a Candidate Register, confirmed by the Senate. Structural independence from partisan influence: the CLT process cannot be used to create barriers that track political outcomes.</w:t>
      </w:r>
    </w:p>
    <w:p>
      <w:pPr>
        <w:spacing w:after="60" w:before="200"/>
        <w:ind w:left="431"/>
        <w:jc w:val="left"/>
      </w:pPr>
      <w:r>
        <w:rPr>
          <w:rFonts w:ascii="Courier New" w:cs="Courier New" w:eastAsia="Courier New" w:hAnsi="Courier New"/>
          <w:b/>
          <w:bCs/>
          <w:color w:val="1B2A4A"/>
          <w:sz w:val="18"/>
          <w:szCs w:val="18"/>
        </w:rPr>
        <w:t xml:space="preserve">§5.4.c  </w:t>
      </w:r>
      <w:r>
        <w:rPr>
          <w:rFonts w:ascii="Garamond" w:cs="Garamond" w:eastAsia="Garamond" w:hAnsi="Garamond"/>
          <w:b/>
          <w:bCs/>
          <w:i w:val="false"/>
          <w:iCs w:val="false"/>
          <w:color w:val="1B2A4A"/>
          <w:sz w:val="22"/>
          <w:szCs w:val="22"/>
        </w:rPr>
        <w:t xml:space="preserve">Status Quo Maintenance</w:t>
      </w:r>
    </w:p>
    <w:p>
      <w:pPr>
        <w:spacing w:after="120" w:before="0"/>
        <w:ind w:left="431"/>
        <w:jc w:val="both"/>
      </w:pPr>
      <w:r>
        <w:rPr>
          <w:rFonts w:ascii="Garamond" w:cs="Garamond" w:eastAsia="Garamond" w:hAnsi="Garamond"/>
          <w:b w:val="false"/>
          <w:bCs w:val="false"/>
          <w:i w:val="false"/>
          <w:iCs w:val="false"/>
          <w:color w:val="2a2520"/>
          <w:sz w:val="22"/>
          <w:szCs w:val="22"/>
        </w:rPr>
        <w:t xml:space="preserve">Senate deadlock on CLT standard changes keeps the existing version in force. Deadlock cannot be weaponized to eliminate the CLT or make it impossibly difficult — the existing test remains operative.</w:t>
      </w:r>
    </w:p>
    <w:p>
      <w:pPr>
        <w:spacing w:after="60" w:before="200"/>
        <w:ind w:left="431"/>
        <w:jc w:val="left"/>
      </w:pPr>
      <w:r>
        <w:rPr>
          <w:rFonts w:ascii="Courier New" w:cs="Courier New" w:eastAsia="Courier New" w:hAnsi="Courier New"/>
          <w:b/>
          <w:bCs/>
          <w:color w:val="1B2A4A"/>
          <w:sz w:val="18"/>
          <w:szCs w:val="18"/>
        </w:rPr>
        <w:t xml:space="preserve">§5.5  </w:t>
      </w:r>
      <w:r>
        <w:rPr>
          <w:rFonts w:ascii="Garamond" w:cs="Garamond" w:eastAsia="Garamond" w:hAnsi="Garamond"/>
          <w:b/>
          <w:bCs/>
          <w:i w:val="false"/>
          <w:iCs w:val="false"/>
          <w:color w:val="1B2A4A"/>
          <w:sz w:val="22"/>
          <w:szCs w:val="22"/>
        </w:rPr>
        <w:t xml:space="preserve">Founding Generation Citizenship</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circumstances of ratification require a transitional citizenship grant for those who held voting rights at the moment of founding.</w:t>
      </w:r>
    </w:p>
    <w:p>
      <w:pPr>
        <w:spacing w:after="60" w:before="200"/>
        <w:ind w:left="431"/>
        <w:jc w:val="left"/>
      </w:pPr>
      <w:r>
        <w:rPr>
          <w:rFonts w:ascii="Courier New" w:cs="Courier New" w:eastAsia="Courier New" w:hAnsi="Courier New"/>
          <w:b/>
          <w:bCs/>
          <w:color w:val="1B2A4A"/>
          <w:sz w:val="18"/>
          <w:szCs w:val="18"/>
        </w:rPr>
        <w:t xml:space="preserve">§5.5.a  </w:t>
      </w:r>
      <w:r>
        <w:rPr>
          <w:rFonts w:ascii="Garamond" w:cs="Garamond" w:eastAsia="Garamond" w:hAnsi="Garamond"/>
          <w:b/>
          <w:bCs/>
          <w:i w:val="false"/>
          <w:iCs w:val="false"/>
          <w:color w:val="1B2A4A"/>
          <w:sz w:val="22"/>
          <w:szCs w:val="22"/>
        </w:rPr>
        <w:t xml:space="preserve">Automatic Citizenship Grant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individuals holding voting rights on Day Zero of ratification are automatically granted full citizenship without testing or application. The Day Zero Grandfather Clause prevents the new Republic from immediately disenfranchising its existing population by requiring existing voters to re-qualify under new standards.</w:t>
      </w:r>
    </w:p>
    <w:p>
      <w:pPr>
        <w:spacing w:after="60" w:before="200"/>
        <w:jc w:val="left"/>
      </w:pPr>
      <w:r>
        <w:rPr>
          <w:rFonts w:ascii="Garamond" w:cs="Garamond" w:eastAsia="Garamond" w:hAnsi="Garamond"/>
          <w:b/>
          <w:bCs/>
          <w:i w:val="false"/>
          <w:iCs w:val="false"/>
          <w:color w:val="1B2A4A"/>
          <w:sz w:val="34"/>
          <w:szCs w:val="34"/>
        </w:rPr>
        <w:t xml:space="preserve">Article VI — Immigration and Residency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§6.1  </w:t>
      </w:r>
      <w:r>
        <w:rPr>
          <w:rFonts w:ascii="Garamond" w:cs="Garamond" w:eastAsia="Garamond" w:hAnsi="Garamond"/>
          <w:b/>
          <w:bCs/>
          <w:i w:val="false"/>
          <w:iCs w:val="false"/>
          <w:color w:val="1B2A4A"/>
          <w:sz w:val="22"/>
          <w:szCs w:val="22"/>
        </w:rPr>
        <w:t xml:space="preserve">The Dual-Gate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immigration application must clear two sequential gates: Gate 1 (State sponsorship) and Gate 2 (federal certification). Legal residency requires passing both gates. Gate 1 is State acceptance — States retain discretion over whom they sponsor, but may not apply sponsorship criteria that violate §1.9. Gate 2 is the federal substantive assessment — national standards that no State can circumvent or expand beyond the four certified categories. The Legislature holds supreme authority over immigration standards and may set aggregate limits on total applications processed in any period, provided limits are applied without §1.9 discrimination. Asylum proceedings under §6.4 are explicitly exempt from the Gate 1 requirement — the right to claim and have determined a §1.28 asylum claim exists independently of the dual-gate system, and no State's refusal to sponsor can extinguish it.</w:t>
      </w:r>
    </w:p>
    <w:p>
      <w:pPr>
        <w:spacing w:after="60" w:before="200"/>
        <w:ind w:left="431"/>
        <w:jc w:val="left"/>
      </w:pPr>
      <w:r>
        <w:rPr>
          <w:rFonts w:ascii="Courier New" w:cs="Courier New" w:eastAsia="Courier New" w:hAnsi="Courier New"/>
          <w:b/>
          <w:bCs/>
          <w:color w:val="1B2A4A"/>
          <w:sz w:val="18"/>
          <w:szCs w:val="18"/>
        </w:rPr>
        <w:t xml:space="preserve">§6.1.a  </w:t>
      </w:r>
      <w:r>
        <w:rPr>
          <w:rFonts w:ascii="Garamond" w:cs="Garamond" w:eastAsia="Garamond" w:hAnsi="Garamond"/>
          <w:b/>
          <w:bCs/>
          <w:i w:val="false"/>
          <w:iCs w:val="false"/>
          <w:color w:val="1B2A4A"/>
          <w:sz w:val="22"/>
          <w:szCs w:val="22"/>
        </w:rPr>
        <w:t xml:space="preserve">Gate 1 — State Sponsorship</w:t>
      </w:r>
    </w:p>
    <w:p>
      <w:pPr>
        <w:spacing w:after="120" w:before="0"/>
        <w:ind w:left="431"/>
        <w:jc w:val="both"/>
      </w:pPr>
      <w:r>
        <w:rPr>
          <w:rFonts w:ascii="Garamond" w:cs="Garamond" w:eastAsia="Garamond" w:hAnsi="Garamond"/>
          <w:b w:val="false"/>
          <w:bCs w:val="false"/>
          <w:i w:val="false"/>
          <w:iCs w:val="false"/>
          <w:color w:val="2a2520"/>
          <w:sz w:val="22"/>
          <w:szCs w:val="22"/>
        </w:rPr>
        <w:t xml:space="preserve">A sponsoring State certifies the applicant through its own vetting process and accepts notification obligations during the application period. During the application period the applicant must maintain a genuine connection to the sponsoring State — as the Legislature defines by statute — so that notification obligations remain practical rather than nominal and states cannot become purely formal sponsors for applicants who have no real connection to them. Residency credentials issued once both gates are cleared are federal credentials valid throughout the Republic. The sponsoring State's role and responsibilities end at issuance; the credentials are not tied to any State. The federal government may not penalise a State for declining to sponsor any particular applicant or category of applicant.</w:t>
      </w:r>
    </w:p>
    <w:p>
      <w:pPr>
        <w:spacing w:after="60" w:before="200"/>
        <w:ind w:left="431"/>
        <w:jc w:val="left"/>
      </w:pPr>
      <w:r>
        <w:rPr>
          <w:rFonts w:ascii="Courier New" w:cs="Courier New" w:eastAsia="Courier New" w:hAnsi="Courier New"/>
          <w:b/>
          <w:bCs/>
          <w:color w:val="1B2A4A"/>
          <w:sz w:val="18"/>
          <w:szCs w:val="18"/>
        </w:rPr>
        <w:t xml:space="preserve">§6.1.b  </w:t>
      </w:r>
      <w:r>
        <w:rPr>
          <w:rFonts w:ascii="Garamond" w:cs="Garamond" w:eastAsia="Garamond" w:hAnsi="Garamond"/>
          <w:b/>
          <w:bCs/>
          <w:i w:val="false"/>
          <w:iCs w:val="false"/>
          <w:color w:val="1B2A4A"/>
          <w:sz w:val="22"/>
          <w:szCs w:val="22"/>
        </w:rPr>
        <w:t xml:space="preserve">Gate 2 — Federal Certification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certification across four statutory categories: identity verification, criminal history, national security assessment, self-sufficiency or support guarantee. Cannot impose ideological screening or nationality-based quotas. Any denial must specify the precise ground in writing. National security denials published in redacted form protecting sources.</w:t>
      </w:r>
    </w:p>
    <w:p>
      <w:pPr>
        <w:spacing w:after="60" w:before="200"/>
        <w:ind w:left="431"/>
        <w:jc w:val="left"/>
      </w:pPr>
      <w:r>
        <w:rPr>
          <w:rFonts w:ascii="Courier New" w:cs="Courier New" w:eastAsia="Courier New" w:hAnsi="Courier New"/>
          <w:b/>
          <w:bCs/>
          <w:color w:val="1B2A4A"/>
          <w:sz w:val="18"/>
          <w:szCs w:val="18"/>
        </w:rPr>
        <w:t xml:space="preserve">§6.1.c  </w:t>
      </w:r>
      <w:r>
        <w:rPr>
          <w:rFonts w:ascii="Garamond" w:cs="Garamond" w:eastAsia="Garamond" w:hAnsi="Garamond"/>
          <w:b/>
          <w:bCs/>
          <w:i w:val="false"/>
          <w:iCs w:val="false"/>
          <w:color w:val="1B2A4A"/>
          <w:sz w:val="22"/>
          <w:szCs w:val="22"/>
        </w:rPr>
        <w:t xml:space="preserve">Presidential Role</w:t>
      </w:r>
    </w:p>
    <w:p>
      <w:pPr>
        <w:spacing w:after="120" w:before="0"/>
        <w:ind w:left="431"/>
        <w:jc w:val="both"/>
      </w:pPr>
      <w:r>
        <w:rPr>
          <w:rFonts w:ascii="Garamond" w:cs="Garamond" w:eastAsia="Garamond" w:hAnsi="Garamond"/>
          <w:b w:val="false"/>
          <w:bCs w:val="false"/>
          <w:i w:val="false"/>
          <w:iCs w:val="false"/>
          <w:color w:val="2a2520"/>
          <w:sz w:val="22"/>
          <w:szCs w:val="22"/>
        </w:rPr>
        <w:t xml:space="preserve">Once an applicant clears both gates, the President must ministerially issue residency credentials. The word 'ministerially' is deliberate — the President has no discretion to refuse or delay what the law requires. Presidential interference with credential issuance is constitutionally prohibited.</w:t>
      </w:r>
    </w:p>
    <w:p>
      <w:pPr>
        <w:spacing w:after="60" w:before="200"/>
        <w:ind w:left="431"/>
        <w:jc w:val="left"/>
      </w:pPr>
      <w:r>
        <w:rPr>
          <w:rFonts w:ascii="Courier New" w:cs="Courier New" w:eastAsia="Courier New" w:hAnsi="Courier New"/>
          <w:b/>
          <w:bCs/>
          <w:color w:val="1B2A4A"/>
          <w:sz w:val="18"/>
          <w:szCs w:val="18"/>
        </w:rPr>
        <w:t xml:space="preserve">§6.1.d  </w:t>
      </w:r>
      <w:r>
        <w:rPr>
          <w:rFonts w:ascii="Garamond" w:cs="Garamond" w:eastAsia="Garamond" w:hAnsi="Garamond"/>
          <w:b/>
          <w:bCs/>
          <w:i w:val="false"/>
          <w:iCs w:val="false"/>
          <w:color w:val="1B2A4A"/>
          <w:sz w:val="22"/>
          <w:szCs w:val="22"/>
        </w:rPr>
        <w:t xml:space="preserve">Federal Sponsorship Category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may establish a Federal Sponsorship Category where designated federal agencies serve as Gate 1 sponsors for applicants whose skills directly serve a defined federal interest — research programs, national infrastructure, national security-adjacent technical roles. The agency assumes all State Gate 1 responsibilities including notification obligations. Crucially: the Federal Sponsorship Category does not bypass Gate 2 — all four federal certification categories still apply. State Gate 1 authority is entirely unaffected; the federal category operates alongside, not instead of, State sponsorship.</w:t>
      </w:r>
    </w:p>
    <w:p>
      <w:pPr>
        <w:spacing w:after="60" w:before="200"/>
        <w:ind w:left="431"/>
        <w:jc w:val="left"/>
      </w:pPr>
      <w:r>
        <w:rPr>
          <w:rFonts w:ascii="Courier New" w:cs="Courier New" w:eastAsia="Courier New" w:hAnsi="Courier New"/>
          <w:b/>
          <w:bCs/>
          <w:color w:val="1B2A4A"/>
          <w:sz w:val="18"/>
          <w:szCs w:val="18"/>
        </w:rPr>
        <w:t xml:space="preserve">§6.2  </w:t>
      </w:r>
      <w:r>
        <w:rPr>
          <w:rFonts w:ascii="Garamond" w:cs="Garamond" w:eastAsia="Garamond" w:hAnsi="Garamond"/>
          <w:b/>
          <w:bCs/>
          <w:i w:val="false"/>
          <w:iCs w:val="false"/>
          <w:color w:val="1B2A4A"/>
          <w:sz w:val="22"/>
          <w:szCs w:val="22"/>
        </w:rPr>
        <w:t xml:space="preserve">Enforcement and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Only the federal government may remove individuals from the Republic — States may not conduct deportations independently. Removal occurs only for violations of laws the Legislature has defined — executive detention without statutory basis is not removal, it is unlawful detention subject to habeas corpus.</w:t>
      </w:r>
    </w:p>
    <w:p>
      <w:pPr>
        <w:spacing w:after="60" w:before="200"/>
        <w:ind w:left="431"/>
        <w:jc w:val="left"/>
      </w:pPr>
      <w:r>
        <w:rPr>
          <w:rFonts w:ascii="Courier New" w:cs="Courier New" w:eastAsia="Courier New" w:hAnsi="Courier New"/>
          <w:b/>
          <w:bCs/>
          <w:color w:val="1B2A4A"/>
          <w:sz w:val="18"/>
          <w:szCs w:val="18"/>
        </w:rPr>
        <w:t xml:space="preserve">§6.3  </w:t>
      </w:r>
      <w:r>
        <w:rPr>
          <w:rFonts w:ascii="Garamond" w:cs="Garamond" w:eastAsia="Garamond" w:hAnsi="Garamond"/>
          <w:b/>
          <w:bCs/>
          <w:i w:val="false"/>
          <w:iCs w:val="false"/>
          <w:color w:val="1B2A4A"/>
          <w:sz w:val="22"/>
          <w:szCs w:val="22"/>
        </w:rPr>
        <w:t xml:space="preserve">Gate 2 Appeal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Gate 2 denials are judicially challengeable on three grounds: criterion outside the four certified categories; denial made on discriminatory grounds contrary to §1.9; or procedural violation affecting the outcome. Gate 1 denials are not reviewable on the merits of the sponsorship decision — a State's discretion over whom it sponsors is constitutionally protected. Gate 1 denials made on §1.9 discriminatory grounds are separately challengeable as constitutional violations, not as immigration appeals; a court finding discrimination may order the State to reconsider free of discriminatory criteria but may not compel sponsorship.</w:t>
      </w:r>
    </w:p>
    <w:p>
      <w:pPr>
        <w:spacing w:after="60" w:before="200"/>
        <w:ind w:left="431"/>
        <w:jc w:val="left"/>
      </w:pPr>
      <w:r>
        <w:rPr>
          <w:rFonts w:ascii="Courier New" w:cs="Courier New" w:eastAsia="Courier New" w:hAnsi="Courier New"/>
          <w:b/>
          <w:bCs/>
          <w:color w:val="1B2A4A"/>
          <w:sz w:val="18"/>
          <w:szCs w:val="18"/>
        </w:rPr>
        <w:t xml:space="preserve">§6.3.a  </w:t>
      </w:r>
      <w:r>
        <w:rPr>
          <w:rFonts w:ascii="Garamond" w:cs="Garamond" w:eastAsia="Garamond" w:hAnsi="Garamond"/>
          <w:b/>
          <w:bCs/>
          <w:i w:val="false"/>
          <w:iCs w:val="false"/>
          <w:color w:val="1B2A4A"/>
          <w:sz w:val="22"/>
          <w:szCs w:val="22"/>
        </w:rPr>
        <w:t xml:space="preserve">Judicial Challenge</w:t>
      </w:r>
    </w:p>
    <w:p>
      <w:pPr>
        <w:spacing w:after="120" w:before="0"/>
        <w:ind w:left="431"/>
        <w:jc w:val="both"/>
      </w:pPr>
      <w:r>
        <w:rPr>
          <w:rFonts w:ascii="Garamond" w:cs="Garamond" w:eastAsia="Garamond" w:hAnsi="Garamond"/>
          <w:b w:val="false"/>
          <w:bCs w:val="false"/>
          <w:i w:val="false"/>
          <w:iCs w:val="false"/>
          <w:color w:val="2a2520"/>
          <w:sz w:val="22"/>
          <w:szCs w:val="22"/>
        </w:rPr>
        <w:t xml:space="preserve">An applicant may challenge a Gate 2 denial on three grounds: criterion outside the four certified categories; discriminatory application; or procedurally deficient process. Three-ground limitation channels challenges rather than eliminating them.</w:t>
      </w:r>
    </w:p>
    <w:p>
      <w:pPr>
        <w:spacing w:after="60" w:before="200"/>
        <w:ind w:left="431"/>
        <w:jc w:val="left"/>
      </w:pPr>
      <w:r>
        <w:rPr>
          <w:rFonts w:ascii="Courier New" w:cs="Courier New" w:eastAsia="Courier New" w:hAnsi="Courier New"/>
          <w:b/>
          <w:bCs/>
          <w:color w:val="1B2A4A"/>
          <w:sz w:val="18"/>
          <w:szCs w:val="18"/>
        </w:rPr>
        <w:t xml:space="preserve">§6.3.b  </w:t>
      </w:r>
      <w:r>
        <w:rPr>
          <w:rFonts w:ascii="Garamond" w:cs="Garamond" w:eastAsia="Garamond" w:hAnsi="Garamond"/>
          <w:b/>
          <w:bCs/>
          <w:i w:val="false"/>
          <w:iCs w:val="false"/>
          <w:color w:val="1B2A4A"/>
          <w:sz w:val="22"/>
          <w:szCs w:val="22"/>
        </w:rPr>
        <w:t xml:space="preserve">National Security Denials — In-Camera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Gate 2 is denied on national security grounds, a reviewing court may examine the classified assessment in camera and determine whether it constitutes a credible, specific, and documented security concern — without publishing classified content. The in-camera determination is outcome-determinative: either the security concern meets the constitutional standard and the denial stands, or it does not and recertification is ordered.</w:t>
      </w:r>
    </w:p>
    <w:p>
      <w:pPr>
        <w:spacing w:after="60" w:before="200"/>
        <w:ind w:left="431"/>
        <w:jc w:val="left"/>
      </w:pPr>
      <w:r>
        <w:rPr>
          <w:rFonts w:ascii="Courier New" w:cs="Courier New" w:eastAsia="Courier New" w:hAnsi="Courier New"/>
          <w:b/>
          <w:bCs/>
          <w:color w:val="1B2A4A"/>
          <w:sz w:val="18"/>
          <w:szCs w:val="18"/>
        </w:rPr>
        <w:t xml:space="preserve">§6.4  </w:t>
      </w:r>
      <w:r>
        <w:rPr>
          <w:rFonts w:ascii="Garamond" w:cs="Garamond" w:eastAsia="Garamond" w:hAnsi="Garamond"/>
          <w:b/>
          <w:bCs/>
          <w:i w:val="false"/>
          <w:iCs w:val="false"/>
          <w:color w:val="1B2A4A"/>
          <w:sz w:val="22"/>
          <w:szCs w:val="22"/>
        </w:rPr>
        <w:t xml:space="preserve">Asylum and Protection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Asylum proceedings operate on a separate constitutional track from the dual-gate immigration system. An asylum filer under §1.28 becomes an Inhabitant at filing — not upon grant. Their claim must be determined before any removal order takes effect. The asylum track is explicitly exempt from Gate 1 state sponsorship: no state's refusal to sponsor can extinguish a §1.28 claim. Where the Asylum Court grants protection, the person receives federal residency credentials by operation of that grant — Gate 1 sponsorship and Gate 2 federal certification are not required conditions. The President must issue credentials within the Legislature-defined statutory period. The Legislature may establish a distinct residency category for asylum grantees with its own citizenship pathway consistent with Article V.</w:t>
      </w:r>
    </w:p>
    <w:p>
      <w:pPr>
        <w:spacing w:after="60" w:before="200"/>
        <w:ind w:left="431"/>
        <w:jc w:val="left"/>
      </w:pPr>
      <w:r>
        <w:rPr>
          <w:rFonts w:ascii="Courier New" w:cs="Courier New" w:eastAsia="Courier New" w:hAnsi="Courier New"/>
          <w:b/>
          <w:bCs/>
          <w:color w:val="1B2A4A"/>
          <w:sz w:val="18"/>
          <w:szCs w:val="18"/>
        </w:rPr>
        <w:t xml:space="preserve">§6.4.a  </w:t>
      </w:r>
      <w:r>
        <w:rPr>
          <w:rFonts w:ascii="Garamond" w:cs="Garamond" w:eastAsia="Garamond" w:hAnsi="Garamond"/>
          <w:b/>
          <w:bCs/>
          <w:i w:val="false"/>
          <w:iCs w:val="false"/>
          <w:color w:val="1B2A4A"/>
          <w:sz w:val="22"/>
          <w:szCs w:val="22"/>
        </w:rPr>
        <w:t xml:space="preserve">Asylum Seekers as Inhabitants</w:t>
      </w:r>
    </w:p>
    <w:p>
      <w:pPr>
        <w:spacing w:after="120" w:before="0"/>
        <w:ind w:left="431"/>
        <w:jc w:val="both"/>
      </w:pPr>
      <w:r>
        <w:rPr>
          <w:rFonts w:ascii="Garamond" w:cs="Garamond" w:eastAsia="Garamond" w:hAnsi="Garamond"/>
          <w:b w:val="false"/>
          <w:bCs w:val="false"/>
          <w:i w:val="false"/>
          <w:iCs w:val="false"/>
          <w:color w:val="2a2520"/>
          <w:sz w:val="22"/>
          <w:szCs w:val="22"/>
        </w:rPr>
        <w:t xml:space="preserve">Any person who files an asylum claim under §1.28 is an Inhabitant of the Republic from the date of filing — immediately entitled to BNF coverage and all Article I protections. Protection-first: the determination process does not happen in a rights-free zone.</w:t>
      </w:r>
    </w:p>
    <w:p>
      <w:pPr>
        <w:spacing w:after="60" w:before="200"/>
        <w:ind w:left="431"/>
        <w:jc w:val="left"/>
      </w:pPr>
      <w:r>
        <w:rPr>
          <w:rFonts w:ascii="Courier New" w:cs="Courier New" w:eastAsia="Courier New" w:hAnsi="Courier New"/>
          <w:b/>
          <w:bCs/>
          <w:color w:val="1B2A4A"/>
          <w:sz w:val="18"/>
          <w:szCs w:val="18"/>
        </w:rPr>
        <w:t xml:space="preserve">§6.4.b  </w:t>
      </w:r>
      <w:r>
        <w:rPr>
          <w:rFonts w:ascii="Garamond" w:cs="Garamond" w:eastAsia="Garamond" w:hAnsi="Garamond"/>
          <w:b/>
          <w:bCs/>
          <w:i w:val="false"/>
          <w:iCs w:val="false"/>
          <w:color w:val="1B2A4A"/>
          <w:sz w:val="22"/>
          <w:szCs w:val="22"/>
        </w:rPr>
        <w:t xml:space="preserve">Right to Determination and Protection During Proceedings</w:t>
      </w:r>
    </w:p>
    <w:p>
      <w:pPr>
        <w:spacing w:after="120" w:before="0"/>
        <w:ind w:left="431"/>
        <w:jc w:val="both"/>
      </w:pPr>
      <w:r>
        <w:rPr>
          <w:rFonts w:ascii="Garamond" w:cs="Garamond" w:eastAsia="Garamond" w:hAnsi="Garamond"/>
          <w:b w:val="false"/>
          <w:bCs w:val="false"/>
          <w:i w:val="false"/>
          <w:iCs w:val="false"/>
          <w:color w:val="2a2520"/>
          <w:sz w:val="22"/>
          <w:szCs w:val="22"/>
        </w:rPr>
        <w:t xml:space="preserve">Asylum proceedings must provide: a qualified adjudicator with decision authority, access to an interpreter, the right to present evidence and witnesses, a written decision specifying grounds, and a right of appeal. Standards apply regardless of the applicant's point of entry into the Republic.</w:t>
      </w:r>
    </w:p>
    <w:p>
      <w:pPr>
        <w:spacing w:after="60" w:before="200"/>
        <w:ind w:left="431"/>
        <w:jc w:val="left"/>
      </w:pPr>
      <w:r>
        <w:rPr>
          <w:rFonts w:ascii="Courier New" w:cs="Courier New" w:eastAsia="Courier New" w:hAnsi="Courier New"/>
          <w:b/>
          <w:bCs/>
          <w:color w:val="1B2A4A"/>
          <w:sz w:val="18"/>
          <w:szCs w:val="18"/>
        </w:rPr>
        <w:t xml:space="preserve">§6.4.c  </w:t>
      </w:r>
      <w:r>
        <w:rPr>
          <w:rFonts w:ascii="Garamond" w:cs="Garamond" w:eastAsia="Garamond" w:hAnsi="Garamond"/>
          <w:b/>
          <w:bCs/>
          <w:i w:val="false"/>
          <w:iCs w:val="false"/>
          <w:color w:val="1B2A4A"/>
          <w:sz w:val="22"/>
          <w:szCs w:val="22"/>
        </w:rPr>
        <w:t xml:space="preserve">Asylum Court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Asylum Court is a federal judicial institution constitutionally independent of both executive branches. Its judges hold full tenure protections. The Legislature may not establish any asylum determination body as a subdivision or instrumentality of either executive branch — administrative asylum tribunals dependent on the executive are constitutionally prohibited.</w:t>
      </w:r>
    </w:p>
    <w:p>
      <w:pPr>
        <w:spacing w:after="60" w:before="200"/>
        <w:ind w:left="431"/>
        <w:jc w:val="left"/>
      </w:pPr>
      <w:r>
        <w:rPr>
          <w:rFonts w:ascii="Courier New" w:cs="Courier New" w:eastAsia="Courier New" w:hAnsi="Courier New"/>
          <w:b/>
          <w:bCs/>
          <w:color w:val="1B2A4A"/>
          <w:sz w:val="18"/>
          <w:szCs w:val="18"/>
        </w:rPr>
        <w:t xml:space="preserve">§6.4.d  </w:t>
      </w:r>
      <w:r>
        <w:rPr>
          <w:rFonts w:ascii="Garamond" w:cs="Garamond" w:eastAsia="Garamond" w:hAnsi="Garamond"/>
          <w:b/>
          <w:bCs/>
          <w:i w:val="false"/>
          <w:iCs w:val="false"/>
          <w:color w:val="1B2A4A"/>
          <w:sz w:val="22"/>
          <w:szCs w:val="22"/>
        </w:rPr>
        <w:t xml:space="preserve">Non-Penalization for Irregular Entry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manner or means of entry into the Republic — including irregular or unauthorized entry — does not affect the right to claim asylum or have that claim determined. No penalty arising solely from irregular entry may be imposed on a person whose asylum claim is pending or has been granted.</w:t>
      </w:r>
    </w:p>
    <w:p>
      <w:pPr>
        <w:spacing w:after="60" w:before="200"/>
        <w:ind w:left="431"/>
        <w:jc w:val="left"/>
      </w:pPr>
      <w:r>
        <w:rPr>
          <w:rFonts w:ascii="Courier New" w:cs="Courier New" w:eastAsia="Courier New" w:hAnsi="Courier New"/>
          <w:b/>
          <w:bCs/>
          <w:color w:val="1B2A4A"/>
          <w:sz w:val="18"/>
          <w:szCs w:val="18"/>
        </w:rPr>
        <w:t xml:space="preserve">§6.4.e  </w:t>
      </w:r>
      <w:r>
        <w:rPr>
          <w:rFonts w:ascii="Garamond" w:cs="Garamond" w:eastAsia="Garamond" w:hAnsi="Garamond"/>
          <w:b/>
          <w:bCs/>
          <w:i w:val="false"/>
          <w:iCs w:val="false"/>
          <w:color w:val="1B2A4A"/>
          <w:sz w:val="22"/>
          <w:szCs w:val="22"/>
        </w:rPr>
        <w:t xml:space="preserve">Unexecutable Removal Orders</w:t>
      </w:r>
    </w:p>
    <w:p>
      <w:pPr>
        <w:spacing w:after="120" w:before="0"/>
        <w:ind w:left="431"/>
        <w:jc w:val="both"/>
      </w:pPr>
      <w:r>
        <w:rPr>
          <w:rFonts w:ascii="Garamond" w:cs="Garamond" w:eastAsia="Garamond" w:hAnsi="Garamond"/>
          <w:b w:val="false"/>
          <w:bCs w:val="false"/>
          <w:i w:val="false"/>
          <w:iCs w:val="false"/>
          <w:color w:val="2a2520"/>
          <w:sz w:val="22"/>
          <w:szCs w:val="22"/>
        </w:rPr>
        <w:t xml:space="preserve">Legislature must define a minimum status, material conditions, and periodic judicial review for persons subject to final removal orders that cannot be executed — because the destination country won't accept them, or execution would violate §1.28. The constitution does not allow indefinite stateless detention.</w:t>
      </w:r>
    </w:p>
    <w:p>
      <w:pPr>
        <w:spacing w:after="60" w:before="200"/>
        <w:ind w:left="431"/>
        <w:jc w:val="left"/>
      </w:pPr>
      <w:r>
        <w:rPr>
          <w:rFonts w:ascii="Courier New" w:cs="Courier New" w:eastAsia="Courier New" w:hAnsi="Courier New"/>
          <w:b/>
          <w:bCs/>
          <w:color w:val="1B2A4A"/>
          <w:sz w:val="18"/>
          <w:szCs w:val="18"/>
        </w:rPr>
        <w:t xml:space="preserve">§6.4.f  </w:t>
      </w:r>
      <w:r>
        <w:rPr>
          <w:rFonts w:ascii="Garamond" w:cs="Garamond" w:eastAsia="Garamond" w:hAnsi="Garamond"/>
          <w:b/>
          <w:bCs/>
          <w:i w:val="false"/>
          <w:iCs w:val="false"/>
          <w:color w:val="1B2A4A"/>
          <w:sz w:val="22"/>
          <w:szCs w:val="22"/>
        </w:rPr>
        <w:t xml:space="preserve">Security and Criminal Protection Cases</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Asylum Court grants §1.28 protection to a person who poses a documented security threat, removal remains constitutionally barred. Indefinite unreviewed detention is not a constitutionally available outcome. Where removal is barred under §1.28 and a documented security threat is established, the Republic may detain the individual subject to the following constitutional floor: mandatory judicial review within 90 days of initial detention; mandatory judicial review every 180 days thereafter; statutory minimum conditions of humane treatment; and no detention beyond 5 years without annual SC review. The Legislature defines detention conditions by statute subject to this floor.</w:t>
      </w:r>
    </w:p>
    <w:p>
      <w:pPr>
        <w:spacing w:after="60" w:before="200"/>
        <w:ind w:left="431"/>
        <w:jc w:val="left"/>
      </w:pPr>
      <w:r>
        <w:rPr>
          <w:rFonts w:ascii="Courier New" w:cs="Courier New" w:eastAsia="Courier New" w:hAnsi="Courier New"/>
          <w:b/>
          <w:bCs/>
          <w:color w:val="1B2A4A"/>
          <w:sz w:val="18"/>
          <w:szCs w:val="18"/>
        </w:rPr>
        <w:t xml:space="preserve">§6.4.g  </w:t>
      </w:r>
      <w:r>
        <w:rPr>
          <w:rFonts w:ascii="Garamond" w:cs="Garamond" w:eastAsia="Garamond" w:hAnsi="Garamond"/>
          <w:b/>
          <w:bCs/>
          <w:i w:val="false"/>
          <w:iCs w:val="false"/>
          <w:color w:val="1B2A4A"/>
          <w:sz w:val="22"/>
          <w:szCs w:val="22"/>
        </w:rPr>
        <w:t xml:space="preserve">Territory Accessibility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asylum proceedings statute must ensure asylum is accessible to persons in Territories and geographically remote areas — not just major population centers. The right to seek asylum applies regardless of where in the Republic a person arrives.</w:t>
      </w:r>
    </w:p>
    <w:p>
      <w:pPr>
        <w:spacing w:after="60" w:before="200"/>
        <w:ind w:left="431"/>
        <w:jc w:val="left"/>
      </w:pPr>
      <w:r>
        <w:rPr>
          <w:rFonts w:ascii="Courier New" w:cs="Courier New" w:eastAsia="Courier New" w:hAnsi="Courier New"/>
          <w:b/>
          <w:bCs/>
          <w:color w:val="1B2A4A"/>
          <w:sz w:val="18"/>
          <w:szCs w:val="18"/>
        </w:rPr>
        <w:t xml:space="preserve">§6.4.h  </w:t>
      </w:r>
      <w:r>
        <w:rPr>
          <w:rFonts w:ascii="Garamond" w:cs="Garamond" w:eastAsia="Garamond" w:hAnsi="Garamond"/>
          <w:b/>
          <w:bCs/>
          <w:i w:val="false"/>
          <w:iCs w:val="false"/>
          <w:color w:val="1B2A4A"/>
          <w:sz w:val="22"/>
          <w:szCs w:val="22"/>
        </w:rPr>
        <w:t xml:space="preserve">Unaccompanied Minors</w:t>
      </w:r>
    </w:p>
    <w:p>
      <w:pPr>
        <w:spacing w:after="120" w:before="0"/>
        <w:ind w:left="431"/>
        <w:jc w:val="both"/>
      </w:pPr>
      <w:r>
        <w:rPr>
          <w:rFonts w:ascii="Garamond" w:cs="Garamond" w:eastAsia="Garamond" w:hAnsi="Garamond"/>
          <w:b w:val="false"/>
          <w:bCs w:val="false"/>
          <w:i w:val="false"/>
          <w:iCs w:val="false"/>
          <w:color w:val="2a2520"/>
          <w:sz w:val="22"/>
          <w:szCs w:val="22"/>
        </w:rPr>
        <w:t xml:space="preserve">An unaccompanied minor arriving in the Republic or presenting to Republic authorities is an Inhabitant from the moment of contact and holds full §1.28 protection. A federal legal guardian must be appointed within 24 hours. No unaccompanied minor may be detained in a facility not specifically designated and resourced for children.</w:t>
      </w:r>
    </w:p>
    <w:p>
      <w:pPr>
        <w:spacing w:after="60" w:before="200"/>
        <w:jc w:val="left"/>
      </w:pPr>
      <w:r>
        <w:rPr>
          <w:rFonts w:ascii="Garamond" w:cs="Garamond" w:eastAsia="Garamond" w:hAnsi="Garamond"/>
          <w:b/>
          <w:bCs/>
          <w:i w:val="false"/>
          <w:iCs w:val="false"/>
          <w:color w:val="1B2A4A"/>
          <w:sz w:val="34"/>
          <w:szCs w:val="34"/>
        </w:rPr>
        <w:t xml:space="preserve">Article VII — Elections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§7.1  </w:t>
      </w:r>
      <w:r>
        <w:rPr>
          <w:rFonts w:ascii="Garamond" w:cs="Garamond" w:eastAsia="Garamond" w:hAnsi="Garamond"/>
          <w:b/>
          <w:bCs/>
          <w:i w:val="false"/>
          <w:iCs w:val="false"/>
          <w:color w:val="1B2A4A"/>
          <w:sz w:val="22"/>
          <w:szCs w:val="22"/>
        </w:rPr>
        <w:t xml:space="preserve">Standard Elections — Ranked Choice</w:t>
      </w:r>
    </w:p>
    <w:p>
      <w:pPr>
        <w:spacing w:after="120" w:before="0"/>
        <w:ind w:left="431"/>
        <w:jc w:val="both"/>
      </w:pPr>
      <w:r>
        <w:rPr>
          <w:rFonts w:ascii="Garamond" w:cs="Garamond" w:eastAsia="Garamond" w:hAnsi="Garamond"/>
          <w:b w:val="false"/>
          <w:bCs w:val="false"/>
          <w:i w:val="false"/>
          <w:iCs w:val="false"/>
          <w:color w:val="2a2520"/>
          <w:sz w:val="22"/>
          <w:szCs w:val="22"/>
        </w:rPr>
        <w:t xml:space="preserve">All federal elections on National Election Day, every two years. All elections for House, Senate, SC, and Electoral Commission seats use Ranked Choice Voting — majority required, not plurality. No federal elections outside National Election Day except special elections for vacancies.</w:t>
      </w:r>
    </w:p>
    <w:p>
      <w:pPr>
        <w:spacing w:after="60" w:before="200"/>
        <w:ind w:left="431"/>
        <w:jc w:val="left"/>
      </w:pPr>
      <w:r>
        <w:rPr>
          <w:rFonts w:ascii="Courier New" w:cs="Courier New" w:eastAsia="Courier New" w:hAnsi="Courier New"/>
          <w:b/>
          <w:bCs/>
          <w:color w:val="1B2A4A"/>
          <w:sz w:val="18"/>
          <w:szCs w:val="18"/>
        </w:rPr>
        <w:t xml:space="preserve">§7.2  </w:t>
      </w:r>
      <w:r>
        <w:rPr>
          <w:rFonts w:ascii="Garamond" w:cs="Garamond" w:eastAsia="Garamond" w:hAnsi="Garamond"/>
          <w:b/>
          <w:bCs/>
          <w:i w:val="false"/>
          <w:iCs w:val="false"/>
          <w:color w:val="1B2A4A"/>
          <w:sz w:val="22"/>
          <w:szCs w:val="22"/>
        </w:rPr>
        <w:t xml:space="preserve">Presidential Election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is elected through a two-component national system that combines a ranked-choice popular vote with regional representation. No candidate may win the presidency on the basis of either component alone.</w:t>
      </w:r>
    </w:p>
    <w:p>
      <w:pPr>
        <w:spacing w:after="60" w:before="200"/>
        <w:ind w:left="431"/>
        <w:jc w:val="left"/>
      </w:pPr>
      <w:r>
        <w:rPr>
          <w:rFonts w:ascii="Courier New" w:cs="Courier New" w:eastAsia="Courier New" w:hAnsi="Courier New"/>
          <w:b/>
          <w:bCs/>
          <w:color w:val="1B2A4A"/>
          <w:sz w:val="18"/>
          <w:szCs w:val="18"/>
        </w:rPr>
        <w:t xml:space="preserve">§7.2.a  </w:t>
      </w:r>
      <w:r>
        <w:rPr>
          <w:rFonts w:ascii="Garamond" w:cs="Garamond" w:eastAsia="Garamond" w:hAnsi="Garamond"/>
          <w:b/>
          <w:bCs/>
          <w:i w:val="false"/>
          <w:iCs w:val="false"/>
          <w:color w:val="1B2A4A"/>
          <w:sz w:val="22"/>
          <w:szCs w:val="22"/>
        </w:rPr>
        <w:t xml:space="preserve">National Ranked-Choice Vote</w:t>
      </w:r>
    </w:p>
    <w:p>
      <w:pPr>
        <w:spacing w:after="120" w:before="0"/>
        <w:ind w:left="431"/>
        <w:jc w:val="both"/>
      </w:pPr>
      <w:r>
        <w:rPr>
          <w:rFonts w:ascii="Garamond" w:cs="Garamond" w:eastAsia="Garamond" w:hAnsi="Garamond"/>
          <w:b w:val="false"/>
          <w:bCs w:val="false"/>
          <w:i w:val="false"/>
          <w:iCs w:val="false"/>
          <w:color w:val="2a2520"/>
          <w:sz w:val="22"/>
          <w:szCs w:val="22"/>
        </w:rPr>
        <w:t xml:space="preserve">Presidential elections use Ranked Choice Voting conducted nationally. Votes transfer until one candidate holds a majority of active ballots nationwide. A candidate must achieve both a national majority and broad geographic distribution under the combined score mechanism in §7.2.b. The Electoral Commission administers the national election and certifies results under §7.2.e.</w:t>
      </w:r>
    </w:p>
    <w:p>
      <w:pPr>
        <w:spacing w:after="60" w:before="200"/>
        <w:ind w:left="431"/>
        <w:jc w:val="left"/>
      </w:pPr>
      <w:r>
        <w:rPr>
          <w:rFonts w:ascii="Courier New" w:cs="Courier New" w:eastAsia="Courier New" w:hAnsi="Courier New"/>
          <w:b/>
          <w:bCs/>
          <w:color w:val="1B2A4A"/>
          <w:sz w:val="18"/>
          <w:szCs w:val="18"/>
        </w:rPr>
        <w:t xml:space="preserve">§7.2.b  </w:t>
      </w:r>
      <w:r>
        <w:rPr>
          <w:rFonts w:ascii="Garamond" w:cs="Garamond" w:eastAsia="Garamond" w:hAnsi="Garamond"/>
          <w:b/>
          <w:bCs/>
          <w:i w:val="false"/>
          <w:iCs w:val="false"/>
          <w:color w:val="1B2A4A"/>
          <w:sz w:val="22"/>
          <w:szCs w:val="22"/>
        </w:rPr>
        <w:t xml:space="preserve">The Combined Score</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no candidate achieves a national RCV majority, the combined score determines the winner. The combined score weights national first-preference totals at 65% and regional performance across the presidential election regions at 35%. The regional component requires a winning candidate to demonstrate support distributed across the Republic's geographic breadth, not only its most densely populated areas. The formula is published by statute and administered by the Electoral Commission. Where two candidates finish within 0.5 percentage points of each other on the final combined score, a runoff is required under §7.2.f.</w:t>
      </w:r>
    </w:p>
    <w:p>
      <w:pPr>
        <w:spacing w:after="60" w:before="200"/>
        <w:ind w:left="431"/>
        <w:jc w:val="left"/>
      </w:pPr>
      <w:r>
        <w:rPr>
          <w:rFonts w:ascii="Courier New" w:cs="Courier New" w:eastAsia="Courier New" w:hAnsi="Courier New"/>
          <w:b/>
          <w:bCs/>
          <w:color w:val="1B2A4A"/>
          <w:sz w:val="18"/>
          <w:szCs w:val="18"/>
        </w:rPr>
        <w:t xml:space="preserve">§7.2.c  </w:t>
      </w:r>
      <w:r>
        <w:rPr>
          <w:rFonts w:ascii="Garamond" w:cs="Garamond" w:eastAsia="Garamond" w:hAnsi="Garamond"/>
          <w:b/>
          <w:bCs/>
          <w:i w:val="false"/>
          <w:iCs w:val="false"/>
          <w:color w:val="1B2A4A"/>
          <w:sz w:val="22"/>
          <w:szCs w:val="22"/>
        </w:rPr>
        <w:t xml:space="preserve">Presidential Election Regions</w:t>
      </w:r>
    </w:p>
    <w:p>
      <w:pPr>
        <w:spacing w:after="120" w:before="0"/>
        <w:ind w:left="431"/>
        <w:jc w:val="both"/>
      </w:pPr>
      <w:r>
        <w:rPr>
          <w:rFonts w:ascii="Garamond" w:cs="Garamond" w:eastAsia="Garamond" w:hAnsi="Garamond"/>
          <w:b w:val="false"/>
          <w:bCs w:val="false"/>
          <w:i w:val="false"/>
          <w:iCs w:val="false"/>
          <w:color w:val="2a2520"/>
          <w:sz w:val="22"/>
          <w:szCs w:val="22"/>
        </w:rPr>
        <w:t xml:space="preserve">Presidential election regions provide the geographic breadth component of the combined score, ensuring that a winning candidate builds support across the Republic's geographic spread rather than only its population centres. The number of regions is defined by the Legislature by statute. Regions are drawn by the Regional Boundary Commission — a body constituted by lottery from State-maintained candidate pools — under the same criteria hierarchy that governs House redistricting. The Electoral Commission administers the election within the regions; it plays no role in drawing them.</w:t>
      </w:r>
    </w:p>
    <w:p>
      <w:pPr>
        <w:spacing w:after="60" w:before="200"/>
        <w:ind w:left="431"/>
        <w:jc w:val="left"/>
      </w:pPr>
      <w:r>
        <w:rPr>
          <w:rFonts w:ascii="Courier New" w:cs="Courier New" w:eastAsia="Courier New" w:hAnsi="Courier New"/>
          <w:b/>
          <w:bCs/>
          <w:color w:val="1B2A4A"/>
          <w:sz w:val="18"/>
          <w:szCs w:val="18"/>
        </w:rPr>
        <w:t xml:space="preserve">§7.2.c.i  </w:t>
      </w:r>
      <w:r>
        <w:rPr>
          <w:rFonts w:ascii="Garamond" w:cs="Garamond" w:eastAsia="Garamond" w:hAnsi="Garamond"/>
          <w:b/>
          <w:bCs/>
          <w:i w:val="false"/>
          <w:iCs w:val="false"/>
          <w:color w:val="1B2A4A"/>
          <w:sz w:val="22"/>
          <w:szCs w:val="22"/>
        </w:rPr>
        <w:t xml:space="preserve">State Candidate Pools</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State maintains a standing Regional Boundary Pool for each redistricting cycle. Any person may be placed into a State's Pool through the State's own constitutional or statutory process, provided they meet three eligibility requirements at the time of entry: at least five continuous years of Republic citizenship; at least five continuous years of residency in the State whose Pool they are entering; and no current elected office. The LI certifies eligibility before entry — ministerially, not selectively. States determine through their own process how candidates are nominated from among those eligible. An entrant who takes elected office after entering the Pool is ineligible to be drawn for so long as they hold that office; if drawn while in elected office, the JI draws a replacement from the same State's eligible Pool. The LI maintains each State's Pool as a public record on the NRS. No State infrastructure is required — States need only submit names to the LI for certification and pay their drawn representative during commission service.</w:t>
      </w:r>
    </w:p>
    <w:p>
      <w:pPr>
        <w:spacing w:after="60" w:before="200"/>
        <w:ind w:left="431"/>
        <w:jc w:val="left"/>
      </w:pPr>
      <w:r>
        <w:rPr>
          <w:rFonts w:ascii="Courier New" w:cs="Courier New" w:eastAsia="Courier New" w:hAnsi="Courier New"/>
          <w:b/>
          <w:bCs/>
          <w:color w:val="1B2A4A"/>
          <w:sz w:val="18"/>
          <w:szCs w:val="18"/>
        </w:rPr>
        <w:t xml:space="preserve">§7.2.c.ii  </w:t>
      </w:r>
      <w:r>
        <w:rPr>
          <w:rFonts w:ascii="Garamond" w:cs="Garamond" w:eastAsia="Garamond" w:hAnsi="Garamond"/>
          <w:b/>
          <w:bCs/>
          <w:i w:val="false"/>
          <w:iCs w:val="false"/>
          <w:color w:val="1B2A4A"/>
          <w:sz w:val="22"/>
          <w:szCs w:val="22"/>
        </w:rPr>
        <w:t xml:space="preserve">Annual Addition Cap</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State may add no more than five entrants to its Pool per calendar year during the pool-building period. Unused addition slots do not carry forward; a year with fewer than five additions simply has fewer, and unused capacity is permanently lost. If a pool member dies, becomes permanently incapacitated, or declines to remain in the Pool, their position is extinguished and is not replaced. No additional entry may compensate for attrition. The Pool at any draw consists exactly of those entrants added in prior years who remain eligible.</w:t>
      </w:r>
    </w:p>
    <w:p>
      <w:pPr>
        <w:spacing w:after="60" w:before="200"/>
        <w:ind w:left="431"/>
        <w:jc w:val="left"/>
      </w:pPr>
      <w:r>
        <w:rPr>
          <w:rFonts w:ascii="Courier New" w:cs="Courier New" w:eastAsia="Courier New" w:hAnsi="Courier New"/>
          <w:b/>
          <w:bCs/>
          <w:color w:val="1B2A4A"/>
          <w:sz w:val="18"/>
          <w:szCs w:val="18"/>
        </w:rPr>
        <w:t xml:space="preserve">§7.2.c.iii  </w:t>
      </w:r>
      <w:r>
        <w:rPr>
          <w:rFonts w:ascii="Garamond" w:cs="Garamond" w:eastAsia="Garamond" w:hAnsi="Garamond"/>
          <w:b/>
          <w:bCs/>
          <w:i w:val="false"/>
          <w:iCs w:val="false"/>
          <w:color w:val="1B2A4A"/>
          <w:sz w:val="22"/>
          <w:szCs w:val="22"/>
        </w:rPr>
        <w:t xml:space="preserve">Pool Health Monitoring</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LI monitors each State's Pool and publishes an annual Pool Status Report to the NRS. If any State's Pool falls below five eligible entrants, the LI publishes a Pool Health Notice — advisory, not compulsory. If a State's Pool is entirely empty at the time of the draw, that State's commission seat is vacant for that cycle. A State with a non-empty but small Pool proceeds to the draw from whatever eligible entrants it has.</w:t>
      </w:r>
    </w:p>
    <w:p>
      <w:pPr>
        <w:spacing w:after="60" w:before="200"/>
        <w:ind w:left="431"/>
        <w:jc w:val="left"/>
      </w:pPr>
      <w:r>
        <w:rPr>
          <w:rFonts w:ascii="Courier New" w:cs="Courier New" w:eastAsia="Courier New" w:hAnsi="Courier New"/>
          <w:b/>
          <w:bCs/>
          <w:color w:val="1B2A4A"/>
          <w:sz w:val="18"/>
          <w:szCs w:val="18"/>
        </w:rPr>
        <w:t xml:space="preserve">§7.2.c.iv  </w:t>
      </w:r>
      <w:r>
        <w:rPr>
          <w:rFonts w:ascii="Garamond" w:cs="Garamond" w:eastAsia="Garamond" w:hAnsi="Garamond"/>
          <w:b/>
          <w:bCs/>
          <w:i w:val="false"/>
          <w:iCs w:val="false"/>
          <w:color w:val="1B2A4A"/>
          <w:sz w:val="22"/>
          <w:szCs w:val="22"/>
        </w:rPr>
        <w:t xml:space="preserve">Commission Constitution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Following each decennial census, the JI constitutes the Regional Boundary Commission by public lottery, drawing one name by lot from each State's eligible Pool. The draw is held in a single public session, witnessed by a representative of each Inspectorate and three citizens selected by jury protocols, and certified jointly by all three Inspectorates in session. The session may be conducted remotely under parameters set by statute; remote participation does not affect the validity of the draw or the certification. The full draw is recorded to the NRS in real time. The commission is one member per State. No substitution or political appointment may replace a drawn member; replacements due to death, incapacitating illness, or disqualifying conflict of interest are drawn from the same State's eligible Pool by the same lottery procedure.</w:t>
      </w:r>
    </w:p>
    <w:p>
      <w:pPr>
        <w:spacing w:after="60" w:before="200"/>
        <w:ind w:left="431"/>
        <w:jc w:val="left"/>
      </w:pPr>
      <w:r>
        <w:rPr>
          <w:rFonts w:ascii="Courier New" w:cs="Courier New" w:eastAsia="Courier New" w:hAnsi="Courier New"/>
          <w:b/>
          <w:bCs/>
          <w:color w:val="1B2A4A"/>
          <w:sz w:val="18"/>
          <w:szCs w:val="18"/>
        </w:rPr>
        <w:t xml:space="preserve">§7.2.c.v  </w:t>
      </w:r>
      <w:r>
        <w:rPr>
          <w:rFonts w:ascii="Garamond" w:cs="Garamond" w:eastAsia="Garamond" w:hAnsi="Garamond"/>
          <w:b/>
          <w:bCs/>
          <w:i w:val="false"/>
          <w:iCs w:val="false"/>
          <w:color w:val="1B2A4A"/>
          <w:sz w:val="22"/>
          <w:szCs w:val="22"/>
        </w:rPr>
        <w:t xml:space="preserve">Commission Compensation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Commission members are compensated by their State for days in active session only. Service on the commission is temporary and session-based; no retainer, salary, or ongoing compensation is provided outside of active session days. The federal government reimburses each State for session compensation paid to its commission member. Reimbursement rates and procedures are established by statute. The identity of each drawn commission member and their days in session are published to the NRS.</w:t>
      </w:r>
    </w:p>
    <w:p>
      <w:pPr>
        <w:spacing w:after="60" w:before="200"/>
        <w:ind w:left="431"/>
        <w:jc w:val="left"/>
      </w:pPr>
      <w:r>
        <w:rPr>
          <w:rFonts w:ascii="Courier New" w:cs="Courier New" w:eastAsia="Courier New" w:hAnsi="Courier New"/>
          <w:b/>
          <w:bCs/>
          <w:color w:val="1B2A4A"/>
          <w:sz w:val="18"/>
          <w:szCs w:val="18"/>
        </w:rPr>
        <w:t xml:space="preserve">§7.2.c.vi  </w:t>
      </w:r>
      <w:r>
        <w:rPr>
          <w:rFonts w:ascii="Garamond" w:cs="Garamond" w:eastAsia="Garamond" w:hAnsi="Garamond"/>
          <w:b/>
          <w:bCs/>
          <w:i w:val="false"/>
          <w:iCs w:val="false"/>
          <w:color w:val="1B2A4A"/>
          <w:sz w:val="22"/>
          <w:szCs w:val="22"/>
        </w:rPr>
        <w:t xml:space="preserve">Drawing Criteria</w:t>
      </w:r>
    </w:p>
    <w:p>
      <w:pPr>
        <w:spacing w:after="120" w:before="0"/>
        <w:ind w:left="431"/>
        <w:jc w:val="both"/>
      </w:pPr>
      <w:r>
        <w:rPr>
          <w:rFonts w:ascii="Garamond" w:cs="Garamond" w:eastAsia="Garamond" w:hAnsi="Garamond"/>
          <w:b w:val="false"/>
          <w:bCs w:val="false"/>
          <w:i w:val="false"/>
          <w:iCs w:val="false"/>
          <w:color w:val="2a2520"/>
          <w:sz w:val="22"/>
          <w:szCs w:val="22"/>
        </w:rPr>
        <w:t xml:space="preserve">Regional boundaries must meet the following criteria in order of precedence: (1) Population balance — broadly equal citizen population within a Legislature-defined tolerance. (2) Geographic contiguity — each region must be a single contiguous territory. (3) Non-discrimination — no region may dilute the voting power of any group protected under §1.9. (4) Reasonable compactness — no geometrically incoherent shapes. (5) State integrity — follow State lines where practicable; minimize inter-State subdivisions where subdivision is required. The commission may not consider partisan affiliation, voting history, or political geography. All deliberations, working maps, and proposals must be published to the NRS throughout the process.</w:t>
      </w:r>
    </w:p>
    <w:p>
      <w:pPr>
        <w:spacing w:after="60" w:before="200"/>
        <w:ind w:left="431"/>
        <w:jc w:val="left"/>
      </w:pPr>
      <w:r>
        <w:rPr>
          <w:rFonts w:ascii="Courier New" w:cs="Courier New" w:eastAsia="Courier New" w:hAnsi="Courier New"/>
          <w:b/>
          <w:bCs/>
          <w:color w:val="1B2A4A"/>
          <w:sz w:val="18"/>
          <w:szCs w:val="18"/>
        </w:rPr>
        <w:t xml:space="preserve">§7.2.c.vii  </w:t>
      </w:r>
      <w:r>
        <w:rPr>
          <w:rFonts w:ascii="Garamond" w:cs="Garamond" w:eastAsia="Garamond" w:hAnsi="Garamond"/>
          <w:b/>
          <w:bCs/>
          <w:i w:val="false"/>
          <w:iCs w:val="false"/>
          <w:color w:val="1B2A4A"/>
          <w:sz w:val="22"/>
          <w:szCs w:val="22"/>
        </w:rPr>
        <w:t xml:space="preserve">Drawing Process and Timeline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commission must submit a proposed regional map to the LI within 180 days of constitution. The commission operates by simple majority vote. A 30-day public comment period opens when the draft map is published to the NRS; any citizen or State government may submit commentary, and the commission must publish a written response before submitting the final map. The Legislature sets by statute the parameters under which the commission conducts its working sessions, including: authorization of and requirements for remote participation; quorum and voting requirements; secure platform and data access specifications; and any other operational parameters. The Legislature may not set parameters that prevent effective deliberation or impose undue burden on members. The commission remains constituted until a final map is certified through the review and challenge processes in §7.2.c.viii and §7.2.c.ix, then dissolves.</w:t>
      </w:r>
    </w:p>
    <w:p>
      <w:pPr>
        <w:spacing w:after="60" w:before="200"/>
        <w:ind w:left="431"/>
        <w:jc w:val="left"/>
      </w:pPr>
      <w:r>
        <w:rPr>
          <w:rFonts w:ascii="Courier New" w:cs="Courier New" w:eastAsia="Courier New" w:hAnsi="Courier New"/>
          <w:b/>
          <w:bCs/>
          <w:color w:val="1B2A4A"/>
          <w:sz w:val="18"/>
          <w:szCs w:val="18"/>
        </w:rPr>
        <w:t xml:space="preserve">§7.2.c.viii  </w:t>
      </w:r>
      <w:r>
        <w:rPr>
          <w:rFonts w:ascii="Garamond" w:cs="Garamond" w:eastAsia="Garamond" w:hAnsi="Garamond"/>
          <w:b/>
          <w:bCs/>
          <w:i w:val="false"/>
          <w:iCs w:val="false"/>
          <w:color w:val="1B2A4A"/>
          <w:sz w:val="22"/>
          <w:szCs w:val="22"/>
        </w:rPr>
        <w:t xml:space="preserve">LI Compliance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LI reviews the submitted map within 60 days for compliance with the §7.2.c.vi criteria. If compliant, the LI certifies it and publishes the certification to the NRS. If the map fails, the LI publishes specific findings and returns it to the commission, which has 30 days to submit a corrected map. If the corrected map still fails, the LI draws a compliant interim map; the interim map governs the next presidential election while the commission completes a further correction cycle. The LI may not draw a permanent map.</w:t>
      </w:r>
    </w:p>
    <w:p>
      <w:pPr>
        <w:spacing w:after="60" w:before="200"/>
        <w:ind w:left="431"/>
        <w:jc w:val="left"/>
      </w:pPr>
      <w:r>
        <w:rPr>
          <w:rFonts w:ascii="Courier New" w:cs="Courier New" w:eastAsia="Courier New" w:hAnsi="Courier New"/>
          <w:b/>
          <w:bCs/>
          <w:color w:val="1B2A4A"/>
          <w:sz w:val="18"/>
          <w:szCs w:val="18"/>
        </w:rPr>
        <w:t xml:space="preserve">§7.2.c.ix  </w:t>
      </w:r>
      <w:r>
        <w:rPr>
          <w:rFonts w:ascii="Garamond" w:cs="Garamond" w:eastAsia="Garamond" w:hAnsi="Garamond"/>
          <w:b/>
          <w:bCs/>
          <w:i w:val="false"/>
          <w:iCs w:val="false"/>
          <w:color w:val="1B2A4A"/>
          <w:sz w:val="22"/>
          <w:szCs w:val="22"/>
        </w:rPr>
        <w:t xml:space="preserve">Judicial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Any citizen, State government, or parliamentary minority of one-third may challenge a certified regional map by petitioning the Supreme Court within 60 days of LI certification. The Court reviews criteria application — not map preference. A successful challenge returns the map to the commission with the Court's findings attached.</w:t>
      </w:r>
    </w:p>
    <w:p>
      <w:pPr>
        <w:spacing w:after="60" w:before="200"/>
        <w:ind w:left="431"/>
        <w:jc w:val="left"/>
      </w:pPr>
      <w:r>
        <w:rPr>
          <w:rFonts w:ascii="Courier New" w:cs="Courier New" w:eastAsia="Courier New" w:hAnsi="Courier New"/>
          <w:b/>
          <w:bCs/>
          <w:color w:val="1B2A4A"/>
          <w:sz w:val="18"/>
          <w:szCs w:val="18"/>
        </w:rPr>
        <w:t xml:space="preserve">§7.2.c.x  </w:t>
      </w:r>
      <w:r>
        <w:rPr>
          <w:rFonts w:ascii="Garamond" w:cs="Garamond" w:eastAsia="Garamond" w:hAnsi="Garamond"/>
          <w:b/>
          <w:bCs/>
          <w:i w:val="false"/>
          <w:iCs w:val="false"/>
          <w:color w:val="1B2A4A"/>
          <w:sz w:val="22"/>
          <w:szCs w:val="22"/>
        </w:rPr>
        <w:t xml:space="preserve">Cycle and Timing</w:t>
      </w:r>
    </w:p>
    <w:p>
      <w:pPr>
        <w:spacing w:after="120" w:before="0"/>
        <w:ind w:left="431"/>
        <w:jc w:val="both"/>
      </w:pPr>
      <w:r>
        <w:rPr>
          <w:rFonts w:ascii="Garamond" w:cs="Garamond" w:eastAsia="Garamond" w:hAnsi="Garamond"/>
          <w:b w:val="false"/>
          <w:bCs w:val="false"/>
          <w:i w:val="false"/>
          <w:iCs w:val="false"/>
          <w:color w:val="2a2520"/>
          <w:sz w:val="22"/>
          <w:szCs w:val="22"/>
        </w:rPr>
        <w:t xml:space="preserve">Regional boundaries are redrawn following each decennial census, on the same cycle as House redistricting; the §8.1.a census triggers both simultaneously. Regions in effect at the time of any presidential election govern that election. No mid-cycle redraw may occur except pursuant to §7.2.c.ix or §7.2.c.viii. The Legislature establishes by statute the precise timing of the pool-building window — when each State's Pool opens following completion of the prior redistricting cycle, and when it closes before the draw. Once established, the statutory timing may not be altered for a minimum of two complete redistricting cycles, preventing legislative manipulation of the pool-building window to affect a forthcoming draw.</w:t>
      </w:r>
    </w:p>
    <w:p>
      <w:pPr>
        <w:spacing w:after="60" w:before="200"/>
        <w:ind w:left="431"/>
        <w:jc w:val="left"/>
      </w:pPr>
      <w:r>
        <w:rPr>
          <w:rFonts w:ascii="Courier New" w:cs="Courier New" w:eastAsia="Courier New" w:hAnsi="Courier New"/>
          <w:b/>
          <w:bCs/>
          <w:color w:val="1B2A4A"/>
          <w:sz w:val="18"/>
          <w:szCs w:val="18"/>
        </w:rPr>
        <w:t xml:space="preserve">§7.2.d  </w:t>
      </w:r>
      <w:r>
        <w:rPr>
          <w:rFonts w:ascii="Garamond" w:cs="Garamond" w:eastAsia="Garamond" w:hAnsi="Garamond"/>
          <w:b/>
          <w:bCs/>
          <w:i w:val="false"/>
          <w:iCs w:val="false"/>
          <w:color w:val="1B2A4A"/>
          <w:sz w:val="22"/>
          <w:szCs w:val="22"/>
        </w:rPr>
        <w:t xml:space="preserve">Territory Presidential Voting</w:t>
      </w:r>
    </w:p>
    <w:p>
      <w:pPr>
        <w:spacing w:after="120" w:before="0"/>
        <w:ind w:left="431"/>
        <w:jc w:val="both"/>
      </w:pPr>
      <w:r>
        <w:rPr>
          <w:rFonts w:ascii="Garamond" w:cs="Garamond" w:eastAsia="Garamond" w:hAnsi="Garamond"/>
          <w:b w:val="false"/>
          <w:bCs w:val="false"/>
          <w:i w:val="false"/>
          <w:iCs w:val="false"/>
          <w:color w:val="2a2520"/>
          <w:sz w:val="22"/>
          <w:szCs w:val="22"/>
        </w:rPr>
        <w:t xml:space="preserve">Territory citizens hold the full §1.20 right to vote in presidential elections. Their votes count in the national first-preference total — the 65% component of the combined score — but Territories are not assigned to presidential election regions and do not contribute to the 35% regional breadth component. The regional breadth measure reflects the geographic distribution of the Republic's State structure. Territory citizens participate fully in the national democratic mandate; they do not give Territories a footprint in the regional component that States earn through the Statehood process.</w:t>
      </w:r>
    </w:p>
    <w:p>
      <w:pPr>
        <w:spacing w:after="60" w:before="200"/>
        <w:ind w:left="431"/>
        <w:jc w:val="left"/>
      </w:pPr>
      <w:r>
        <w:rPr>
          <w:rFonts w:ascii="Courier New" w:cs="Courier New" w:eastAsia="Courier New" w:hAnsi="Courier New"/>
          <w:b/>
          <w:bCs/>
          <w:color w:val="1B2A4A"/>
          <w:sz w:val="18"/>
          <w:szCs w:val="18"/>
        </w:rPr>
        <w:t xml:space="preserve">§7.2.e  </w:t>
      </w:r>
      <w:r>
        <w:rPr>
          <w:rFonts w:ascii="Garamond" w:cs="Garamond" w:eastAsia="Garamond" w:hAnsi="Garamond"/>
          <w:b/>
          <w:bCs/>
          <w:i w:val="false"/>
          <w:iCs w:val="false"/>
          <w:color w:val="1B2A4A"/>
          <w:sz w:val="22"/>
          <w:szCs w:val="22"/>
        </w:rPr>
        <w:t xml:space="preserve">Election Certification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Electoral Commission certifies the final presidential election result to the NRS within a period the Legislature defines by statute. Certification is final and may be challenged only before the Supreme Court within 14 days. No transfer of presidential authority may be delayed beyond the constitutionally fixed moment.</w:t>
      </w:r>
    </w:p>
    <w:p>
      <w:pPr>
        <w:spacing w:after="60" w:before="200"/>
        <w:ind w:left="431"/>
        <w:jc w:val="left"/>
      </w:pPr>
      <w:r>
        <w:rPr>
          <w:rFonts w:ascii="Courier New" w:cs="Courier New" w:eastAsia="Courier New" w:hAnsi="Courier New"/>
          <w:b/>
          <w:bCs/>
          <w:color w:val="1B2A4A"/>
          <w:sz w:val="18"/>
          <w:szCs w:val="18"/>
        </w:rPr>
        <w:t xml:space="preserve">§7.2.f  </w:t>
      </w:r>
      <w:r>
        <w:rPr>
          <w:rFonts w:ascii="Garamond" w:cs="Garamond" w:eastAsia="Garamond" w:hAnsi="Garamond"/>
          <w:b/>
          <w:bCs/>
          <w:i w:val="false"/>
          <w:iCs w:val="false"/>
          <w:color w:val="1B2A4A"/>
          <w:sz w:val="22"/>
          <w:szCs w:val="22"/>
        </w:rPr>
        <w:t xml:space="preserve">Run-off</w:t>
      </w:r>
    </w:p>
    <w:p>
      <w:pPr>
        <w:spacing w:after="120" w:before="0"/>
        <w:ind w:left="431"/>
        <w:jc w:val="both"/>
      </w:pPr>
      <w:r>
        <w:rPr>
          <w:rFonts w:ascii="Garamond" w:cs="Garamond" w:eastAsia="Garamond" w:hAnsi="Garamond"/>
          <w:b w:val="false"/>
          <w:bCs w:val="false"/>
          <w:i w:val="false"/>
          <w:iCs w:val="false"/>
          <w:color w:val="2a2520"/>
          <w:sz w:val="22"/>
          <w:szCs w:val="22"/>
        </w:rPr>
        <w:t xml:space="preserve">If two candidates are within 0.5 percentage points of each other on the final combined score as calculated under §7.2.b, a head-to-head national RCV runoff is conducted between those two candidates. The runoff closes the edge-case gap where the combined score is mathematically indeterminate.</w:t>
      </w:r>
    </w:p>
    <w:p>
      <w:pPr>
        <w:spacing w:after="60" w:before="200"/>
        <w:ind w:left="431"/>
        <w:jc w:val="left"/>
      </w:pPr>
      <w:r>
        <w:rPr>
          <w:rFonts w:ascii="Courier New" w:cs="Courier New" w:eastAsia="Courier New" w:hAnsi="Courier New"/>
          <w:b/>
          <w:bCs/>
          <w:color w:val="1B2A4A"/>
          <w:sz w:val="18"/>
          <w:szCs w:val="18"/>
        </w:rPr>
        <w:t xml:space="preserve">§7.3  </w:t>
      </w:r>
      <w:r>
        <w:rPr>
          <w:rFonts w:ascii="Garamond" w:cs="Garamond" w:eastAsia="Garamond" w:hAnsi="Garamond"/>
          <w:b/>
          <w:bCs/>
          <w:i w:val="false"/>
          <w:iCs w:val="false"/>
          <w:color w:val="1B2A4A"/>
          <w:sz w:val="22"/>
          <w:szCs w:val="22"/>
        </w:rPr>
        <w:t xml:space="preserve">Legislative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Legislative elections are administered by the Electoral Commission free from executive interference. The National Voting System is the uniform platform for all federal elections.</w:t>
      </w:r>
    </w:p>
    <w:p>
      <w:pPr>
        <w:spacing w:after="60" w:before="200"/>
        <w:ind w:left="431"/>
        <w:jc w:val="left"/>
      </w:pPr>
      <w:r>
        <w:rPr>
          <w:rFonts w:ascii="Courier New" w:cs="Courier New" w:eastAsia="Courier New" w:hAnsi="Courier New"/>
          <w:b/>
          <w:bCs/>
          <w:color w:val="1B2A4A"/>
          <w:sz w:val="18"/>
          <w:szCs w:val="18"/>
        </w:rPr>
        <w:t xml:space="preserve">§7.3.a  </w:t>
      </w:r>
      <w:r>
        <w:rPr>
          <w:rFonts w:ascii="Garamond" w:cs="Garamond" w:eastAsia="Garamond" w:hAnsi="Garamond"/>
          <w:b/>
          <w:bCs/>
          <w:i w:val="false"/>
          <w:iCs w:val="false"/>
          <w:color w:val="1B2A4A"/>
          <w:sz w:val="22"/>
          <w:szCs w:val="22"/>
        </w:rPr>
        <w:t xml:space="preserve">No Executive Interference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may not declare, postpone, or influence the scheduling of elections — including declaring emergencies that have the effect of postponing them. §1.26.e's prohibition on emergency-based election postponement backs this up: even a genuine emergency cannot defer a scheduled election.</w:t>
      </w:r>
    </w:p>
    <w:p>
      <w:pPr>
        <w:spacing w:after="60" w:before="200"/>
        <w:ind w:left="431"/>
        <w:jc w:val="left"/>
      </w:pPr>
      <w:r>
        <w:rPr>
          <w:rFonts w:ascii="Courier New" w:cs="Courier New" w:eastAsia="Courier New" w:hAnsi="Courier New"/>
          <w:b/>
          <w:bCs/>
          <w:color w:val="1B2A4A"/>
          <w:sz w:val="18"/>
          <w:szCs w:val="18"/>
        </w:rPr>
        <w:t xml:space="preserve">§7.3.b  </w:t>
      </w:r>
      <w:r>
        <w:rPr>
          <w:rFonts w:ascii="Garamond" w:cs="Garamond" w:eastAsia="Garamond" w:hAnsi="Garamond"/>
          <w:b/>
          <w:bCs/>
          <w:i w:val="false"/>
          <w:iCs w:val="false"/>
          <w:color w:val="1B2A4A"/>
          <w:sz w:val="22"/>
          <w:szCs w:val="22"/>
        </w:rPr>
        <w:t xml:space="preserve">National Voting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Electoral Commission administers the National Voting System through which all federal elections and referenda are conducted. The NVS is constitutionally required to maintain ballot secrecy, public auditability, and resilience — properties defined in Article XVI creating a cross-constitutional guarantee.</w:t>
      </w:r>
    </w:p>
    <w:p>
      <w:pPr>
        <w:spacing w:after="60" w:before="200"/>
        <w:ind w:left="431"/>
        <w:jc w:val="left"/>
      </w:pPr>
      <w:r>
        <w:rPr>
          <w:rFonts w:ascii="Courier New" w:cs="Courier New" w:eastAsia="Courier New" w:hAnsi="Courier New"/>
          <w:b/>
          <w:bCs/>
          <w:color w:val="1B2A4A"/>
          <w:sz w:val="18"/>
          <w:szCs w:val="18"/>
        </w:rPr>
        <w:t xml:space="preserve">§7.3.c  </w:t>
      </w:r>
      <w:r>
        <w:rPr>
          <w:rFonts w:ascii="Garamond" w:cs="Garamond" w:eastAsia="Garamond" w:hAnsi="Garamond"/>
          <w:b/>
          <w:bCs/>
          <w:i w:val="false"/>
          <w:iCs w:val="false"/>
          <w:color w:val="1B2A4A"/>
          <w:sz w:val="22"/>
          <w:szCs w:val="22"/>
        </w:rPr>
        <w:t xml:space="preserve">Participation Protection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No State may take any action that reduces NVS access, functionality, or availability within its territory. State-level voter suppression — long lines, ID requirements that function as bars, polling place closures that reduce access — is constitutionally prohibited to the extent it reduces access for eligible citizens.</w:t>
      </w:r>
    </w:p>
    <w:p>
      <w:pPr>
        <w:spacing w:after="60" w:before="200"/>
        <w:jc w:val="left"/>
      </w:pPr>
      <w:r>
        <w:rPr>
          <w:rFonts w:ascii="Garamond" w:cs="Garamond" w:eastAsia="Garamond" w:hAnsi="Garamond"/>
          <w:b/>
          <w:bCs/>
          <w:i w:val="false"/>
          <w:iCs w:val="false"/>
          <w:color w:val="1B2A4A"/>
          <w:sz w:val="34"/>
          <w:szCs w:val="34"/>
        </w:rPr>
        <w:t xml:space="preserve">Article VIII — Inspectorates and the State Designee Panel</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§8.1  </w:t>
      </w:r>
      <w:r>
        <w:rPr>
          <w:rFonts w:ascii="Garamond" w:cs="Garamond" w:eastAsia="Garamond" w:hAnsi="Garamond"/>
          <w:b/>
          <w:bCs/>
          <w:i w:val="false"/>
          <w:iCs w:val="false"/>
          <w:color w:val="1B2A4A"/>
          <w:sz w:val="22"/>
          <w:szCs w:val="22"/>
        </w:rPr>
        <w:t xml:space="preserve">Three Inspectorates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maintains three constitutionally independent Inspectorates — Legislative, Executive, and Judicial — each selected by branches other than those it oversees. The Inspectorates hold an information-only mandate: they publish findings but do not issue binding orders. Each Inspector General serves a 10-year non-renewable term with a constitutionally protected funding floor.</w:t>
      </w:r>
    </w:p>
    <w:p>
      <w:pPr>
        <w:spacing w:after="60" w:before="200"/>
        <w:ind w:left="431"/>
        <w:jc w:val="left"/>
      </w:pPr>
      <w:r>
        <w:rPr>
          <w:rFonts w:ascii="Courier New" w:cs="Courier New" w:eastAsia="Courier New" w:hAnsi="Courier New"/>
          <w:b/>
          <w:bCs/>
          <w:color w:val="1B2A4A"/>
          <w:sz w:val="18"/>
          <w:szCs w:val="18"/>
        </w:rPr>
        <w:t xml:space="preserve">§8.1.a  </w:t>
      </w:r>
      <w:r>
        <w:rPr>
          <w:rFonts w:ascii="Garamond" w:cs="Garamond" w:eastAsia="Garamond" w:hAnsi="Garamond"/>
          <w:b/>
          <w:bCs/>
          <w:i w:val="false"/>
          <w:iCs w:val="false"/>
          <w:color w:val="1B2A4A"/>
          <w:sz w:val="22"/>
          <w:szCs w:val="22"/>
        </w:rPr>
        <w:t xml:space="preserve">The Legislative Inspectorate (LI)</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LI audits the Legislature for fiscal accuracy, constitutional compliance, and NRS integrity. Conducts the population census (assigned to the LI because the census determines House seat allocation — giving this to a body nominated by the House would be a direct conflict of interest). Reviews House district maps. Publishes germaneness analyses. Annual compliance report published to the NRS. Determines referendum eligibility for citizen-initiated repeal petitions under §11.1.b.</w:t>
      </w:r>
    </w:p>
    <w:p>
      <w:pPr>
        <w:spacing w:after="60" w:before="200"/>
        <w:ind w:left="431"/>
        <w:jc w:val="left"/>
      </w:pPr>
      <w:r>
        <w:rPr>
          <w:rFonts w:ascii="Courier New" w:cs="Courier New" w:eastAsia="Courier New" w:hAnsi="Courier New"/>
          <w:b/>
          <w:bCs/>
          <w:color w:val="1B2A4A"/>
          <w:sz w:val="18"/>
          <w:szCs w:val="18"/>
        </w:rPr>
        <w:t xml:space="preserve">§8.1.b  </w:t>
      </w:r>
      <w:r>
        <w:rPr>
          <w:rFonts w:ascii="Garamond" w:cs="Garamond" w:eastAsia="Garamond" w:hAnsi="Garamond"/>
          <w:b/>
          <w:bCs/>
          <w:i w:val="false"/>
          <w:iCs w:val="false"/>
          <w:color w:val="1B2A4A"/>
          <w:sz w:val="22"/>
          <w:szCs w:val="22"/>
        </w:rPr>
        <w:t xml:space="preserve">The Executive Inspectorate (EI)</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EI audits both executives and the Monetary Authority. Annual military compliance assessment: were Tier authorizations followed? Was §1.30.d Intelligence Firewall maintained? Were fund certifications observed? Publishes clemency background reports before any executive act. Reviews disclosure records for constitutional appointments.</w:t>
      </w:r>
    </w:p>
    <w:p>
      <w:pPr>
        <w:spacing w:after="60" w:before="200"/>
        <w:ind w:left="431"/>
        <w:jc w:val="left"/>
      </w:pPr>
      <w:r>
        <w:rPr>
          <w:rFonts w:ascii="Courier New" w:cs="Courier New" w:eastAsia="Courier New" w:hAnsi="Courier New"/>
          <w:b/>
          <w:bCs/>
          <w:color w:val="1B2A4A"/>
          <w:sz w:val="18"/>
          <w:szCs w:val="18"/>
        </w:rPr>
        <w:t xml:space="preserve">§8.1.c  </w:t>
      </w:r>
      <w:r>
        <w:rPr>
          <w:rFonts w:ascii="Garamond" w:cs="Garamond" w:eastAsia="Garamond" w:hAnsi="Garamond"/>
          <w:b/>
          <w:bCs/>
          <w:i w:val="false"/>
          <w:iCs w:val="false"/>
          <w:color w:val="1B2A4A"/>
          <w:sz w:val="22"/>
          <w:szCs w:val="22"/>
        </w:rPr>
        <w:t xml:space="preserve">The Judicial Inspectorate (JI)</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JI audits the courts for judicial scope and independence. Maintains the SC Candidate Registry. Vets judicial nominees and Electoral Commission candidates. Audits the Electoral Commission annually. Reviews accommodation compact compliance under §19.1, Associated Community compact compliance under Article XX, and Article XIV indigenous compact obligations. The JI's structural independence — selection by public lottery with no political nomination — makes it the appropriate body to administer all constitutional lottery draws and candidate certification functions throughout the Republic, in addition to its core judicial audit mandate. This dual role is a deliberate constitutional design choice, not an accumulation of functions by default.</w:t>
      </w:r>
    </w:p>
    <w:p>
      <w:pPr>
        <w:spacing w:after="60" w:before="200"/>
        <w:ind w:left="431"/>
        <w:jc w:val="left"/>
      </w:pPr>
      <w:r>
        <w:rPr>
          <w:rFonts w:ascii="Courier New" w:cs="Courier New" w:eastAsia="Courier New" w:hAnsi="Courier New"/>
          <w:b/>
          <w:bCs/>
          <w:color w:val="1B2A4A"/>
          <w:sz w:val="18"/>
          <w:szCs w:val="18"/>
        </w:rPr>
        <w:t xml:space="preserve">§8.2  </w:t>
      </w:r>
      <w:r>
        <w:rPr>
          <w:rFonts w:ascii="Garamond" w:cs="Garamond" w:eastAsia="Garamond" w:hAnsi="Garamond"/>
          <w:b/>
          <w:bCs/>
          <w:i w:val="false"/>
          <w:iCs w:val="false"/>
          <w:color w:val="1B2A4A"/>
          <w:sz w:val="22"/>
          <w:szCs w:val="22"/>
        </w:rPr>
        <w:t xml:space="preserve">Selection and Independence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Inspectorate is constituted through a cross-nomination process that structurally excludes the body being watched from selecting those who watch it. The Supreme Court nominates the LI Inspector General, confirmed by Senate 2/3 supermajority. The House nominates the EI Inspector General, confirmed by Senate simple majority with JI vetting. The JI Inspector General is selected by public lottery with no political nomination by any branch.</w:t>
      </w:r>
    </w:p>
    <w:p>
      <w:pPr>
        <w:spacing w:after="60" w:before="200"/>
        <w:ind w:left="431"/>
        <w:jc w:val="left"/>
      </w:pPr>
      <w:r>
        <w:rPr>
          <w:rFonts w:ascii="Courier New" w:cs="Courier New" w:eastAsia="Courier New" w:hAnsi="Courier New"/>
          <w:b/>
          <w:bCs/>
          <w:color w:val="1B2A4A"/>
          <w:sz w:val="18"/>
          <w:szCs w:val="18"/>
        </w:rPr>
        <w:t xml:space="preserve">§8.3  </w:t>
      </w:r>
      <w:r>
        <w:rPr>
          <w:rFonts w:ascii="Garamond" w:cs="Garamond" w:eastAsia="Garamond" w:hAnsi="Garamond"/>
          <w:b/>
          <w:bCs/>
          <w:i w:val="false"/>
          <w:iCs w:val="false"/>
          <w:color w:val="1B2A4A"/>
          <w:sz w:val="22"/>
          <w:szCs w:val="22"/>
        </w:rPr>
        <w:t xml:space="preserve">Inspector General Selection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Inspector General is selected through a cross-nomination process that excludes the body being watched, as specified in §8.3.a through §8.3.c.</w:t>
      </w:r>
    </w:p>
    <w:p>
      <w:pPr>
        <w:spacing w:after="60" w:before="200"/>
        <w:ind w:left="431"/>
        <w:jc w:val="left"/>
      </w:pPr>
      <w:r>
        <w:rPr>
          <w:rFonts w:ascii="Courier New" w:cs="Courier New" w:eastAsia="Courier New" w:hAnsi="Courier New"/>
          <w:b/>
          <w:bCs/>
          <w:color w:val="1B2A4A"/>
          <w:sz w:val="18"/>
          <w:szCs w:val="18"/>
        </w:rPr>
        <w:t xml:space="preserve">§8.3.a  </w:t>
      </w:r>
      <w:r>
        <w:rPr>
          <w:rFonts w:ascii="Garamond" w:cs="Garamond" w:eastAsia="Garamond" w:hAnsi="Garamond"/>
          <w:b/>
          <w:bCs/>
          <w:i w:val="false"/>
          <w:iCs w:val="false"/>
          <w:color w:val="1B2A4A"/>
          <w:sz w:val="22"/>
          <w:szCs w:val="22"/>
        </w:rPr>
        <w:t xml:space="preserve">Legislative IG</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LI Inspector General is nominated by the Supreme Court, confirmed by the Senate by 2/3 supermajority. The House is entirely excluded — the body whose seat allocation the census determines has no role in selecting the office that conducts the census. The 2/3 Senate threshold ensures the LI IG commands cross-party support.</w:t>
      </w:r>
    </w:p>
    <w:p>
      <w:pPr>
        <w:spacing w:after="60" w:before="200"/>
        <w:ind w:left="431"/>
        <w:jc w:val="left"/>
      </w:pPr>
      <w:r>
        <w:rPr>
          <w:rFonts w:ascii="Courier New" w:cs="Courier New" w:eastAsia="Courier New" w:hAnsi="Courier New"/>
          <w:b/>
          <w:bCs/>
          <w:color w:val="1B2A4A"/>
          <w:sz w:val="18"/>
          <w:szCs w:val="18"/>
        </w:rPr>
        <w:t xml:space="preserve">§8.3.b  </w:t>
      </w:r>
      <w:r>
        <w:rPr>
          <w:rFonts w:ascii="Garamond" w:cs="Garamond" w:eastAsia="Garamond" w:hAnsi="Garamond"/>
          <w:b/>
          <w:bCs/>
          <w:i w:val="false"/>
          <w:iCs w:val="false"/>
          <w:color w:val="1B2A4A"/>
          <w:sz w:val="22"/>
          <w:szCs w:val="22"/>
        </w:rPr>
        <w:t xml:space="preserve">Executive IG</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EI Inspector General is nominated by the House, confirmed by the Senate by simple majority, with JI vetting of the nominee's disclosure record before the confirmation vote. The House nominates the EI because the PM — whom the EI watches — is accountable to the House, creating structural alignment without giving the PM or President control over selection.</w:t>
      </w:r>
    </w:p>
    <w:p>
      <w:pPr>
        <w:spacing w:after="60" w:before="200"/>
        <w:ind w:left="431"/>
        <w:jc w:val="left"/>
      </w:pPr>
      <w:r>
        <w:rPr>
          <w:rFonts w:ascii="Courier New" w:cs="Courier New" w:eastAsia="Courier New" w:hAnsi="Courier New"/>
          <w:b/>
          <w:bCs/>
          <w:color w:val="1B2A4A"/>
          <w:sz w:val="18"/>
          <w:szCs w:val="18"/>
        </w:rPr>
        <w:t xml:space="preserve">§8.3.c  </w:t>
      </w:r>
      <w:r>
        <w:rPr>
          <w:rFonts w:ascii="Garamond" w:cs="Garamond" w:eastAsia="Garamond" w:hAnsi="Garamond"/>
          <w:b/>
          <w:bCs/>
          <w:i w:val="false"/>
          <w:iCs w:val="false"/>
          <w:color w:val="1B2A4A"/>
          <w:sz w:val="22"/>
          <w:szCs w:val="22"/>
        </w:rPr>
        <w:t xml:space="preserve">Term and Staggering</w:t>
      </w:r>
    </w:p>
    <w:p>
      <w:pPr>
        <w:spacing w:after="120" w:before="0"/>
        <w:ind w:left="431"/>
        <w:jc w:val="both"/>
      </w:pPr>
      <w:r>
        <w:rPr>
          <w:rFonts w:ascii="Garamond" w:cs="Garamond" w:eastAsia="Garamond" w:hAnsi="Garamond"/>
          <w:b w:val="false"/>
          <w:bCs w:val="false"/>
          <w:i w:val="false"/>
          <w:iCs w:val="false"/>
          <w:color w:val="2a2520"/>
          <w:sz w:val="22"/>
          <w:szCs w:val="22"/>
        </w:rPr>
        <w:t xml:space="preserve">All IGs serve 10-year non-renewable terms. No two IG terms may begin within 18 months of each other, ensuring continuous institutional knowledge. An outgoing IG may not be reappointed to the same office. The stagger means the system never faces simultaneous turnover in multiple offices.</w:t>
      </w:r>
    </w:p>
    <w:p>
      <w:pPr>
        <w:spacing w:after="60" w:before="200"/>
        <w:ind w:left="431"/>
        <w:jc w:val="left"/>
      </w:pPr>
      <w:r>
        <w:rPr>
          <w:rFonts w:ascii="Courier New" w:cs="Courier New" w:eastAsia="Courier New" w:hAnsi="Courier New"/>
          <w:b/>
          <w:bCs/>
          <w:color w:val="1B2A4A"/>
          <w:sz w:val="18"/>
          <w:szCs w:val="18"/>
        </w:rPr>
        <w:t xml:space="preserve">§8.4  </w:t>
      </w:r>
      <w:r>
        <w:rPr>
          <w:rFonts w:ascii="Garamond" w:cs="Garamond" w:eastAsia="Garamond" w:hAnsi="Garamond"/>
          <w:b/>
          <w:bCs/>
          <w:i w:val="false"/>
          <w:iCs w:val="false"/>
          <w:color w:val="1B2A4A"/>
          <w:sz w:val="22"/>
          <w:szCs w:val="22"/>
        </w:rPr>
        <w:t xml:space="preserve">Judicial Inspectorate — Audit and Certification Mandate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Judicial Inspectorate holds two constitutional mandates. First, as auditor: it monitors the court system, administers the SC candidate registry, and conducts compliance audits across compact obligations. Second, as certification administrator: it certifies lottery draws and panel selections throughout the constitution, including the State Designee Panel, the Regional Boundary Commission, and the RSA Technical Integrity Commission. Both mandates are informational only — the JI publishes findings and certifies processes; it does not issue binding orders or control outcomes.</w:t>
      </w:r>
    </w:p>
    <w:p>
      <w:pPr>
        <w:spacing w:after="60" w:before="200"/>
        <w:ind w:left="431"/>
        <w:jc w:val="left"/>
      </w:pPr>
      <w:r>
        <w:rPr>
          <w:rFonts w:ascii="Courier New" w:cs="Courier New" w:eastAsia="Courier New" w:hAnsi="Courier New"/>
          <w:b/>
          <w:bCs/>
          <w:color w:val="1B2A4A"/>
          <w:sz w:val="18"/>
          <w:szCs w:val="18"/>
        </w:rPr>
        <w:t xml:space="preserve">§8.4.a  </w:t>
      </w:r>
      <w:r>
        <w:rPr>
          <w:rFonts w:ascii="Garamond" w:cs="Garamond" w:eastAsia="Garamond" w:hAnsi="Garamond"/>
          <w:b/>
          <w:bCs/>
          <w:i w:val="false"/>
          <w:iCs w:val="false"/>
          <w:color w:val="1B2A4A"/>
          <w:sz w:val="22"/>
          <w:szCs w:val="22"/>
        </w:rPr>
        <w:t xml:space="preserve">Judicial IG Candidate Pool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JI Inspector General is drawn by public lottery from a qualified candidate pool. The outgoing JI IG administers the draw, witnessed by the other two IGs and three citizens chosen by jury protocols. Published to the NRS immediately. No political body nominates the JI IG — the most structurally independent selection mechanism in the constitution. Where there is no outgoing JI IG — on the first-ever selection or where the outgoing IG has been removed or is incapacitated — the draw is administered jointly by the LI and EI Inspector Generals.</w:t>
      </w:r>
    </w:p>
    <w:p>
      <w:pPr>
        <w:spacing w:after="60" w:before="200"/>
        <w:ind w:left="431"/>
        <w:jc w:val="left"/>
      </w:pPr>
      <w:r>
        <w:rPr>
          <w:rFonts w:ascii="Courier New" w:cs="Courier New" w:eastAsia="Courier New" w:hAnsi="Courier New"/>
          <w:b/>
          <w:bCs/>
          <w:color w:val="1B2A4A"/>
          <w:sz w:val="18"/>
          <w:szCs w:val="18"/>
        </w:rPr>
        <w:t xml:space="preserve">§8.4.b  </w:t>
      </w:r>
      <w:r>
        <w:rPr>
          <w:rFonts w:ascii="Garamond" w:cs="Garamond" w:eastAsia="Garamond" w:hAnsi="Garamond"/>
          <w:b/>
          <w:bCs/>
          <w:i w:val="false"/>
          <w:iCs w:val="false"/>
          <w:color w:val="1B2A4A"/>
          <w:sz w:val="22"/>
          <w:szCs w:val="22"/>
        </w:rPr>
        <w:t xml:space="preserve">JI Compact Compliance Audit</w:t>
      </w:r>
    </w:p>
    <w:p>
      <w:pPr>
        <w:spacing w:after="120" w:before="0"/>
        <w:ind w:left="431"/>
        <w:jc w:val="both"/>
      </w:pPr>
      <w:r>
        <w:rPr>
          <w:rFonts w:ascii="Garamond" w:cs="Garamond" w:eastAsia="Garamond" w:hAnsi="Garamond"/>
          <w:b w:val="false"/>
          <w:bCs w:val="false"/>
          <w:i w:val="false"/>
          <w:iCs w:val="false"/>
          <w:color w:val="2a2520"/>
          <w:sz w:val="22"/>
          <w:szCs w:val="22"/>
        </w:rPr>
        <w:t xml:space="preserve">Annual compliance reviews for §19.1 accommodation compacts, Article XX Associated Community compacts, and Article XIV indigenous compact obligations. The JI verifies that Article I rights protections are being maintained and that compact terms are being honored by both parties.</w:t>
      </w:r>
    </w:p>
    <w:p>
      <w:pPr>
        <w:spacing w:after="60" w:before="200"/>
        <w:ind w:left="431"/>
        <w:jc w:val="left"/>
      </w:pPr>
      <w:r>
        <w:rPr>
          <w:rFonts w:ascii="Courier New" w:cs="Courier New" w:eastAsia="Courier New" w:hAnsi="Courier New"/>
          <w:b/>
          <w:bCs/>
          <w:color w:val="1B2A4A"/>
          <w:sz w:val="18"/>
          <w:szCs w:val="18"/>
        </w:rPr>
        <w:t xml:space="preserve">§8.4.c  </w:t>
      </w:r>
      <w:r>
        <w:rPr>
          <w:rFonts w:ascii="Garamond" w:cs="Garamond" w:eastAsia="Garamond" w:hAnsi="Garamond"/>
          <w:b/>
          <w:bCs/>
          <w:i w:val="false"/>
          <w:iCs w:val="false"/>
          <w:color w:val="1B2A4A"/>
          <w:sz w:val="22"/>
          <w:szCs w:val="22"/>
        </w:rPr>
        <w:t xml:space="preserve">JI Court Operations Audit</w:t>
      </w:r>
    </w:p>
    <w:p>
      <w:pPr>
        <w:spacing w:after="120" w:before="0"/>
        <w:ind w:left="431"/>
        <w:jc w:val="both"/>
      </w:pPr>
      <w:r>
        <w:rPr>
          <w:rFonts w:ascii="Garamond" w:cs="Garamond" w:eastAsia="Garamond" w:hAnsi="Garamond"/>
          <w:b w:val="false"/>
          <w:bCs w:val="false"/>
          <w:i w:val="false"/>
          <w:iCs w:val="false"/>
          <w:color w:val="2a2520"/>
          <w:sz w:val="22"/>
          <w:szCs w:val="22"/>
        </w:rPr>
        <w:t xml:space="preserve">Annual audit of the court system for judicial scope compliance, independence from political pressure, and proper administration of judicial functions. The JI does not audit judicial reasoning — it audits whether courts are operating within their constitutional mandate and free from inappropriate influence.</w:t>
      </w:r>
    </w:p>
    <w:p>
      <w:pPr>
        <w:spacing w:after="60" w:before="200"/>
        <w:ind w:left="431"/>
        <w:jc w:val="left"/>
      </w:pPr>
      <w:r>
        <w:rPr>
          <w:rFonts w:ascii="Courier New" w:cs="Courier New" w:eastAsia="Courier New" w:hAnsi="Courier New"/>
          <w:b/>
          <w:bCs/>
          <w:color w:val="1B2A4A"/>
          <w:sz w:val="18"/>
          <w:szCs w:val="18"/>
        </w:rPr>
        <w:t xml:space="preserve">§8.4.d  </w:t>
      </w:r>
      <w:r>
        <w:rPr>
          <w:rFonts w:ascii="Garamond" w:cs="Garamond" w:eastAsia="Garamond" w:hAnsi="Garamond"/>
          <w:b/>
          <w:bCs/>
          <w:i w:val="false"/>
          <w:iCs w:val="false"/>
          <w:color w:val="1B2A4A"/>
          <w:sz w:val="22"/>
          <w:szCs w:val="22"/>
        </w:rPr>
        <w:t xml:space="preserve">JI Electoral Commission Audit</w:t>
      </w:r>
    </w:p>
    <w:p>
      <w:pPr>
        <w:spacing w:after="120" w:before="0"/>
        <w:ind w:left="431"/>
        <w:jc w:val="both"/>
      </w:pPr>
      <w:r>
        <w:rPr>
          <w:rFonts w:ascii="Garamond" w:cs="Garamond" w:eastAsia="Garamond" w:hAnsi="Garamond"/>
          <w:b w:val="false"/>
          <w:bCs w:val="false"/>
          <w:i w:val="false"/>
          <w:iCs w:val="false"/>
          <w:color w:val="2a2520"/>
          <w:sz w:val="22"/>
          <w:szCs w:val="22"/>
        </w:rPr>
        <w:t xml:space="preserve">Annual audit of the EC for electoral integrity compliance, administrative accuracy, and independence. Distinct from the EI's executive compliance audit — the JI focuses on electoral administration integrity. Published to the NRS as a standalone annual report.</w:t>
      </w:r>
    </w:p>
    <w:p>
      <w:pPr>
        <w:spacing w:after="60" w:before="200"/>
        <w:ind w:left="431"/>
        <w:jc w:val="left"/>
      </w:pPr>
      <w:r>
        <w:rPr>
          <w:rFonts w:ascii="Courier New" w:cs="Courier New" w:eastAsia="Courier New" w:hAnsi="Courier New"/>
          <w:b/>
          <w:bCs/>
          <w:color w:val="1B2A4A"/>
          <w:sz w:val="18"/>
          <w:szCs w:val="18"/>
        </w:rPr>
        <w:t xml:space="preserve">§8.4.e  </w:t>
      </w:r>
      <w:r>
        <w:rPr>
          <w:rFonts w:ascii="Garamond" w:cs="Garamond" w:eastAsia="Garamond" w:hAnsi="Garamond"/>
          <w:b/>
          <w:bCs/>
          <w:i w:val="false"/>
          <w:iCs w:val="false"/>
          <w:color w:val="1B2A4A"/>
          <w:sz w:val="22"/>
          <w:szCs w:val="22"/>
        </w:rPr>
        <w:t xml:space="preserve">Supreme Court Candidate Registry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JI maintains the standing registry from which SC candidates are drawn. Any citizen meeting the eligibility criteria (15+ years legal practice or 10+ years judicial service, no current government position, no disqualifying financial interest) may apply. Applications reviewed within 21 days. Registry inclusion does not expire. Publicly accessible on the NRS at all times.</w:t>
      </w:r>
    </w:p>
    <w:p>
      <w:pPr>
        <w:spacing w:after="60" w:before="200"/>
        <w:ind w:left="431"/>
        <w:jc w:val="left"/>
      </w:pPr>
      <w:r>
        <w:rPr>
          <w:rFonts w:ascii="Courier New" w:cs="Courier New" w:eastAsia="Courier New" w:hAnsi="Courier New"/>
          <w:b/>
          <w:bCs/>
          <w:color w:val="1B2A4A"/>
          <w:sz w:val="18"/>
          <w:szCs w:val="18"/>
        </w:rPr>
        <w:t xml:space="preserve">§8.4.f  </w:t>
      </w:r>
      <w:r>
        <w:rPr>
          <w:rFonts w:ascii="Garamond" w:cs="Garamond" w:eastAsia="Garamond" w:hAnsi="Garamond"/>
          <w:b/>
          <w:bCs/>
          <w:i w:val="false"/>
          <w:iCs w:val="false"/>
          <w:color w:val="1B2A4A"/>
          <w:sz w:val="22"/>
          <w:szCs w:val="22"/>
        </w:rPr>
        <w:t xml:space="preserve">JI Judicial Independence Audit</w:t>
      </w:r>
    </w:p>
    <w:p>
      <w:pPr>
        <w:spacing w:after="120" w:before="0"/>
        <w:ind w:left="431"/>
        <w:jc w:val="both"/>
      </w:pPr>
      <w:r>
        <w:rPr>
          <w:rFonts w:ascii="Garamond" w:cs="Garamond" w:eastAsia="Garamond" w:hAnsi="Garamond"/>
          <w:b w:val="false"/>
          <w:bCs w:val="false"/>
          <w:i w:val="false"/>
          <w:iCs w:val="false"/>
          <w:color w:val="2a2520"/>
          <w:sz w:val="22"/>
          <w:szCs w:val="22"/>
        </w:rPr>
        <w:t xml:space="preserve">Annual published audit of the entire court system. The JI audits the independence of the process, not judicial reasoning or outcomes: are judges free from political pressure? Are proper recusal procedures being followed? Are ex parte communications being reported? Are court appointments following constitutional processes?</w:t>
      </w:r>
    </w:p>
    <w:p>
      <w:pPr>
        <w:spacing w:after="60" w:before="200"/>
        <w:ind w:left="431"/>
        <w:jc w:val="left"/>
      </w:pPr>
      <w:r>
        <w:rPr>
          <w:rFonts w:ascii="Courier New" w:cs="Courier New" w:eastAsia="Courier New" w:hAnsi="Courier New"/>
          <w:b/>
          <w:bCs/>
          <w:color w:val="1B2A4A"/>
          <w:sz w:val="18"/>
          <w:szCs w:val="18"/>
        </w:rPr>
        <w:t xml:space="preserve">§8.4.g  </w:t>
      </w:r>
      <w:r>
        <w:rPr>
          <w:rFonts w:ascii="Garamond" w:cs="Garamond" w:eastAsia="Garamond" w:hAnsi="Garamond"/>
          <w:b/>
          <w:bCs/>
          <w:i w:val="false"/>
          <w:iCs w:val="false"/>
          <w:color w:val="1B2A4A"/>
          <w:sz w:val="22"/>
          <w:szCs w:val="22"/>
        </w:rPr>
        <w:t xml:space="preserve">SC Independence Assessment</w:t>
      </w:r>
    </w:p>
    <w:p>
      <w:pPr>
        <w:spacing w:after="120" w:before="0"/>
        <w:ind w:left="431"/>
        <w:jc w:val="both"/>
      </w:pPr>
      <w:r>
        <w:rPr>
          <w:rFonts w:ascii="Garamond" w:cs="Garamond" w:eastAsia="Garamond" w:hAnsi="Garamond"/>
          <w:b w:val="false"/>
          <w:bCs w:val="false"/>
          <w:i w:val="false"/>
          <w:iCs w:val="false"/>
          <w:color w:val="2a2520"/>
          <w:sz w:val="22"/>
          <w:szCs w:val="22"/>
        </w:rPr>
        <w:t xml:space="preserve">Within the annual judicial audit, the JI publishes a specific assessment of SC independence: the integrity of the SC election process; any attempts to influence SC candidates before election; any contacts between SC justices and political actors not disclosed to the NRS; the adequacy of the SC's internal disclosure protocols.</w:t>
      </w:r>
    </w:p>
    <w:p>
      <w:pPr>
        <w:spacing w:after="60" w:before="200"/>
        <w:ind w:left="431"/>
        <w:jc w:val="left"/>
      </w:pPr>
      <w:r>
        <w:rPr>
          <w:rFonts w:ascii="Courier New" w:cs="Courier New" w:eastAsia="Courier New" w:hAnsi="Courier New"/>
          <w:b/>
          <w:bCs/>
          <w:color w:val="1B2A4A"/>
          <w:sz w:val="18"/>
          <w:szCs w:val="18"/>
        </w:rPr>
        <w:t xml:space="preserve">§8.4.h  </w:t>
      </w:r>
      <w:r>
        <w:rPr>
          <w:rFonts w:ascii="Garamond" w:cs="Garamond" w:eastAsia="Garamond" w:hAnsi="Garamond"/>
          <w:b/>
          <w:bCs/>
          <w:i w:val="false"/>
          <w:iCs w:val="false"/>
          <w:color w:val="1B2A4A"/>
          <w:sz w:val="22"/>
          <w:szCs w:val="22"/>
        </w:rPr>
        <w:t xml:space="preserve">Inferior Court Compliance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JI audits inferior courts for compliance with their jurisdictional limits under §4.3.b. Courts that repeatedly exceed their jurisdictional scope, or demonstrate a pattern of failing to apply constitutional standards, are flagged in the JI annual report. The JI identifies systemic compliance issues for legislative or SC attention.</w:t>
      </w:r>
    </w:p>
    <w:p>
      <w:pPr>
        <w:spacing w:after="60" w:before="200"/>
        <w:ind w:left="431"/>
        <w:jc w:val="left"/>
      </w:pPr>
      <w:r>
        <w:rPr>
          <w:rFonts w:ascii="Courier New" w:cs="Courier New" w:eastAsia="Courier New" w:hAnsi="Courier New"/>
          <w:b/>
          <w:bCs/>
          <w:color w:val="1B2A4A"/>
          <w:sz w:val="18"/>
          <w:szCs w:val="18"/>
        </w:rPr>
        <w:t xml:space="preserve">§8.4.i  </w:t>
      </w:r>
      <w:r>
        <w:rPr>
          <w:rFonts w:ascii="Garamond" w:cs="Garamond" w:eastAsia="Garamond" w:hAnsi="Garamond"/>
          <w:b/>
          <w:bCs/>
          <w:i w:val="false"/>
          <w:iCs w:val="false"/>
          <w:color w:val="1B2A4A"/>
          <w:sz w:val="22"/>
          <w:szCs w:val="22"/>
        </w:rPr>
        <w:t xml:space="preserve">Gatekeeping Appeal</w:t>
      </w:r>
    </w:p>
    <w:p>
      <w:pPr>
        <w:spacing w:after="120" w:before="0"/>
        <w:ind w:left="431"/>
        <w:jc w:val="both"/>
      </w:pPr>
      <w:r>
        <w:rPr>
          <w:rFonts w:ascii="Garamond" w:cs="Garamond" w:eastAsia="Garamond" w:hAnsi="Garamond"/>
          <w:b w:val="false"/>
          <w:bCs w:val="false"/>
          <w:i w:val="false"/>
          <w:iCs w:val="false"/>
          <w:color w:val="2a2520"/>
          <w:sz w:val="22"/>
          <w:szCs w:val="22"/>
        </w:rPr>
        <w:t xml:space="preserve">Any candidate removed from a ballot by the JI's certification function may appeal to the Appellate Court within 14 days. The Court reviews only whether the JI correctly applied the eligibility criteria. Must rule within 21 days. If the removal is found improper, the candidate is reinstated to the ballot.</w:t>
      </w:r>
    </w:p>
    <w:p>
      <w:pPr>
        <w:spacing w:after="60" w:before="200"/>
        <w:ind w:left="431"/>
        <w:jc w:val="left"/>
      </w:pPr>
      <w:r>
        <w:rPr>
          <w:rFonts w:ascii="Courier New" w:cs="Courier New" w:eastAsia="Courier New" w:hAnsi="Courier New"/>
          <w:b/>
          <w:bCs/>
          <w:color w:val="1B2A4A"/>
          <w:sz w:val="18"/>
          <w:szCs w:val="18"/>
        </w:rPr>
        <w:t xml:space="preserve">§8.5  </w:t>
      </w:r>
      <w:r>
        <w:rPr>
          <w:rFonts w:ascii="Garamond" w:cs="Garamond" w:eastAsia="Garamond" w:hAnsi="Garamond"/>
          <w:b/>
          <w:bCs/>
          <w:i w:val="false"/>
          <w:iCs w:val="false"/>
          <w:color w:val="1B2A4A"/>
          <w:sz w:val="22"/>
          <w:szCs w:val="22"/>
        </w:rPr>
        <w:t xml:space="preserve">Inspector General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An Inspector General may be removed only through the mechanisms specified in this section.</w:t>
      </w:r>
    </w:p>
    <w:p>
      <w:pPr>
        <w:spacing w:after="60" w:before="200"/>
        <w:ind w:left="431"/>
        <w:jc w:val="left"/>
      </w:pPr>
      <w:r>
        <w:rPr>
          <w:rFonts w:ascii="Courier New" w:cs="Courier New" w:eastAsia="Courier New" w:hAnsi="Courier New"/>
          <w:b/>
          <w:bCs/>
          <w:color w:val="1B2A4A"/>
          <w:sz w:val="18"/>
          <w:szCs w:val="18"/>
        </w:rPr>
        <w:t xml:space="preserve">§8.5.a  </w:t>
      </w:r>
      <w:r>
        <w:rPr>
          <w:rFonts w:ascii="Garamond" w:cs="Garamond" w:eastAsia="Garamond" w:hAnsi="Garamond"/>
          <w:b/>
          <w:bCs/>
          <w:i w:val="false"/>
          <w:iCs w:val="false"/>
          <w:color w:val="1B2A4A"/>
          <w:sz w:val="22"/>
          <w:szCs w:val="22"/>
        </w:rPr>
        <w:t xml:space="preserve">For-Cause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For-cause removal of an Inspector General requires a 2/3 vote of both chambers simultaneously, preceded by a substantiated finding from a State Designee Panel under §8.9.f. Duty suspension triggers upon publication of a substantiated Panel finding, pending the legislative vote and any SC review.</w:t>
      </w:r>
    </w:p>
    <w:p>
      <w:pPr>
        <w:spacing w:after="60" w:before="200"/>
        <w:ind w:left="431"/>
        <w:jc w:val="left"/>
      </w:pPr>
      <w:r>
        <w:rPr>
          <w:rFonts w:ascii="Courier New" w:cs="Courier New" w:eastAsia="Courier New" w:hAnsi="Courier New"/>
          <w:b/>
          <w:bCs/>
          <w:color w:val="1B2A4A"/>
          <w:sz w:val="18"/>
          <w:szCs w:val="18"/>
        </w:rPr>
        <w:t xml:space="preserve">§8.5.b  </w:t>
      </w:r>
      <w:r>
        <w:rPr>
          <w:rFonts w:ascii="Garamond" w:cs="Garamond" w:eastAsia="Garamond" w:hAnsi="Garamond"/>
          <w:b/>
          <w:bCs/>
          <w:i w:val="false"/>
          <w:iCs w:val="false"/>
          <w:color w:val="1B2A4A"/>
          <w:sz w:val="22"/>
          <w:szCs w:val="22"/>
        </w:rPr>
        <w:t xml:space="preserve">No-Cause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Any IG may be removed without cause by 3/4 of both chambers simultaneously, except the Judicial Inspectorate IG under §8.5.c, whose lottery-based selection makes no-cause removal equivalent to a political veto over the draw result. The higher threshold (3/4 vs 2/3 for cause) ensures no-cause removal is used only when extraordinary circumstances make continued service untenable regardless of conduct.</w:t>
      </w:r>
    </w:p>
    <w:p>
      <w:pPr>
        <w:spacing w:after="60" w:before="200"/>
        <w:ind w:left="431"/>
        <w:jc w:val="left"/>
      </w:pPr>
      <w:r>
        <w:rPr>
          <w:rFonts w:ascii="Courier New" w:cs="Courier New" w:eastAsia="Courier New" w:hAnsi="Courier New"/>
          <w:b/>
          <w:bCs/>
          <w:color w:val="1B2A4A"/>
          <w:sz w:val="18"/>
          <w:szCs w:val="18"/>
        </w:rPr>
        <w:t xml:space="preserve">§8.5.c  </w:t>
      </w:r>
      <w:r>
        <w:rPr>
          <w:rFonts w:ascii="Garamond" w:cs="Garamond" w:eastAsia="Garamond" w:hAnsi="Garamond"/>
          <w:b/>
          <w:bCs/>
          <w:i w:val="false"/>
          <w:iCs w:val="false"/>
          <w:color w:val="1B2A4A"/>
          <w:sz w:val="22"/>
          <w:szCs w:val="22"/>
        </w:rPr>
        <w:t xml:space="preserve">Judicial IG — For-Cause Only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JI IG may only be removed for cause; no-cause removal is not available. The JI's lottery-based selection and its role in judicial independence oversight makes it the most insulated of the three offices.</w:t>
      </w:r>
    </w:p>
    <w:p>
      <w:pPr>
        <w:spacing w:after="60" w:before="200"/>
        <w:ind w:left="431"/>
        <w:jc w:val="left"/>
      </w:pPr>
      <w:r>
        <w:rPr>
          <w:rFonts w:ascii="Courier New" w:cs="Courier New" w:eastAsia="Courier New" w:hAnsi="Courier New"/>
          <w:b/>
          <w:bCs/>
          <w:color w:val="1B2A4A"/>
          <w:sz w:val="18"/>
          <w:szCs w:val="18"/>
        </w:rPr>
        <w:t xml:space="preserve">§8.6  </w:t>
      </w:r>
      <w:r>
        <w:rPr>
          <w:rFonts w:ascii="Garamond" w:cs="Garamond" w:eastAsia="Garamond" w:hAnsi="Garamond"/>
          <w:b/>
          <w:bCs/>
          <w:i w:val="false"/>
          <w:iCs w:val="false"/>
          <w:color w:val="1B2A4A"/>
          <w:sz w:val="22"/>
          <w:szCs w:val="22"/>
        </w:rPr>
        <w:t xml:space="preserve">Inspectorate Operations and Mandate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three Inspectorates operate under a shared information-only mandate: they observe, audit, and publish.</w:t>
      </w:r>
    </w:p>
    <w:p>
      <w:pPr>
        <w:spacing w:after="60" w:before="200"/>
        <w:ind w:left="431"/>
        <w:jc w:val="left"/>
      </w:pPr>
      <w:r>
        <w:rPr>
          <w:rFonts w:ascii="Courier New" w:cs="Courier New" w:eastAsia="Courier New" w:hAnsi="Courier New"/>
          <w:b/>
          <w:bCs/>
          <w:color w:val="1B2A4A"/>
          <w:sz w:val="18"/>
          <w:szCs w:val="18"/>
        </w:rPr>
        <w:t xml:space="preserve">§8.6.a  </w:t>
      </w:r>
      <w:r>
        <w:rPr>
          <w:rFonts w:ascii="Garamond" w:cs="Garamond" w:eastAsia="Garamond" w:hAnsi="Garamond"/>
          <w:b/>
          <w:bCs/>
          <w:i w:val="false"/>
          <w:iCs w:val="false"/>
          <w:color w:val="1B2A4A"/>
          <w:sz w:val="22"/>
          <w:szCs w:val="22"/>
        </w:rPr>
        <w:t xml:space="preserve">Information-Only Mandate</w:t>
      </w:r>
    </w:p>
    <w:p>
      <w:pPr>
        <w:spacing w:after="120" w:before="0"/>
        <w:ind w:left="431"/>
        <w:jc w:val="both"/>
      </w:pPr>
      <w:r>
        <w:rPr>
          <w:rFonts w:ascii="Garamond" w:cs="Garamond" w:eastAsia="Garamond" w:hAnsi="Garamond"/>
          <w:b w:val="false"/>
          <w:bCs w:val="false"/>
          <w:i w:val="false"/>
          <w:iCs w:val="false"/>
          <w:color w:val="2a2520"/>
          <w:sz w:val="22"/>
          <w:szCs w:val="22"/>
        </w:rPr>
        <w:t xml:space="preserve">Inspectorates publish facts; they do not issue binding orders or legal determinations. A finding that a government actor has breached the constitution is a factual statement, not a judgment.</w:t>
      </w:r>
    </w:p>
    <w:p>
      <w:pPr>
        <w:spacing w:after="60" w:before="200"/>
        <w:ind w:left="431"/>
        <w:jc w:val="left"/>
      </w:pPr>
      <w:r>
        <w:rPr>
          <w:rFonts w:ascii="Courier New" w:cs="Courier New" w:eastAsia="Courier New" w:hAnsi="Courier New"/>
          <w:b/>
          <w:bCs/>
          <w:color w:val="1B2A4A"/>
          <w:sz w:val="18"/>
          <w:szCs w:val="18"/>
        </w:rPr>
        <w:t xml:space="preserve">§8.6.b  </w:t>
      </w:r>
      <w:r>
        <w:rPr>
          <w:rFonts w:ascii="Garamond" w:cs="Garamond" w:eastAsia="Garamond" w:hAnsi="Garamond"/>
          <w:b/>
          <w:bCs/>
          <w:i w:val="false"/>
          <w:iCs w:val="false"/>
          <w:color w:val="1B2A4A"/>
          <w:sz w:val="22"/>
          <w:szCs w:val="22"/>
        </w:rPr>
        <w:t xml:space="preserve">NRS Publication Requirement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Inspectorate finding, report, and discrepancy notice must be published to the NRS permanently and free of charge. No official may suppress, delay, classify, or alter an Inspectorate Report before publication. The publication requirement is absolute.</w:t>
      </w:r>
    </w:p>
    <w:p>
      <w:pPr>
        <w:spacing w:after="60" w:before="200"/>
        <w:ind w:left="431"/>
        <w:jc w:val="left"/>
      </w:pPr>
      <w:r>
        <w:rPr>
          <w:rFonts w:ascii="Courier New" w:cs="Courier New" w:eastAsia="Courier New" w:hAnsi="Courier New"/>
          <w:b/>
          <w:bCs/>
          <w:color w:val="1B2A4A"/>
          <w:sz w:val="18"/>
          <w:szCs w:val="18"/>
        </w:rPr>
        <w:t xml:space="preserve">§8.6.c  </w:t>
      </w:r>
      <w:r>
        <w:rPr>
          <w:rFonts w:ascii="Garamond" w:cs="Garamond" w:eastAsia="Garamond" w:hAnsi="Garamond"/>
          <w:b/>
          <w:bCs/>
          <w:i w:val="false"/>
          <w:iCs w:val="false"/>
          <w:color w:val="1B2A4A"/>
          <w:sz w:val="22"/>
          <w:szCs w:val="22"/>
        </w:rPr>
        <w:t xml:space="preserve">Minority Reports</w:t>
      </w:r>
    </w:p>
    <w:p>
      <w:pPr>
        <w:spacing w:after="120" w:before="0"/>
        <w:ind w:left="431"/>
        <w:jc w:val="both"/>
      </w:pPr>
      <w:r>
        <w:rPr>
          <w:rFonts w:ascii="Garamond" w:cs="Garamond" w:eastAsia="Garamond" w:hAnsi="Garamond"/>
          <w:b w:val="false"/>
          <w:bCs w:val="false"/>
          <w:i w:val="false"/>
          <w:iCs w:val="false"/>
          <w:color w:val="2a2520"/>
          <w:sz w:val="22"/>
          <w:szCs w:val="22"/>
        </w:rPr>
        <w:t xml:space="preserve">Any staff member may publish a Minority Report directly to the NRS if they believe a finding has been improperly omitted or suppressed by the IG. Staff cannot be disciplined for filing a Minority Report — the protection is absolute. Creates an internal whistleblower mechanism within the Inspectorate's own accountability structure.</w:t>
      </w:r>
    </w:p>
    <w:p>
      <w:pPr>
        <w:spacing w:after="60" w:before="200"/>
        <w:ind w:left="431"/>
        <w:jc w:val="left"/>
      </w:pPr>
      <w:r>
        <w:rPr>
          <w:rFonts w:ascii="Courier New" w:cs="Courier New" w:eastAsia="Courier New" w:hAnsi="Courier New"/>
          <w:b/>
          <w:bCs/>
          <w:color w:val="1B2A4A"/>
          <w:sz w:val="18"/>
          <w:szCs w:val="18"/>
        </w:rPr>
        <w:t xml:space="preserve">§8.6.d  </w:t>
      </w:r>
      <w:r>
        <w:rPr>
          <w:rFonts w:ascii="Garamond" w:cs="Garamond" w:eastAsia="Garamond" w:hAnsi="Garamond"/>
          <w:b/>
          <w:bCs/>
          <w:i w:val="false"/>
          <w:iCs w:val="false"/>
          <w:color w:val="1B2A4A"/>
          <w:sz w:val="22"/>
          <w:szCs w:val="22"/>
        </w:rPr>
        <w:t xml:space="preserve">Classification Exemption for Inspectorate Reports</w:t>
      </w:r>
    </w:p>
    <w:p>
      <w:pPr>
        <w:spacing w:after="120" w:before="0"/>
        <w:ind w:left="431"/>
        <w:jc w:val="both"/>
      </w:pPr>
      <w:r>
        <w:rPr>
          <w:rFonts w:ascii="Garamond" w:cs="Garamond" w:eastAsia="Garamond" w:hAnsi="Garamond"/>
          <w:b w:val="false"/>
          <w:bCs w:val="false"/>
          <w:i w:val="false"/>
          <w:iCs w:val="false"/>
          <w:color w:val="2a2520"/>
          <w:sz w:val="22"/>
          <w:szCs w:val="22"/>
        </w:rPr>
        <w:t xml:space="preserve">Inspectorate Reports are permanently exempt from classification. If an investigation involves classified material, the Report describes the issue's nature without reproducing classified content and flags it for the relevant executive. The classification exemption is one of the few absolute rules in the constitution — it admits no national security exception.</w:t>
      </w:r>
    </w:p>
    <w:p>
      <w:pPr>
        <w:spacing w:after="60" w:before="200"/>
        <w:ind w:left="431"/>
        <w:jc w:val="left"/>
      </w:pPr>
      <w:r>
        <w:rPr>
          <w:rFonts w:ascii="Courier New" w:cs="Courier New" w:eastAsia="Courier New" w:hAnsi="Courier New"/>
          <w:b/>
          <w:bCs/>
          <w:color w:val="1B2A4A"/>
          <w:sz w:val="18"/>
          <w:szCs w:val="18"/>
        </w:rPr>
        <w:t xml:space="preserve">§8.6.e  </w:t>
      </w:r>
      <w:r>
        <w:rPr>
          <w:rFonts w:ascii="Garamond" w:cs="Garamond" w:eastAsia="Garamond" w:hAnsi="Garamond"/>
          <w:b/>
          <w:bCs/>
          <w:i w:val="false"/>
          <w:iCs w:val="false"/>
          <w:color w:val="1B2A4A"/>
          <w:sz w:val="22"/>
          <w:szCs w:val="22"/>
        </w:rPr>
        <w:t xml:space="preserve">Annual State of the Republic Report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three Inspectorates jointly publish an annual report on a constitutionally fixed date, regardless of whether any political actor requests it. Covers compliance rates, investigation summaries, constitutional strains, and a forward-looking risk register. No government actor may delay, suppress, or require advance review.</w:t>
      </w:r>
    </w:p>
    <w:p>
      <w:pPr>
        <w:spacing w:after="60" w:before="200"/>
        <w:ind w:left="431"/>
        <w:jc w:val="left"/>
      </w:pPr>
      <w:r>
        <w:rPr>
          <w:rFonts w:ascii="Courier New" w:cs="Courier New" w:eastAsia="Courier New" w:hAnsi="Courier New"/>
          <w:b/>
          <w:bCs/>
          <w:color w:val="1B2A4A"/>
          <w:sz w:val="18"/>
          <w:szCs w:val="18"/>
        </w:rPr>
        <w:t xml:space="preserve">§8.6.f  </w:t>
      </w:r>
      <w:r>
        <w:rPr>
          <w:rFonts w:ascii="Garamond" w:cs="Garamond" w:eastAsia="Garamond" w:hAnsi="Garamond"/>
          <w:b/>
          <w:bCs/>
          <w:i w:val="false"/>
          <w:iCs w:val="false"/>
          <w:color w:val="1B2A4A"/>
          <w:sz w:val="22"/>
          <w:szCs w:val="22"/>
        </w:rPr>
        <w:t xml:space="preserve">Joint Investigation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compliance question spans multiple Inspectorate mandates, the Inspectorates may conduct a joint investigation. Joint findings are published as a combined report. Neither IG may veto the other's contribution to a joint finding.</w:t>
      </w:r>
    </w:p>
    <w:p>
      <w:pPr>
        <w:spacing w:after="60" w:before="200"/>
        <w:ind w:left="431"/>
        <w:jc w:val="left"/>
      </w:pPr>
      <w:r>
        <w:rPr>
          <w:rFonts w:ascii="Courier New" w:cs="Courier New" w:eastAsia="Courier New" w:hAnsi="Courier New"/>
          <w:b/>
          <w:bCs/>
          <w:color w:val="1B2A4A"/>
          <w:sz w:val="18"/>
          <w:szCs w:val="18"/>
        </w:rPr>
        <w:t xml:space="preserve">§8.6.g  </w:t>
      </w:r>
      <w:r>
        <w:rPr>
          <w:rFonts w:ascii="Garamond" w:cs="Garamond" w:eastAsia="Garamond" w:hAnsi="Garamond"/>
          <w:b/>
          <w:bCs/>
          <w:i w:val="false"/>
          <w:iCs w:val="false"/>
          <w:color w:val="1B2A4A"/>
          <w:sz w:val="22"/>
          <w:szCs w:val="22"/>
        </w:rPr>
        <w:t xml:space="preserve">Investigative Access</w:t>
      </w:r>
    </w:p>
    <w:p>
      <w:pPr>
        <w:spacing w:after="120" w:before="0"/>
        <w:ind w:left="431"/>
        <w:jc w:val="both"/>
      </w:pPr>
      <w:r>
        <w:rPr>
          <w:rFonts w:ascii="Garamond" w:cs="Garamond" w:eastAsia="Garamond" w:hAnsi="Garamond"/>
          <w:b w:val="false"/>
          <w:bCs w:val="false"/>
          <w:i w:val="false"/>
          <w:iCs w:val="false"/>
          <w:color w:val="2a2520"/>
          <w:sz w:val="22"/>
          <w:szCs w:val="22"/>
        </w:rPr>
        <w:t xml:space="preserve">All three Inspectorates have unrestricted access to records, personnel, facilities, and systems within their audit mandate. No official may obstruct, delay, or impede an Inspectorate investigation. Obstruction is a constitutional breach reportable by the affected Inspectorate to the NRS.</w:t>
      </w:r>
    </w:p>
    <w:p>
      <w:pPr>
        <w:spacing w:after="60" w:before="200"/>
        <w:ind w:left="431"/>
        <w:jc w:val="left"/>
      </w:pPr>
      <w:r>
        <w:rPr>
          <w:rFonts w:ascii="Courier New" w:cs="Courier New" w:eastAsia="Courier New" w:hAnsi="Courier New"/>
          <w:b/>
          <w:bCs/>
          <w:color w:val="1B2A4A"/>
          <w:sz w:val="18"/>
          <w:szCs w:val="18"/>
        </w:rPr>
        <w:t xml:space="preserve">§8.7  </w:t>
      </w:r>
      <w:r>
        <w:rPr>
          <w:rFonts w:ascii="Garamond" w:cs="Garamond" w:eastAsia="Garamond" w:hAnsi="Garamond"/>
          <w:b/>
          <w:bCs/>
          <w:i w:val="false"/>
          <w:iCs w:val="false"/>
          <w:color w:val="1B2A4A"/>
          <w:sz w:val="22"/>
          <w:szCs w:val="22"/>
        </w:rPr>
        <w:t xml:space="preserve">Triggered Investigations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EI may investigate a constitutional officer for dereliction: failure to perform a constitutionally mandated function. Dereliction is distinct from breach — breach is doing something unconstitutional, dereliction is failing to do something constitutionally required. The EI publishes its dereliction findings to the NRS.</w:t>
      </w:r>
    </w:p>
    <w:p>
      <w:pPr>
        <w:spacing w:after="60" w:before="200"/>
        <w:ind w:left="431"/>
        <w:jc w:val="left"/>
      </w:pPr>
      <w:r>
        <w:rPr>
          <w:rFonts w:ascii="Courier New" w:cs="Courier New" w:eastAsia="Courier New" w:hAnsi="Courier New"/>
          <w:b/>
          <w:bCs/>
          <w:color w:val="1B2A4A"/>
          <w:sz w:val="18"/>
          <w:szCs w:val="18"/>
        </w:rPr>
        <w:t xml:space="preserve">§8.7.a  </w:t>
      </w:r>
      <w:r>
        <w:rPr>
          <w:rFonts w:ascii="Garamond" w:cs="Garamond" w:eastAsia="Garamond" w:hAnsi="Garamond"/>
          <w:b/>
          <w:bCs/>
          <w:i w:val="false"/>
          <w:iCs w:val="false"/>
          <w:color w:val="1B2A4A"/>
          <w:sz w:val="22"/>
          <w:szCs w:val="22"/>
        </w:rPr>
        <w:t xml:space="preserve">Official Trigger</w:t>
      </w:r>
    </w:p>
    <w:p>
      <w:pPr>
        <w:spacing w:after="120" w:before="0"/>
        <w:ind w:left="431"/>
        <w:jc w:val="both"/>
      </w:pPr>
      <w:r>
        <w:rPr>
          <w:rFonts w:ascii="Garamond" w:cs="Garamond" w:eastAsia="Garamond" w:hAnsi="Garamond"/>
          <w:b w:val="false"/>
          <w:bCs w:val="false"/>
          <w:i w:val="false"/>
          <w:iCs w:val="false"/>
          <w:color w:val="2a2520"/>
          <w:sz w:val="22"/>
          <w:szCs w:val="22"/>
        </w:rPr>
        <w:t xml:space="preserve">Dereliction requires: (a) the constitutional function is clearly established; (b) the officer failed to perform it within the constitutionally required period; and (c) the failure was not caused by circumstances genuinely beyond the officer's control. Political disagreement with a constitutional requirement is not a defense.</w:t>
      </w:r>
    </w:p>
    <w:p>
      <w:pPr>
        <w:spacing w:after="60" w:before="200"/>
        <w:ind w:left="431"/>
        <w:jc w:val="left"/>
      </w:pPr>
      <w:r>
        <w:rPr>
          <w:rFonts w:ascii="Courier New" w:cs="Courier New" w:eastAsia="Courier New" w:hAnsi="Courier New"/>
          <w:b/>
          <w:bCs/>
          <w:color w:val="1B2A4A"/>
          <w:sz w:val="18"/>
          <w:szCs w:val="18"/>
        </w:rPr>
        <w:t xml:space="preserve">§8.8  </w:t>
      </w:r>
      <w:r>
        <w:rPr>
          <w:rFonts w:ascii="Garamond" w:cs="Garamond" w:eastAsia="Garamond" w:hAnsi="Garamond"/>
          <w:b/>
          <w:bCs/>
          <w:i w:val="false"/>
          <w:iCs w:val="false"/>
          <w:color w:val="1B2A4A"/>
          <w:sz w:val="22"/>
          <w:szCs w:val="22"/>
        </w:rPr>
        <w:t xml:space="preserve">EI Annual Military Assessment</w:t>
      </w:r>
    </w:p>
    <w:p>
      <w:pPr>
        <w:spacing w:after="120" w:before="0"/>
        <w:ind w:left="431"/>
        <w:jc w:val="both"/>
      </w:pPr>
      <w:r>
        <w:rPr>
          <w:rFonts w:ascii="Garamond" w:cs="Garamond" w:eastAsia="Garamond" w:hAnsi="Garamond"/>
          <w:b w:val="false"/>
          <w:bCs w:val="false"/>
          <w:i w:val="false"/>
          <w:iCs w:val="false"/>
          <w:color w:val="2a2520"/>
          <w:sz w:val="22"/>
          <w:szCs w:val="22"/>
        </w:rPr>
        <w:t xml:space="preserve">A dedicated section within the EI's annual report covering: whether military operations in the prior year were authorized through the correct Tier; whether the §1.30.d Intelligence Firewall was maintained; whether PM fund certifications were obtained and observed; whether the 48-hour NRS publication requirement was met for all military orders.</w:t>
      </w:r>
    </w:p>
    <w:p>
      <w:pPr>
        <w:spacing w:after="60" w:before="200"/>
        <w:ind w:left="431"/>
        <w:jc w:val="left"/>
      </w:pPr>
      <w:r>
        <w:rPr>
          <w:rFonts w:ascii="Courier New" w:cs="Courier New" w:eastAsia="Courier New" w:hAnsi="Courier New"/>
          <w:b/>
          <w:bCs/>
          <w:color w:val="1B2A4A"/>
          <w:sz w:val="18"/>
          <w:szCs w:val="18"/>
        </w:rPr>
        <w:t xml:space="preserve">§8.9  </w:t>
      </w:r>
      <w:r>
        <w:rPr>
          <w:rFonts w:ascii="Garamond" w:cs="Garamond" w:eastAsia="Garamond" w:hAnsi="Garamond"/>
          <w:b/>
          <w:bCs/>
          <w:i w:val="false"/>
          <w:iCs w:val="false"/>
          <w:color w:val="1B2A4A"/>
          <w:sz w:val="22"/>
          <w:szCs w:val="22"/>
        </w:rPr>
        <w:t xml:space="preserve">State Designee Panel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State Designee Panel is a verification body constituted per proceeding whose sole constitutional function is to assess, prior to any qualifying For-Cause removal vote by the Legislature, whether the stated grounds for removal are substantiated within the enumerated constitutional categories. The Panel publishes a binary finding — grounds substantiated or grounds unsubstantiated — and the Legislature may proceed to any removal vote regardless of the finding's direction. The Panel has no investigative authority and no institutional presence outside of active proceedings. It is a verification body, not a court.</w:t>
      </w:r>
    </w:p>
    <w:p>
      <w:pPr>
        <w:spacing w:after="60" w:before="200"/>
        <w:ind w:left="431"/>
        <w:jc w:val="left"/>
      </w:pPr>
      <w:r>
        <w:rPr>
          <w:rFonts w:ascii="Courier New" w:cs="Courier New" w:eastAsia="Courier New" w:hAnsi="Courier New"/>
          <w:b/>
          <w:bCs/>
          <w:color w:val="1B2A4A"/>
          <w:sz w:val="18"/>
          <w:szCs w:val="18"/>
        </w:rPr>
        <w:t xml:space="preserve">§8.9.a  </w:t>
      </w:r>
      <w:r>
        <w:rPr>
          <w:rFonts w:ascii="Garamond" w:cs="Garamond" w:eastAsia="Garamond" w:hAnsi="Garamond"/>
          <w:b/>
          <w:bCs/>
          <w:i w:val="false"/>
          <w:iCs w:val="false"/>
          <w:color w:val="1B2A4A"/>
          <w:sz w:val="22"/>
          <w:szCs w:val="22"/>
        </w:rPr>
        <w:t xml:space="preserve">State Designee Pools</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State maintains a standing State Designee Pool. Any Republic citizen may be placed into a State's Pool through that State's own constitutional or statutory process, provided they meet the following eligibility requirements at the time of entry: (1) at least five continuous years of Republic citizenship; (2) no current federal elected or appointed office; (3) no federal elected or appointed office held within the three years prior to pool entry; (4) no pending federal criminal proceedings; (5) no current service in any Panel constituted under this Article. Pool membership is a public record maintained on the NRS by the LI. A member whose position is extinguished upon completing service in a proceeding may be re-added to the pool by their State in any subsequent calendar year within the annual addition cap.</w:t>
      </w:r>
    </w:p>
    <w:p>
      <w:pPr>
        <w:spacing w:after="60" w:before="200"/>
        <w:ind w:left="431"/>
        <w:jc w:val="left"/>
      </w:pPr>
      <w:r>
        <w:rPr>
          <w:rFonts w:ascii="Courier New" w:cs="Courier New" w:eastAsia="Courier New" w:hAnsi="Courier New"/>
          <w:b/>
          <w:bCs/>
          <w:color w:val="1B2A4A"/>
          <w:sz w:val="18"/>
          <w:szCs w:val="18"/>
        </w:rPr>
        <w:t xml:space="preserve">§8.9.b  </w:t>
      </w:r>
      <w:r>
        <w:rPr>
          <w:rFonts w:ascii="Garamond" w:cs="Garamond" w:eastAsia="Garamond" w:hAnsi="Garamond"/>
          <w:b/>
          <w:bCs/>
          <w:i w:val="false"/>
          <w:iCs w:val="false"/>
          <w:color w:val="1B2A4A"/>
          <w:sz w:val="22"/>
          <w:szCs w:val="22"/>
        </w:rPr>
        <w:t xml:space="preserve">Designee Pool Annual Addition Cap</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State may add no more than five entrants to its Pool per calendar year. Unused addition slots do not carry forward; a year with fewer than five additions simply has fewer, and unused capacity is permanently lost. If a pool member voluntarily withdraws, becomes ineligible, or is drawn to serve in a proceeding, their position is extinguished and not replaced outside of the normal annual addition process and the mandatory designation provision of §8.9.b.i.</w:t>
      </w:r>
    </w:p>
    <w:p>
      <w:pPr>
        <w:spacing w:after="60" w:before="200"/>
        <w:ind w:left="431"/>
        <w:jc w:val="left"/>
      </w:pPr>
      <w:r>
        <w:rPr>
          <w:rFonts w:ascii="Courier New" w:cs="Courier New" w:eastAsia="Courier New" w:hAnsi="Courier New"/>
          <w:b/>
          <w:bCs/>
          <w:color w:val="1B2A4A"/>
          <w:sz w:val="18"/>
          <w:szCs w:val="18"/>
        </w:rPr>
        <w:t xml:space="preserve">§8.9.b.i  </w:t>
      </w:r>
      <w:r>
        <w:rPr>
          <w:rFonts w:ascii="Garamond" w:cs="Garamond" w:eastAsia="Garamond" w:hAnsi="Garamond"/>
          <w:b/>
          <w:bCs/>
          <w:i w:val="false"/>
          <w:iCs w:val="false"/>
          <w:color w:val="1B2A4A"/>
          <w:sz w:val="22"/>
          <w:szCs w:val="22"/>
        </w:rPr>
        <w:t xml:space="preserve">Mandatory State Designation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If the combined national pool contains fewer than thirty eligible members at the time any proceeding is activated, or if any State has made zero additions to its Pool for three or more consecutive calendar years and its Pool contains fewer than two eligible members, the JI issues a Mandatory Designation Notice to each State meeting either condition. Each notified State must designate one eligible person to its Pool within ten days of the notice. Designated persons must meet all eligibility requirements of §8.9.a; the mandatory designation process does not lower the eligibility standard. Mandatory designations are not subject to the annual addition cap of §8.9.b and do not consume a voluntary addition slot. Failure to make a mandatory designation within the required period is a constitutional compliance failure flagged by the LI in the annual State of the Republic Report and in a standalone NRS notice. The EI assumes mandatory designation oversight when an LI IG removal proceeding is the triggering event.</w:t>
      </w:r>
    </w:p>
    <w:p>
      <w:pPr>
        <w:spacing w:after="60" w:before="200"/>
        <w:ind w:left="431"/>
        <w:jc w:val="left"/>
      </w:pPr>
      <w:r>
        <w:rPr>
          <w:rFonts w:ascii="Courier New" w:cs="Courier New" w:eastAsia="Courier New" w:hAnsi="Courier New"/>
          <w:b/>
          <w:bCs/>
          <w:color w:val="1B2A4A"/>
          <w:sz w:val="18"/>
          <w:szCs w:val="18"/>
        </w:rPr>
        <w:t xml:space="preserve">§8.9.c  </w:t>
      </w:r>
      <w:r>
        <w:rPr>
          <w:rFonts w:ascii="Garamond" w:cs="Garamond" w:eastAsia="Garamond" w:hAnsi="Garamond"/>
          <w:b/>
          <w:bCs/>
          <w:i w:val="false"/>
          <w:iCs w:val="false"/>
          <w:color w:val="1B2A4A"/>
          <w:sz w:val="22"/>
          <w:szCs w:val="22"/>
        </w:rPr>
        <w:t xml:space="preserve">Pool Monitoring</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LI monitors each State's Pool and publishes an annual Pool Status Report to the NRS. If any State's Pool falls below two eligible entrants, the LI publishes a Pool Health Notice — advisory, not compulsory. If the combined national pool falls below twenty eligible members at the time any proceeding is activated, the LI must convene an emergency pool-health session with State governments and publish its findings to the NRS within 30 days. A State's failure to maintain a pool is not a constitutional violation but is flagged in the annual State of the Republic Report. Exception: when an LI IG removal proceeding is active, the EI assumes pool monitoring duties for the duration of that proceeding.</w:t>
      </w:r>
    </w:p>
    <w:p>
      <w:pPr>
        <w:spacing w:after="60" w:before="200"/>
        <w:ind w:left="431"/>
        <w:jc w:val="left"/>
      </w:pPr>
      <w:r>
        <w:rPr>
          <w:rFonts w:ascii="Courier New" w:cs="Courier New" w:eastAsia="Courier New" w:hAnsi="Courier New"/>
          <w:b/>
          <w:bCs/>
          <w:color w:val="1B2A4A"/>
          <w:sz w:val="18"/>
          <w:szCs w:val="18"/>
        </w:rPr>
        <w:t xml:space="preserve">§8.9.d  </w:t>
      </w:r>
      <w:r>
        <w:rPr>
          <w:rFonts w:ascii="Garamond" w:cs="Garamond" w:eastAsia="Garamond" w:hAnsi="Garamond"/>
          <w:b/>
          <w:bCs/>
          <w:i w:val="false"/>
          <w:iCs w:val="false"/>
          <w:color w:val="1B2A4A"/>
          <w:sz w:val="22"/>
          <w:szCs w:val="22"/>
        </w:rPr>
        <w:t xml:space="preserve">Panel Constitution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Upon activation of a qualifying proceeding under §8.9.f, the JI constitutes the State Designee Panel by public lottery within five days of activation. The JI draws five members by lot from the combined national eligible pool — all State pools aggregated — plus two alternates, in a single session certified jointly by all three Inspectorates. The session may be conducted remotely under parameters set by statute. The full draw is recorded to the NRS in real time. Drawn members must accept or decline service within 48 hours of notification; a member who declines is replaced by the first available alternate in the order drawn. If both alternates are exhausted before five members have accepted, the JI conducts a supplemental draw from the remaining eligible pool by the same procedure. The Panel is constituted for the duration of the proceeding and dissolves upon publication of the finding under §8.9.h.</w:t>
      </w:r>
    </w:p>
    <w:p>
      <w:pPr>
        <w:spacing w:after="60" w:before="200"/>
        <w:ind w:left="431"/>
        <w:jc w:val="left"/>
      </w:pPr>
      <w:r>
        <w:rPr>
          <w:rFonts w:ascii="Courier New" w:cs="Courier New" w:eastAsia="Courier New" w:hAnsi="Courier New"/>
          <w:b/>
          <w:bCs/>
          <w:color w:val="1B2A4A"/>
          <w:sz w:val="18"/>
          <w:szCs w:val="18"/>
        </w:rPr>
        <w:t xml:space="preserve">§8.9.d.i  </w:t>
      </w:r>
      <w:r>
        <w:rPr>
          <w:rFonts w:ascii="Garamond" w:cs="Garamond" w:eastAsia="Garamond" w:hAnsi="Garamond"/>
          <w:b/>
          <w:bCs/>
          <w:i w:val="false"/>
          <w:iCs w:val="false"/>
          <w:color w:val="1B2A4A"/>
          <w:sz w:val="22"/>
          <w:szCs w:val="22"/>
        </w:rPr>
        <w:t xml:space="preserve">Draw Challenge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named officer subject to the proceeding, or the initiating body, may challenge a drawn member within 48 hours of NRS publication of the draw on grounds of a documented relationship or conflict of interest impairing impartiality. The JI rules on any challenge within 48 hours of filing. If sustained, the challenged member's seat is filled by the first available alternate in the order drawn; if no alternate remains, a supplemental draw is conducted. The 21-day review clock under §8.9.f is suspended during any pending challenge and resumes from the point of suspension upon JI ruling. No challenge may be filed solely on grounds of the member's State of origin, professional background, or prior pool membership.</w:t>
      </w:r>
    </w:p>
    <w:p>
      <w:pPr>
        <w:spacing w:after="60" w:before="200"/>
        <w:ind w:left="431"/>
        <w:jc w:val="left"/>
      </w:pPr>
      <w:r>
        <w:rPr>
          <w:rFonts w:ascii="Courier New" w:cs="Courier New" w:eastAsia="Courier New" w:hAnsi="Courier New"/>
          <w:b/>
          <w:bCs/>
          <w:color w:val="1B2A4A"/>
          <w:sz w:val="18"/>
          <w:szCs w:val="18"/>
        </w:rPr>
        <w:t xml:space="preserve">§8.9.e  </w:t>
      </w:r>
      <w:r>
        <w:rPr>
          <w:rFonts w:ascii="Garamond" w:cs="Garamond" w:eastAsia="Garamond" w:hAnsi="Garamond"/>
          <w:b/>
          <w:bCs/>
          <w:i w:val="false"/>
          <w:iCs w:val="false"/>
          <w:color w:val="1B2A4A"/>
          <w:sz w:val="22"/>
          <w:szCs w:val="22"/>
        </w:rPr>
        <w:t xml:space="preserve">Ongoing Eligibility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From the date a member accepts service through the date the Panel's finding is published, Panel members may not: assume any federal elected or appointed position; serve as retained legal counsel in any federal proceeding involving the Legislature, either executive, or any Inspectorate; or accept appointment to any State government executive position above the level of department director. Assumption of a disqualifying position extinguishes the seat; the first available alternate fills it in the order established at draw. A member may recuse themselves at any time; recusal extinguishes the seat without replacement beyond the available alternates.</w:t>
      </w:r>
    </w:p>
    <w:p>
      <w:pPr>
        <w:spacing w:after="60" w:before="200"/>
        <w:ind w:left="431"/>
        <w:jc w:val="left"/>
      </w:pPr>
      <w:r>
        <w:rPr>
          <w:rFonts w:ascii="Courier New" w:cs="Courier New" w:eastAsia="Courier New" w:hAnsi="Courier New"/>
          <w:b/>
          <w:bCs/>
          <w:color w:val="1B2A4A"/>
          <w:sz w:val="18"/>
          <w:szCs w:val="18"/>
        </w:rPr>
        <w:t xml:space="preserve">§8.9.f  </w:t>
      </w:r>
      <w:r>
        <w:rPr>
          <w:rFonts w:ascii="Garamond" w:cs="Garamond" w:eastAsia="Garamond" w:hAnsi="Garamond"/>
          <w:b/>
          <w:bCs/>
          <w:i w:val="false"/>
          <w:iCs w:val="false"/>
          <w:color w:val="1B2A4A"/>
          <w:sz w:val="22"/>
          <w:szCs w:val="22"/>
        </w:rPr>
        <w:t xml:space="preserve">Activation and Meeting Parameters</w:t>
      </w:r>
    </w:p>
    <w:p>
      <w:pPr>
        <w:spacing w:after="120" w:before="0"/>
        <w:ind w:left="431"/>
        <w:jc w:val="both"/>
      </w:pPr>
      <w:r>
        <w:rPr>
          <w:rFonts w:ascii="Garamond" w:cs="Garamond" w:eastAsia="Garamond" w:hAnsi="Garamond"/>
          <w:b w:val="false"/>
          <w:bCs w:val="false"/>
          <w:i w:val="false"/>
          <w:iCs w:val="false"/>
          <w:color w:val="2a2520"/>
          <w:sz w:val="22"/>
          <w:szCs w:val="22"/>
        </w:rPr>
        <w:t xml:space="preserve">A qualifying proceeding is initiated when the initiating body transmits the stated grounds and supporting documentary record to the JI, triggering the draw under §8.9.d. The 21-day review clock begins from the date the Panel is fully constituted — five members having accepted service and any draw challenges under §8.9.d.i having been resolved. The Legislature sets by statute the parameters under which the Panel conducts its review, including: authorization of and requirements for remote participation; quorum and voting requirements; secure platform specifications; and any other operational parameters. The Legislature may not set parameters that prevent effective deliberation or impose undue burden on members. The Panel may request additional documentary submissions from the initiating body within the first seven days of the review period; this does not extend the 21-day deadline. No submission received after day seven is required to be considered.</w:t>
      </w:r>
    </w:p>
    <w:p>
      <w:pPr>
        <w:spacing w:after="60" w:before="200"/>
        <w:ind w:left="431"/>
        <w:jc w:val="left"/>
      </w:pPr>
      <w:r>
        <w:rPr>
          <w:rFonts w:ascii="Courier New" w:cs="Courier New" w:eastAsia="Courier New" w:hAnsi="Courier New"/>
          <w:b/>
          <w:bCs/>
          <w:color w:val="1B2A4A"/>
          <w:sz w:val="18"/>
          <w:szCs w:val="18"/>
        </w:rPr>
        <w:t xml:space="preserve">§8.9.g  </w:t>
      </w:r>
      <w:r>
        <w:rPr>
          <w:rFonts w:ascii="Garamond" w:cs="Garamond" w:eastAsia="Garamond" w:hAnsi="Garamond"/>
          <w:b/>
          <w:bCs/>
          <w:i w:val="false"/>
          <w:iCs w:val="false"/>
          <w:color w:val="1B2A4A"/>
          <w:sz w:val="22"/>
          <w:szCs w:val="22"/>
        </w:rPr>
        <w:t xml:space="preserve">Scope of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Panel's review is categorical and bounded. The Panel determines only whether the stated grounds, as documented in the submitted record, constitute at least one of the enumerated constitutional categories for For-Cause removal applicable to the subject office. The Panel does not: independently investigate or gather evidence beyond the submitted record; assess the credibility of any witness or document; weigh competing factual accounts; evaluate whether removal is warranted as a policy matter; or issue any order, direction, or recommendation beyond the binary finding. The published finding states the conclusion and identifies which constitutional category or categories it finds present or absent in the submitted record.</w:t>
      </w:r>
    </w:p>
    <w:p>
      <w:pPr>
        <w:spacing w:after="60" w:before="200"/>
        <w:ind w:left="431"/>
        <w:jc w:val="left"/>
      </w:pPr>
      <w:r>
        <w:rPr>
          <w:rFonts w:ascii="Courier New" w:cs="Courier New" w:eastAsia="Courier New" w:hAnsi="Courier New"/>
          <w:b/>
          <w:bCs/>
          <w:color w:val="1B2A4A"/>
          <w:sz w:val="18"/>
          <w:szCs w:val="18"/>
        </w:rPr>
        <w:t xml:space="preserve">§8.9.h  </w:t>
      </w:r>
      <w:r>
        <w:rPr>
          <w:rFonts w:ascii="Garamond" w:cs="Garamond" w:eastAsia="Garamond" w:hAnsi="Garamond"/>
          <w:b/>
          <w:bCs/>
          <w:i w:val="false"/>
          <w:iCs w:val="false"/>
          <w:color w:val="1B2A4A"/>
          <w:sz w:val="22"/>
          <w:szCs w:val="22"/>
        </w:rPr>
        <w:t xml:space="preserve">Effect of Finding</w:t>
      </w:r>
    </w:p>
    <w:p>
      <w:pPr>
        <w:spacing w:after="120" w:before="0"/>
        <w:ind w:left="431"/>
        <w:jc w:val="both"/>
      </w:pPr>
      <w:r>
        <w:rPr>
          <w:rFonts w:ascii="Garamond" w:cs="Garamond" w:eastAsia="Garamond" w:hAnsi="Garamond"/>
          <w:b w:val="false"/>
          <w:bCs w:val="false"/>
          <w:i w:val="false"/>
          <w:iCs w:val="false"/>
          <w:color w:val="2a2520"/>
          <w:sz w:val="22"/>
          <w:szCs w:val="22"/>
        </w:rPr>
        <w:t xml:space="preserve">A finding of grounds substantiated: constitutes the condition precedent that authorizes the Legislature to proceed to a For-Cause removal vote at the applicable threshold; triggers the duty-suspension provisions of §8.5.a or §16.2.a as applicable; and is published permanently to the NRS alongside any subsequent legislative vote. A finding of grounds unsubstantiated: does not bar the Legislature from proceeding to a removal vote; is published permanently to the NRS alongside any subsequent legislative vote; and constitutes no legal determination as to the truth or falsity of the stated grounds. All constitutional voting thresholds for removal remain in effect regardless of the Panel's finding.</w:t>
      </w:r>
    </w:p>
    <w:p>
      <w:pPr>
        <w:spacing w:after="60" w:before="200"/>
        <w:ind w:left="431"/>
        <w:jc w:val="left"/>
      </w:pPr>
      <w:r>
        <w:rPr>
          <w:rFonts w:ascii="Courier New" w:cs="Courier New" w:eastAsia="Courier New" w:hAnsi="Courier New"/>
          <w:b/>
          <w:bCs/>
          <w:color w:val="1B2A4A"/>
          <w:sz w:val="18"/>
          <w:szCs w:val="18"/>
        </w:rPr>
        <w:t xml:space="preserve">§8.9.i  </w:t>
      </w:r>
      <w:r>
        <w:rPr>
          <w:rFonts w:ascii="Garamond" w:cs="Garamond" w:eastAsia="Garamond" w:hAnsi="Garamond"/>
          <w:b/>
          <w:bCs/>
          <w:i w:val="false"/>
          <w:iCs w:val="false"/>
          <w:color w:val="1B2A4A"/>
          <w:sz w:val="22"/>
          <w:szCs w:val="22"/>
        </w:rPr>
        <w:t xml:space="preserve">SC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Any named officer subject to a Panel finding may petition the Supreme Court for review within 14 days of NRS publication. The Court reviews only whether the Panel correctly applied the constitutional categories to the submitted record — it does not review the substance of the underlying grounds, the adequacy of the documentary record, or any subsequent legislative vote. A petition does not automatically stay a duty-suspension triggered by a substantiated finding; the Court may grant a temporary stay on a showing of probable constitutional error in the Panel's categorical determination. The Court must rule within 21 days of the petition. If the Court finds the Panel's determination constitutionally erroneous, the proceeding returns to the Panel for a corrected determination; the Legislature may not vote until the corrected determination is published.</w:t>
      </w:r>
    </w:p>
    <w:p>
      <w:pPr>
        <w:spacing w:after="60" w:before="200"/>
        <w:ind w:left="431"/>
        <w:jc w:val="left"/>
      </w:pPr>
      <w:r>
        <w:rPr>
          <w:rFonts w:ascii="Courier New" w:cs="Courier New" w:eastAsia="Courier New" w:hAnsi="Courier New"/>
          <w:b/>
          <w:bCs/>
          <w:color w:val="1B2A4A"/>
          <w:sz w:val="18"/>
          <w:szCs w:val="18"/>
        </w:rPr>
        <w:t xml:space="preserve">§8.9.j  </w:t>
      </w:r>
      <w:r>
        <w:rPr>
          <w:rFonts w:ascii="Garamond" w:cs="Garamond" w:eastAsia="Garamond" w:hAnsi="Garamond"/>
          <w:b/>
          <w:bCs/>
          <w:i w:val="false"/>
          <w:iCs w:val="false"/>
          <w:color w:val="1B2A4A"/>
          <w:sz w:val="22"/>
          <w:szCs w:val="22"/>
        </w:rPr>
        <w:t xml:space="preserve">Compensation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Panel members receive no compensation for pool membership. Members receive service-day compensation for each day of active service during a constituted proceeding, from the date of acceptance through the date of finding publication. Rates and any remote service equivalencies are set by statute. The member's State pays the service-day compensation; the federal government reimburses each State for compensation paid to its drawn member. Service-day records and compensation amounts are published to the NRS alongside each Panel finding.</w:t>
      </w:r>
    </w:p>
    <w:p>
      <w:pPr>
        <w:spacing w:after="60" w:before="200"/>
        <w:ind w:left="431"/>
        <w:jc w:val="left"/>
      </w:pPr>
      <w:r>
        <w:rPr>
          <w:rFonts w:ascii="Courier New" w:cs="Courier New" w:eastAsia="Courier New" w:hAnsi="Courier New"/>
          <w:b/>
          <w:bCs/>
          <w:color w:val="1B2A4A"/>
          <w:sz w:val="18"/>
          <w:szCs w:val="18"/>
        </w:rPr>
        <w:t xml:space="preserve">§8.10  </w:t>
      </w:r>
      <w:r>
        <w:rPr>
          <w:rFonts w:ascii="Garamond" w:cs="Garamond" w:eastAsia="Garamond" w:hAnsi="Garamond"/>
          <w:b/>
          <w:bCs/>
          <w:i w:val="false"/>
          <w:iCs w:val="false"/>
          <w:color w:val="1B2A4A"/>
          <w:sz w:val="22"/>
          <w:szCs w:val="22"/>
        </w:rPr>
        <w:t xml:space="preserve">Inspectorate Minimum Funding Guarantee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annual appropriation for each Inspectorate may not fall below the prior fiscal year's funding level without a 2/3 vote of both chambers simultaneously. This floor ensures that Inspectorate independence cannot be undermined through budgetary attrition by the branches they audit. The Monetary Authority certifies each Inspectorate's prior-year funding level annually and publishes the certified floor to the NRS before the Legislature begins its annual budget process.</w:t>
      </w:r>
    </w:p>
    <w:p>
      <w:pPr>
        <w:spacing w:after="60" w:before="200"/>
        <w:ind w:left="431"/>
        <w:jc w:val="left"/>
      </w:pPr>
      <w:r>
        <w:rPr>
          <w:rFonts w:ascii="Courier New" w:cs="Courier New" w:eastAsia="Courier New" w:hAnsi="Courier New"/>
          <w:b/>
          <w:bCs/>
          <w:color w:val="1B2A4A"/>
          <w:sz w:val="18"/>
          <w:szCs w:val="18"/>
        </w:rPr>
        <w:t xml:space="preserve">§8.11  </w:t>
      </w:r>
      <w:r>
        <w:rPr>
          <w:rFonts w:ascii="Garamond" w:cs="Garamond" w:eastAsia="Garamond" w:hAnsi="Garamond"/>
          <w:b/>
          <w:bCs/>
          <w:i w:val="false"/>
          <w:iCs w:val="false"/>
          <w:color w:val="1B2A4A"/>
          <w:sz w:val="22"/>
          <w:szCs w:val="22"/>
        </w:rPr>
        <w:t xml:space="preserve">Eighth-Year Assessment</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eight years from the date of full constitutional operation, the three Inspectorates jointly assess the performance of the constitutional framework across all domains: (1) enforcement of Article I rights across all States, Territories, and compact jurisdictions; (2) functioning of the Inspectorate reporting mechanism and adequacy of Judicial Inspectorate mandate scope relative to operational capacity; (3) compliance with fiscal obligations and whether the BNF is meeting the §10.1.b adequacy standard across all five §10.1.c categories; (4) completeness of military subordination to constitutional authority; (5) comprehensiveness of NRS coverage, node distribution, and cryptographic integrity; and (6) health of the constitutional pool and lottery selection mechanisms under §7.2.c, §8.9, and §9.3, including State participation rates and pool depth. The assessment is published to the NRS and transmitted to both chambers of the Legislature. The Legislature must respond within 90 days with a published statement addressing each domain. Findings and responses form a permanent longitudinal record of constitutional performance.</w:t>
      </w:r>
    </w:p>
    <w:p>
      <w:pPr>
        <w:spacing w:after="60" w:before="200"/>
        <w:jc w:val="left"/>
      </w:pPr>
      <w:r>
        <w:rPr>
          <w:rFonts w:ascii="Garamond" w:cs="Garamond" w:eastAsia="Garamond" w:hAnsi="Garamond"/>
          <w:b/>
          <w:bCs/>
          <w:i w:val="false"/>
          <w:iCs w:val="false"/>
          <w:color w:val="1B2A4A"/>
          <w:sz w:val="34"/>
          <w:szCs w:val="34"/>
        </w:rPr>
        <w:t xml:space="preserve">Article IX — The National Record System</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§9.1  </w:t>
      </w:r>
      <w:r>
        <w:rPr>
          <w:rFonts w:ascii="Garamond" w:cs="Garamond" w:eastAsia="Garamond" w:hAnsi="Garamond"/>
          <w:b/>
          <w:bCs/>
          <w:i w:val="false"/>
          <w:iCs w:val="false"/>
          <w:color w:val="1B2A4A"/>
          <w:sz w:val="22"/>
          <w:szCs w:val="22"/>
        </w:rPr>
        <w:t xml:space="preserve">NRS Properties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Record System is the permanent, tamper-evident public record of the Republic — freely accessible to every Inhabitant at no cost. Every government act required to be published must appear on the NRS before it takes legal effect. An act not on the NRS is constitutionally suspect. The NRS is not a government convenience — it is the mechanism by which Inhabitants verify that government acts exist and what they say.</w:t>
      </w:r>
    </w:p>
    <w:p>
      <w:pPr>
        <w:spacing w:after="60" w:before="200"/>
        <w:ind w:left="431"/>
        <w:jc w:val="left"/>
      </w:pPr>
      <w:r>
        <w:rPr>
          <w:rFonts w:ascii="Courier New" w:cs="Courier New" w:eastAsia="Courier New" w:hAnsi="Courier New"/>
          <w:b/>
          <w:bCs/>
          <w:color w:val="1B2A4A"/>
          <w:sz w:val="18"/>
          <w:szCs w:val="18"/>
        </w:rPr>
        <w:t xml:space="preserve">§9.1.a  </w:t>
      </w:r>
      <w:r>
        <w:rPr>
          <w:rFonts w:ascii="Garamond" w:cs="Garamond" w:eastAsia="Garamond" w:hAnsi="Garamond"/>
          <w:b/>
          <w:bCs/>
          <w:i w:val="false"/>
          <w:iCs w:val="false"/>
          <w:color w:val="1B2A4A"/>
          <w:sz w:val="22"/>
          <w:szCs w:val="22"/>
        </w:rPr>
        <w:t xml:space="preserve">Immutability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Records published to the NRS may not be deleted, altered, or reclassified after publication. Corrections are published as new entries alongside the original, not as replacements. The full history of any government act — including corrections, amendments, and subsequent interpretations — is permanently available.</w:t>
      </w:r>
    </w:p>
    <w:p>
      <w:pPr>
        <w:spacing w:after="60" w:before="200"/>
        <w:ind w:left="431"/>
        <w:jc w:val="left"/>
      </w:pPr>
      <w:r>
        <w:rPr>
          <w:rFonts w:ascii="Courier New" w:cs="Courier New" w:eastAsia="Courier New" w:hAnsi="Courier New"/>
          <w:b/>
          <w:bCs/>
          <w:color w:val="1B2A4A"/>
          <w:sz w:val="18"/>
          <w:szCs w:val="18"/>
        </w:rPr>
        <w:t xml:space="preserve">§9.1.b  </w:t>
      </w:r>
      <w:r>
        <w:rPr>
          <w:rFonts w:ascii="Garamond" w:cs="Garamond" w:eastAsia="Garamond" w:hAnsi="Garamond"/>
          <w:b/>
          <w:bCs/>
          <w:i w:val="false"/>
          <w:iCs w:val="false"/>
          <w:color w:val="1B2A4A"/>
          <w:sz w:val="22"/>
          <w:szCs w:val="22"/>
        </w:rPr>
        <w:t xml:space="preserve">NRS Access</w:t>
      </w:r>
    </w:p>
    <w:p>
      <w:pPr>
        <w:spacing w:after="120" w:before="0"/>
        <w:ind w:left="431"/>
        <w:jc w:val="both"/>
      </w:pPr>
      <w:r>
        <w:rPr>
          <w:rFonts w:ascii="Garamond" w:cs="Garamond" w:eastAsia="Garamond" w:hAnsi="Garamond"/>
          <w:b w:val="false"/>
          <w:bCs w:val="false"/>
          <w:i w:val="false"/>
          <w:iCs w:val="false"/>
          <w:color w:val="2a2520"/>
          <w:sz w:val="22"/>
          <w:szCs w:val="22"/>
        </w:rPr>
        <w:t xml:space="preserve">Freely accessible to every Inhabitant at no cost. No registration, no fees, no identification required for read access. The Republic must provide free public access terminals in every State and Territory. The NRS is not a luxury service — it is the mechanism by which Inhabitants verify that government acts exist and what they say.</w:t>
      </w:r>
    </w:p>
    <w:p>
      <w:pPr>
        <w:spacing w:after="60" w:before="200"/>
        <w:ind w:left="431"/>
        <w:jc w:val="left"/>
      </w:pPr>
      <w:r>
        <w:rPr>
          <w:rFonts w:ascii="Courier New" w:cs="Courier New" w:eastAsia="Courier New" w:hAnsi="Courier New"/>
          <w:b/>
          <w:bCs/>
          <w:color w:val="1B2A4A"/>
          <w:sz w:val="18"/>
          <w:szCs w:val="18"/>
        </w:rPr>
        <w:t xml:space="preserve">§9.1.c  </w:t>
      </w:r>
      <w:r>
        <w:rPr>
          <w:rFonts w:ascii="Garamond" w:cs="Garamond" w:eastAsia="Garamond" w:hAnsi="Garamond"/>
          <w:b/>
          <w:bCs/>
          <w:i w:val="false"/>
          <w:iCs w:val="false"/>
          <w:color w:val="1B2A4A"/>
          <w:sz w:val="22"/>
          <w:szCs w:val="22"/>
        </w:rPr>
        <w:t xml:space="preserve">Public Accessibility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category of government act required to be published must be published within the time specified by the constitution or enabling statute. Acts not published within their required period are not void (except where the constitution specifically provides otherwise), but the publication failure is a constitutional breach reportable by the relevant Inspectorate.</w:t>
      </w:r>
    </w:p>
    <w:p>
      <w:pPr>
        <w:spacing w:after="60" w:before="200"/>
        <w:ind w:left="431"/>
        <w:jc w:val="left"/>
      </w:pPr>
      <w:r>
        <w:rPr>
          <w:rFonts w:ascii="Courier New" w:cs="Courier New" w:eastAsia="Courier New" w:hAnsi="Courier New"/>
          <w:b/>
          <w:bCs/>
          <w:color w:val="1B2A4A"/>
          <w:sz w:val="18"/>
          <w:szCs w:val="18"/>
        </w:rPr>
        <w:t xml:space="preserve">§9.1.d  </w:t>
      </w:r>
      <w:r>
        <w:rPr>
          <w:rFonts w:ascii="Garamond" w:cs="Garamond" w:eastAsia="Garamond" w:hAnsi="Garamond"/>
          <w:b/>
          <w:bCs/>
          <w:i w:val="false"/>
          <w:iCs w:val="false"/>
          <w:color w:val="1B2A4A"/>
          <w:sz w:val="22"/>
          <w:szCs w:val="22"/>
        </w:rPr>
        <w:t xml:space="preserve">NRS Technical Standards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by statute define the technical standards: format, metadata requirements, search and retrieval standards, and backup and redundancy requirements. The standards must ensure the NRS remains fully functional in the event of a localized technical failure. No single point of failure is constitutionally acceptable.</w:t>
      </w:r>
    </w:p>
    <w:p>
      <w:pPr>
        <w:spacing w:after="60" w:before="200"/>
        <w:ind w:left="431"/>
        <w:jc w:val="left"/>
      </w:pPr>
      <w:r>
        <w:rPr>
          <w:rFonts w:ascii="Courier New" w:cs="Courier New" w:eastAsia="Courier New" w:hAnsi="Courier New"/>
          <w:b/>
          <w:bCs/>
          <w:color w:val="1B2A4A"/>
          <w:sz w:val="18"/>
          <w:szCs w:val="18"/>
        </w:rPr>
        <w:t xml:space="preserve">§9.1.e  </w:t>
      </w:r>
      <w:r>
        <w:rPr>
          <w:rFonts w:ascii="Garamond" w:cs="Garamond" w:eastAsia="Garamond" w:hAnsi="Garamond"/>
          <w:b/>
          <w:bCs/>
          <w:i w:val="false"/>
          <w:iCs w:val="false"/>
          <w:color w:val="1B2A4A"/>
          <w:sz w:val="22"/>
          <w:szCs w:val="22"/>
        </w:rPr>
        <w:t xml:space="preserve">NRS Integrity Audit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LI audits NRS integrity annually, verifying that: all required publications have been made; no records have been altered or deleted; search and retrieval functions are operating correctly; and access is genuinely free and unrestricted.</w:t>
      </w:r>
    </w:p>
    <w:p>
      <w:pPr>
        <w:spacing w:after="60" w:before="200"/>
        <w:ind w:left="431"/>
        <w:jc w:val="left"/>
      </w:pPr>
      <w:r>
        <w:rPr>
          <w:rFonts w:ascii="Courier New" w:cs="Courier New" w:eastAsia="Courier New" w:hAnsi="Courier New"/>
          <w:b/>
          <w:bCs/>
          <w:color w:val="1B2A4A"/>
          <w:sz w:val="18"/>
          <w:szCs w:val="18"/>
        </w:rPr>
        <w:t xml:space="preserve">§9.1.f  </w:t>
      </w:r>
      <w:r>
        <w:rPr>
          <w:rFonts w:ascii="Garamond" w:cs="Garamond" w:eastAsia="Garamond" w:hAnsi="Garamond"/>
          <w:b/>
          <w:bCs/>
          <w:i w:val="false"/>
          <w:iCs w:val="false"/>
          <w:color w:val="1B2A4A"/>
          <w:sz w:val="22"/>
          <w:szCs w:val="22"/>
        </w:rPr>
        <w:t xml:space="preserve">Third-Party NRS Mirrors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may authorize non-governmental organizations to maintain verified mirrors of the NRS for redundancy. Mirrors must meet the same technical standards as the primary NRS. The primary NRS remains a government function — the authorization does not create a privatization pathway.</w:t>
      </w:r>
    </w:p>
    <w:p>
      <w:pPr>
        <w:spacing w:after="60" w:before="200"/>
        <w:ind w:left="431"/>
        <w:jc w:val="left"/>
      </w:pPr>
      <w:r>
        <w:rPr>
          <w:rFonts w:ascii="Courier New" w:cs="Courier New" w:eastAsia="Courier New" w:hAnsi="Courier New"/>
          <w:b/>
          <w:bCs/>
          <w:color w:val="1B2A4A"/>
          <w:sz w:val="18"/>
          <w:szCs w:val="18"/>
        </w:rPr>
        <w:t xml:space="preserve">§9.1.g  </w:t>
      </w:r>
      <w:r>
        <w:rPr>
          <w:rFonts w:ascii="Garamond" w:cs="Garamond" w:eastAsia="Garamond" w:hAnsi="Garamond"/>
          <w:b/>
          <w:bCs/>
          <w:i w:val="false"/>
          <w:iCs w:val="false"/>
          <w:color w:val="1B2A4A"/>
          <w:sz w:val="22"/>
          <w:szCs w:val="22"/>
        </w:rPr>
        <w:t xml:space="preserve">NRS Classification Exemption</w:t>
      </w:r>
    </w:p>
    <w:p>
      <w:pPr>
        <w:spacing w:after="120" w:before="0"/>
        <w:ind w:left="431"/>
        <w:jc w:val="both"/>
      </w:pPr>
      <w:r>
        <w:rPr>
          <w:rFonts w:ascii="Garamond" w:cs="Garamond" w:eastAsia="Garamond" w:hAnsi="Garamond"/>
          <w:b w:val="false"/>
          <w:bCs w:val="false"/>
          <w:i w:val="false"/>
          <w:iCs w:val="false"/>
          <w:color w:val="2a2520"/>
          <w:sz w:val="22"/>
          <w:szCs w:val="22"/>
        </w:rPr>
        <w:t xml:space="preserve">Inspectorate Reports published to the NRS are permanently exempt from classification, consistent with §8.6.d. The NRS itself may not apply classification restrictions to Inspectorate Reports — the publication platform cannot override the content exemption.</w:t>
      </w:r>
    </w:p>
    <w:p>
      <w:pPr>
        <w:spacing w:after="60" w:before="200"/>
        <w:ind w:left="431"/>
        <w:jc w:val="left"/>
      </w:pPr>
      <w:r>
        <w:rPr>
          <w:rFonts w:ascii="Courier New" w:cs="Courier New" w:eastAsia="Courier New" w:hAnsi="Courier New"/>
          <w:b/>
          <w:bCs/>
          <w:color w:val="1B2A4A"/>
          <w:sz w:val="18"/>
          <w:szCs w:val="18"/>
        </w:rPr>
        <w:t xml:space="preserve">§9.1.h  </w:t>
      </w:r>
      <w:r>
        <w:rPr>
          <w:rFonts w:ascii="Garamond" w:cs="Garamond" w:eastAsia="Garamond" w:hAnsi="Garamond"/>
          <w:b/>
          <w:bCs/>
          <w:i w:val="false"/>
          <w:iCs w:val="false"/>
          <w:color w:val="1B2A4A"/>
          <w:sz w:val="22"/>
          <w:szCs w:val="22"/>
        </w:rPr>
        <w:t xml:space="preserve">Cross-Jurisdictional Record Recognition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Records published to the NRS by any jurisdiction within the Republic are recognized as authentic records by all other jurisdictions without re-certification, apostille, or additional verification. The NRS publication is the authentication. A court, agency, or official that refuses to recognize an NRS-published record on the grounds that it originated in another jurisdiction acts in constitutional defiance of this provision.</w:t>
      </w:r>
    </w:p>
    <w:p>
      <w:pPr>
        <w:spacing w:after="60" w:before="200"/>
        <w:ind w:left="431"/>
        <w:jc w:val="left"/>
      </w:pPr>
      <w:r>
        <w:rPr>
          <w:rFonts w:ascii="Courier New" w:cs="Courier New" w:eastAsia="Courier New" w:hAnsi="Courier New"/>
          <w:b/>
          <w:bCs/>
          <w:color w:val="1B2A4A"/>
          <w:sz w:val="18"/>
          <w:szCs w:val="18"/>
        </w:rPr>
        <w:t xml:space="preserve">§9.2  </w:t>
      </w:r>
      <w:r>
        <w:rPr>
          <w:rFonts w:ascii="Garamond" w:cs="Garamond" w:eastAsia="Garamond" w:hAnsi="Garamond"/>
          <w:b/>
          <w:bCs/>
          <w:i w:val="false"/>
          <w:iCs w:val="false"/>
          <w:color w:val="1B2A4A"/>
          <w:sz w:val="22"/>
          <w:szCs w:val="22"/>
        </w:rPr>
        <w:t xml:space="preserve">Historical Records Preservation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NRS includes a permanent historical archive of all prior legislative acts, executive orders, judicial decisions, and government documents dating to the Republic's founding. The Legislature may not delete records from the historical archive — it may annotate them to indicate supersession or repeal, but the original records remain.</w:t>
      </w:r>
    </w:p>
    <w:p>
      <w:pPr>
        <w:spacing w:after="60" w:before="200"/>
        <w:ind w:left="431"/>
        <w:jc w:val="left"/>
      </w:pPr>
      <w:r>
        <w:rPr>
          <w:rFonts w:ascii="Courier New" w:cs="Courier New" w:eastAsia="Courier New" w:hAnsi="Courier New"/>
          <w:b/>
          <w:bCs/>
          <w:color w:val="1B2A4A"/>
          <w:sz w:val="18"/>
          <w:szCs w:val="18"/>
        </w:rPr>
        <w:t xml:space="preserve">§9.3  </w:t>
      </w:r>
      <w:r>
        <w:rPr>
          <w:rFonts w:ascii="Garamond" w:cs="Garamond" w:eastAsia="Garamond" w:hAnsi="Garamond"/>
          <w:b/>
          <w:bCs/>
          <w:i w:val="false"/>
          <w:iCs w:val="false"/>
          <w:color w:val="1B2A4A"/>
          <w:sz w:val="22"/>
          <w:szCs w:val="22"/>
        </w:rPr>
        <w:t xml:space="preserve">RSA Technical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System Administrator operates the NRS under the oversight of the Legislative Inspectorate. The RSA Director is a statutory independent officer whose independence is protected by §9.5.a. A decennial Technical Integrity Commission reviews whether the NRS architecture continues to meet the constitutional requirements for distributed custody, cryptographic verification, and public accessibility under §9.1.</w:t>
      </w:r>
    </w:p>
    <w:p>
      <w:pPr>
        <w:spacing w:after="60" w:before="200"/>
        <w:ind w:left="431"/>
        <w:jc w:val="left"/>
      </w:pPr>
      <w:r>
        <w:rPr>
          <w:rFonts w:ascii="Courier New" w:cs="Courier New" w:eastAsia="Courier New" w:hAnsi="Courier New"/>
          <w:b/>
          <w:bCs/>
          <w:color w:val="1B2A4A"/>
          <w:sz w:val="18"/>
          <w:szCs w:val="18"/>
        </w:rPr>
        <w:t xml:space="preserve">§9.3.a  </w:t>
      </w:r>
      <w:r>
        <w:rPr>
          <w:rFonts w:ascii="Garamond" w:cs="Garamond" w:eastAsia="Garamond" w:hAnsi="Garamond"/>
          <w:b/>
          <w:bCs/>
          <w:i w:val="false"/>
          <w:iCs w:val="false"/>
          <w:color w:val="1B2A4A"/>
          <w:sz w:val="22"/>
          <w:szCs w:val="22"/>
        </w:rPr>
        <w:t xml:space="preserve">RSA Technical Integrity Commission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decennial RSA Technical Integrity Commission reviews whether the NRS architecture continues to meet the constitutional requirements for distributed, tamper-evident operation established by §9.1. The Commission has publication authority only — it may not issue binding orders, impose penalties, or direct the RSA Director. Its findings are published jointly by all three Inspectorates to the NRS and cannot be withheld, suppressed, or altered after publication. The Commission convenes every ten years from the date of the first Legislature convening under §19.3.d. Qualifications for pool eligibility, audit methodology and scope, working session parameters, and compensation are established by statute. The Legislature may not adjust the decennial trigger date by statute. If the LI's annual audit under §9.1.e identifies a critical architectural failure — defined as a finding that the NRS no longer meets the constitutional requirements for tamper-evident operation or distributed custody — the LI may declare an emergency review, triggering an extraordinary Commission draw from the current confirmed pool under §9.3.d. An emergency Commission draw does not reset the decennial clock.</w:t>
      </w:r>
    </w:p>
    <w:p>
      <w:pPr>
        <w:spacing w:after="60" w:before="200"/>
        <w:ind w:left="431"/>
        <w:jc w:val="left"/>
      </w:pPr>
      <w:r>
        <w:rPr>
          <w:rFonts w:ascii="Courier New" w:cs="Courier New" w:eastAsia="Courier New" w:hAnsi="Courier New"/>
          <w:b/>
          <w:bCs/>
          <w:color w:val="1B2A4A"/>
          <w:sz w:val="18"/>
          <w:szCs w:val="18"/>
        </w:rPr>
        <w:t xml:space="preserve">§9.3.b  </w:t>
      </w:r>
      <w:r>
        <w:rPr>
          <w:rFonts w:ascii="Garamond" w:cs="Garamond" w:eastAsia="Garamond" w:hAnsi="Garamond"/>
          <w:b/>
          <w:bCs/>
          <w:i w:val="false"/>
          <w:iCs w:val="false"/>
          <w:color w:val="1B2A4A"/>
          <w:sz w:val="22"/>
          <w:szCs w:val="22"/>
        </w:rPr>
        <w:t xml:space="preserve">RSA Technical Pool — Constitution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and PM each nominate one qualified person per year to the RSA Technical Pool. Each nominee must be confirmed by the Senate within 60 days of nomination by affirmative vote — no deemed-confirmed fallback applies to this position. Senate failure to vote within 60 days is a constitutional compliance failure published to the NRS by the LI. The pool is a public NRS record. Qualifications are defined by statute and certified by the JI at time of nomination. Over a ten-year cycle both executives may each nominate up to ten members, for a maximum pool of twenty confirmed members.</w:t>
      </w:r>
    </w:p>
    <w:p>
      <w:pPr>
        <w:spacing w:after="60" w:before="200"/>
        <w:ind w:left="431"/>
        <w:jc w:val="left"/>
      </w:pPr>
      <w:r>
        <w:rPr>
          <w:rFonts w:ascii="Courier New" w:cs="Courier New" w:eastAsia="Courier New" w:hAnsi="Courier New"/>
          <w:b/>
          <w:bCs/>
          <w:color w:val="1B2A4A"/>
          <w:sz w:val="18"/>
          <w:szCs w:val="18"/>
        </w:rPr>
        <w:t xml:space="preserve">§9.3.c  </w:t>
      </w:r>
      <w:r>
        <w:rPr>
          <w:rFonts w:ascii="Garamond" w:cs="Garamond" w:eastAsia="Garamond" w:hAnsi="Garamond"/>
          <w:b/>
          <w:bCs/>
          <w:i w:val="false"/>
          <w:iCs w:val="false"/>
          <w:color w:val="1B2A4A"/>
          <w:sz w:val="22"/>
          <w:szCs w:val="22"/>
        </w:rPr>
        <w:t xml:space="preserve">Pool Reset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RSA Technical Pool resets after each decennial commission cycle. Previously confirmed pool members who did not serve on the commission may be re-nominated by either executive in the new cycle; fresh Senate confirmation under §9.3.b is required and no member carries forward automatically. Members who served on the commission are not eligible for re-nomination to the pool.</w:t>
      </w:r>
    </w:p>
    <w:p>
      <w:pPr>
        <w:spacing w:after="60" w:before="200"/>
        <w:ind w:left="431"/>
        <w:jc w:val="left"/>
      </w:pPr>
      <w:r>
        <w:rPr>
          <w:rFonts w:ascii="Courier New" w:cs="Courier New" w:eastAsia="Courier New" w:hAnsi="Courier New"/>
          <w:b/>
          <w:bCs/>
          <w:color w:val="1B2A4A"/>
          <w:sz w:val="18"/>
          <w:szCs w:val="18"/>
        </w:rPr>
        <w:t xml:space="preserve">§9.3.d  </w:t>
      </w:r>
      <w:r>
        <w:rPr>
          <w:rFonts w:ascii="Garamond" w:cs="Garamond" w:eastAsia="Garamond" w:hAnsi="Garamond"/>
          <w:b/>
          <w:bCs/>
          <w:i w:val="false"/>
          <w:iCs w:val="false"/>
          <w:color w:val="1B2A4A"/>
          <w:sz w:val="22"/>
          <w:szCs w:val="22"/>
        </w:rPr>
        <w:t xml:space="preserve">Commission Draw</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the decennial review is triggered, all three Inspectorates jointly constitute the Commission by public lottery, drawing five members at random from the eligible pool. The draw is conducted in a public session; all three Inspectorates certify the result and publish it to the NRS before the session closes. The remaining pool members constitute the standing replacement pool for the duration of the Commission's working period.</w:t>
      </w:r>
    </w:p>
    <w:p>
      <w:pPr>
        <w:spacing w:after="60" w:before="200"/>
        <w:ind w:left="431"/>
        <w:jc w:val="left"/>
      </w:pPr>
      <w:r>
        <w:rPr>
          <w:rFonts w:ascii="Courier New" w:cs="Courier New" w:eastAsia="Courier New" w:hAnsi="Courier New"/>
          <w:b/>
          <w:bCs/>
          <w:color w:val="1B2A4A"/>
          <w:sz w:val="18"/>
          <w:szCs w:val="18"/>
        </w:rPr>
        <w:t xml:space="preserve">§9.3.e  </w:t>
      </w:r>
      <w:r>
        <w:rPr>
          <w:rFonts w:ascii="Garamond" w:cs="Garamond" w:eastAsia="Garamond" w:hAnsi="Garamond"/>
          <w:b/>
          <w:bCs/>
          <w:i w:val="false"/>
          <w:iCs w:val="false"/>
          <w:color w:val="1B2A4A"/>
          <w:sz w:val="22"/>
          <w:szCs w:val="22"/>
        </w:rPr>
        <w:t xml:space="preserve">Commission Replacement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If a Commission member must be replaced during the review period — through ineligibility, withdrawal, or disqualification — all three Inspectorates draw one replacement at random from the remaining eligible pool members using the same public lottery procedure under §9.3.d. The replacement member holds the same authority and obligations as the member they replace.</w:t>
      </w:r>
    </w:p>
    <w:p>
      <w:pPr>
        <w:spacing w:after="60" w:before="200"/>
        <w:ind w:left="431"/>
        <w:jc w:val="left"/>
      </w:pPr>
      <w:r>
        <w:rPr>
          <w:rFonts w:ascii="Courier New" w:cs="Courier New" w:eastAsia="Courier New" w:hAnsi="Courier New"/>
          <w:b/>
          <w:bCs/>
          <w:color w:val="1B2A4A"/>
          <w:sz w:val="18"/>
          <w:szCs w:val="18"/>
        </w:rPr>
        <w:t xml:space="preserve">§9.3.f  </w:t>
      </w:r>
      <w:r>
        <w:rPr>
          <w:rFonts w:ascii="Garamond" w:cs="Garamond" w:eastAsia="Garamond" w:hAnsi="Garamond"/>
          <w:b/>
          <w:bCs/>
          <w:i w:val="false"/>
          <w:iCs w:val="false"/>
          <w:color w:val="1B2A4A"/>
          <w:sz w:val="22"/>
          <w:szCs w:val="22"/>
        </w:rPr>
        <w:t xml:space="preserve">Tri-Inspectorate Oversight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three Inspectorates certify the draw under §9.3.d, oversee the Commission's working sessions to verify that the Commission has the access to records, systems, and personnel required by its statutory mandate, and review the Commission's findings before publication to confirm the findings reflect the Commission's genuine conclusions and have not been suppressed or modified. All three Inspectorate seals appear on findings published to the NRS. The RSA Director receives a copy of published findings simultaneously with NRS publication.</w:t>
      </w:r>
    </w:p>
    <w:p>
      <w:pPr>
        <w:spacing w:after="60" w:before="200"/>
        <w:ind w:left="431"/>
        <w:jc w:val="left"/>
      </w:pPr>
      <w:r>
        <w:rPr>
          <w:rFonts w:ascii="Courier New" w:cs="Courier New" w:eastAsia="Courier New" w:hAnsi="Courier New"/>
          <w:b/>
          <w:bCs/>
          <w:color w:val="1B2A4A"/>
          <w:sz w:val="18"/>
          <w:szCs w:val="18"/>
        </w:rPr>
        <w:t xml:space="preserve">§9.3.g  </w:t>
      </w:r>
      <w:r>
        <w:rPr>
          <w:rFonts w:ascii="Garamond" w:cs="Garamond" w:eastAsia="Garamond" w:hAnsi="Garamond"/>
          <w:b/>
          <w:bCs/>
          <w:i w:val="false"/>
          <w:iCs w:val="false"/>
          <w:color w:val="1B2A4A"/>
          <w:sz w:val="22"/>
          <w:szCs w:val="22"/>
        </w:rPr>
        <w:t xml:space="preserve">Commission Findings</w:t>
      </w:r>
    </w:p>
    <w:p>
      <w:pPr>
        <w:spacing w:after="120" w:before="0"/>
        <w:ind w:left="431"/>
        <w:jc w:val="both"/>
      </w:pPr>
      <w:r>
        <w:rPr>
          <w:rFonts w:ascii="Garamond" w:cs="Garamond" w:eastAsia="Garamond" w:hAnsi="Garamond"/>
          <w:b w:val="false"/>
          <w:bCs w:val="false"/>
          <w:i w:val="false"/>
          <w:iCs w:val="false"/>
          <w:color w:val="2a2520"/>
          <w:sz w:val="22"/>
          <w:szCs w:val="22"/>
        </w:rPr>
        <w:t xml:space="preserve">Commission findings are published directly and jointly to the NRS by all three Inspectorates upon completion of the decennial review. Findings may include assessments of cryptographic integrity, node distribution adequacy, technical standard compliance, and any architectural features that approach or breach constitutional requirements. The Legislature, the RSA Director, and both executives receive findings simultaneously with NRS publication. The Commission's mandate ends upon publication; the Commission dissolves and the pool resets under §9.3.c. Where an Emergency RSA Commission has been constituted under §9.3.h since the prior decennial review, the next regularly scheduled decennial Commission must include in its scope a review of the emergency findings — assessing whether the remediation was adequate and making architectural recommendations to prevent recurrence. These findings are published as a dedicated section of the decennial report.</w:t>
      </w:r>
    </w:p>
    <w:p>
      <w:pPr>
        <w:spacing w:after="60" w:before="200"/>
        <w:ind w:left="431"/>
        <w:jc w:val="left"/>
      </w:pPr>
      <w:r>
        <w:rPr>
          <w:rFonts w:ascii="Courier New" w:cs="Courier New" w:eastAsia="Courier New" w:hAnsi="Courier New"/>
          <w:b/>
          <w:bCs/>
          <w:color w:val="1B2A4A"/>
          <w:sz w:val="18"/>
          <w:szCs w:val="18"/>
        </w:rPr>
        <w:t xml:space="preserve">§9.3.h  </w:t>
      </w:r>
      <w:r>
        <w:rPr>
          <w:rFonts w:ascii="Garamond" w:cs="Garamond" w:eastAsia="Garamond" w:hAnsi="Garamond"/>
          <w:b/>
          <w:bCs/>
          <w:i w:val="false"/>
          <w:iCs w:val="false"/>
          <w:color w:val="1B2A4A"/>
          <w:sz w:val="22"/>
          <w:szCs w:val="22"/>
        </w:rPr>
        <w:t xml:space="preserve">Emergency RSA Commission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LI has declared an emergency review under §9.3.a, the LI formally alerts the PM and publishes the emergency finding to the NRS. The PM requests each State to nominate one qualified person to an Emergency Technical Pool within 14 days. The LI certifies each nominee's qualifications against the statutory standard established under §9.3.b. All three Inspectorates then conduct a public lottery draw of five members from the certified nominees using the procedure under §9.3.d — the draw is published to the NRS before the session closes. The Emergency Commission's scope is limited to the specific architectural failure identified in the LI's emergency finding; it may not expand its mandate beyond that scope. Findings are published jointly by all three Inspectorates to the NRS upon completion. Senate confirmation is not required for Emergency Commission members; the mandatory Senate accountability session under §9.3.i provides accountability in lieu of confirmation. The Emergency Commission does not trigger a pool reset; the regular decennial pool and clock are unaffected. The Emergency Technical Pool dissolves upon conclusion of the Senate accountability session.</w:t>
      </w:r>
    </w:p>
    <w:p>
      <w:pPr>
        <w:spacing w:after="60" w:before="200"/>
        <w:ind w:left="431"/>
        <w:jc w:val="left"/>
      </w:pPr>
      <w:r>
        <w:rPr>
          <w:rFonts w:ascii="Courier New" w:cs="Courier New" w:eastAsia="Courier New" w:hAnsi="Courier New"/>
          <w:b/>
          <w:bCs/>
          <w:color w:val="1B2A4A"/>
          <w:sz w:val="18"/>
          <w:szCs w:val="18"/>
        </w:rPr>
        <w:t xml:space="preserve">§9.3.i  </w:t>
      </w:r>
      <w:r>
        <w:rPr>
          <w:rFonts w:ascii="Garamond" w:cs="Garamond" w:eastAsia="Garamond" w:hAnsi="Garamond"/>
          <w:b/>
          <w:bCs/>
          <w:i w:val="false"/>
          <w:iCs w:val="false"/>
          <w:color w:val="1B2A4A"/>
          <w:sz w:val="22"/>
          <w:szCs w:val="22"/>
        </w:rPr>
        <w:t xml:space="preserve">Emergency Commission Senate Accountability Session</w:t>
      </w:r>
    </w:p>
    <w:p>
      <w:pPr>
        <w:spacing w:after="120" w:before="0"/>
        <w:ind w:left="431"/>
        <w:jc w:val="both"/>
      </w:pPr>
      <w:r>
        <w:rPr>
          <w:rFonts w:ascii="Garamond" w:cs="Garamond" w:eastAsia="Garamond" w:hAnsi="Garamond"/>
          <w:b w:val="false"/>
          <w:bCs w:val="false"/>
          <w:i w:val="false"/>
          <w:iCs w:val="false"/>
          <w:color w:val="2a2520"/>
          <w:sz w:val="22"/>
          <w:szCs w:val="22"/>
        </w:rPr>
        <w:t xml:space="preserve">Within 30 days of the Emergency Commission's appointment under §9.3.h, the Senate must schedule a mandatory public accountability session. The session must occur within 90 days of the Emergency Commission's appointment. Emergency Commission members appear before the Senate, present their findings, and respond to questions from senators. The session is published in full to the NRS. Failure to schedule the session within 30 days of appointment is a constitutional compliance breach certified by the LI and published to the NRS. The Senate accountability session provides the legitimacy in lieu of Senate confirmation — the Commission's findings carry full constitutional weight upon NRS publication regardless of whether the session has yet occurred.</w:t>
      </w:r>
    </w:p>
    <w:p>
      <w:pPr>
        <w:spacing w:after="60" w:before="200"/>
        <w:ind w:left="431"/>
        <w:jc w:val="left"/>
      </w:pPr>
      <w:r>
        <w:rPr>
          <w:rFonts w:ascii="Courier New" w:cs="Courier New" w:eastAsia="Courier New" w:hAnsi="Courier New"/>
          <w:b/>
          <w:bCs/>
          <w:color w:val="1B2A4A"/>
          <w:sz w:val="18"/>
          <w:szCs w:val="18"/>
        </w:rPr>
        <w:t xml:space="preserve">§9.4  </w:t>
      </w:r>
      <w:r>
        <w:rPr>
          <w:rFonts w:ascii="Garamond" w:cs="Garamond" w:eastAsia="Garamond" w:hAnsi="Garamond"/>
          <w:b/>
          <w:bCs/>
          <w:i w:val="false"/>
          <w:iCs w:val="false"/>
          <w:color w:val="1B2A4A"/>
          <w:sz w:val="22"/>
          <w:szCs w:val="22"/>
        </w:rPr>
        <w:t xml:space="preserve">NRS and Electoral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All electoral records (voter registration, ballot counts, audit trails, certification documents) must be published to the NRS within the timeframes specified by the Electoral Commission's constitutional mandate under Article XVI. No classification exception applies to electoral records.</w:t>
      </w:r>
    </w:p>
    <w:p>
      <w:pPr>
        <w:spacing w:after="60" w:before="200"/>
        <w:ind w:left="431"/>
        <w:jc w:val="left"/>
      </w:pPr>
      <w:r>
        <w:rPr>
          <w:rFonts w:ascii="Courier New" w:cs="Courier New" w:eastAsia="Courier New" w:hAnsi="Courier New"/>
          <w:b/>
          <w:bCs/>
          <w:color w:val="1B2A4A"/>
          <w:sz w:val="18"/>
          <w:szCs w:val="18"/>
        </w:rPr>
        <w:t xml:space="preserve">§9.5  </w:t>
      </w:r>
      <w:r>
        <w:rPr>
          <w:rFonts w:ascii="Garamond" w:cs="Garamond" w:eastAsia="Garamond" w:hAnsi="Garamond"/>
          <w:b/>
          <w:bCs/>
          <w:i w:val="false"/>
          <w:iCs w:val="false"/>
          <w:color w:val="1B2A4A"/>
          <w:sz w:val="22"/>
          <w:szCs w:val="22"/>
        </w:rPr>
        <w:t xml:space="preserve">NRS Administration and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Record System is administered by a technically independent office under LI oversight.</w:t>
      </w:r>
    </w:p>
    <w:p>
      <w:pPr>
        <w:spacing w:after="60" w:before="200"/>
        <w:ind w:left="431"/>
        <w:jc w:val="left"/>
      </w:pPr>
      <w:r>
        <w:rPr>
          <w:rFonts w:ascii="Courier New" w:cs="Courier New" w:eastAsia="Courier New" w:hAnsi="Courier New"/>
          <w:b/>
          <w:bCs/>
          <w:color w:val="1B2A4A"/>
          <w:sz w:val="18"/>
          <w:szCs w:val="18"/>
        </w:rPr>
        <w:t xml:space="preserve">§9.5.a  </w:t>
      </w:r>
      <w:r>
        <w:rPr>
          <w:rFonts w:ascii="Garamond" w:cs="Garamond" w:eastAsia="Garamond" w:hAnsi="Garamond"/>
          <w:b/>
          <w:bCs/>
          <w:i w:val="false"/>
          <w:iCs w:val="false"/>
          <w:color w:val="1B2A4A"/>
          <w:sz w:val="22"/>
          <w:szCs w:val="22"/>
        </w:rPr>
        <w:t xml:space="preserve">NRS Staffing and Independence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NRS is administered by a non-partisan technical office reporting to the LI for oversight. NRS staff may not receive direction from either executive or the Legislature regarding the content, timing, or availability of any record. The NRS administrator is appointed by the LI following public application and qualification review.</w:t>
      </w:r>
    </w:p>
    <w:p>
      <w:pPr>
        <w:spacing w:after="60" w:before="200"/>
        <w:ind w:left="431"/>
        <w:jc w:val="left"/>
      </w:pPr>
      <w:r>
        <w:rPr>
          <w:rFonts w:ascii="Courier New" w:cs="Courier New" w:eastAsia="Courier New" w:hAnsi="Courier New"/>
          <w:b/>
          <w:bCs/>
          <w:color w:val="1B2A4A"/>
          <w:sz w:val="18"/>
          <w:szCs w:val="18"/>
        </w:rPr>
        <w:t xml:space="preserve">§9.5.b  </w:t>
      </w:r>
      <w:r>
        <w:rPr>
          <w:rFonts w:ascii="Garamond" w:cs="Garamond" w:eastAsia="Garamond" w:hAnsi="Garamond"/>
          <w:b/>
          <w:bCs/>
          <w:i w:val="false"/>
          <w:iCs w:val="false"/>
          <w:color w:val="1B2A4A"/>
          <w:sz w:val="22"/>
          <w:szCs w:val="22"/>
        </w:rPr>
        <w:t xml:space="preserve">NRS Downtime Protocol</w:t>
      </w:r>
    </w:p>
    <w:p>
      <w:pPr>
        <w:spacing w:after="120" w:before="0"/>
        <w:ind w:left="431"/>
        <w:jc w:val="both"/>
      </w:pPr>
      <w:r>
        <w:rPr>
          <w:rFonts w:ascii="Garamond" w:cs="Garamond" w:eastAsia="Garamond" w:hAnsi="Garamond"/>
          <w:b w:val="false"/>
          <w:bCs w:val="false"/>
          <w:i w:val="false"/>
          <w:iCs w:val="false"/>
          <w:color w:val="2a2520"/>
          <w:sz w:val="22"/>
          <w:szCs w:val="22"/>
        </w:rPr>
        <w:t xml:space="preserve">In the event of a technical outage, government acts that would otherwise have required NRS publication to take effect are delayed until the outage is resolved. Emergency acts required for immediate public safety may be announced through alternative channels, but the NRS publication requirement applies from the moment the NRS is restored.</w:t>
      </w:r>
    </w:p>
    <w:p>
      <w:pPr>
        <w:spacing w:after="60" w:before="200"/>
        <w:ind w:left="431"/>
        <w:jc w:val="left"/>
      </w:pPr>
      <w:r>
        <w:rPr>
          <w:rFonts w:ascii="Courier New" w:cs="Courier New" w:eastAsia="Courier New" w:hAnsi="Courier New"/>
          <w:b/>
          <w:bCs/>
          <w:color w:val="1B2A4A"/>
          <w:sz w:val="18"/>
          <w:szCs w:val="18"/>
        </w:rPr>
        <w:t xml:space="preserve">§9.5.c  </w:t>
      </w:r>
      <w:r>
        <w:rPr>
          <w:rFonts w:ascii="Garamond" w:cs="Garamond" w:eastAsia="Garamond" w:hAnsi="Garamond"/>
          <w:b/>
          <w:bCs/>
          <w:i w:val="false"/>
          <w:iCs w:val="false"/>
          <w:color w:val="1B2A4A"/>
          <w:sz w:val="22"/>
          <w:szCs w:val="22"/>
        </w:rPr>
        <w:t xml:space="preserve">Citizen NRS Submissions</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may submit corrections, context, or additional documentation relating to any NRS record via a public submission mechanism maintained by the LI. Submissions are published alongside the original record after accuracy review. Citizens cannot alter government records — only add publicly visible commentary.</w:t>
      </w:r>
    </w:p>
    <w:p>
      <w:pPr>
        <w:spacing w:after="60" w:before="200"/>
        <w:ind w:left="431"/>
        <w:jc w:val="left"/>
      </w:pPr>
      <w:r>
        <w:rPr>
          <w:rFonts w:ascii="Courier New" w:cs="Courier New" w:eastAsia="Courier New" w:hAnsi="Courier New"/>
          <w:b/>
          <w:bCs/>
          <w:color w:val="1B2A4A"/>
          <w:sz w:val="18"/>
          <w:szCs w:val="18"/>
        </w:rPr>
        <w:t xml:space="preserve">§9.5.d  </w:t>
      </w:r>
      <w:r>
        <w:rPr>
          <w:rFonts w:ascii="Garamond" w:cs="Garamond" w:eastAsia="Garamond" w:hAnsi="Garamond"/>
          <w:b/>
          <w:bCs/>
          <w:i w:val="false"/>
          <w:iCs w:val="false"/>
          <w:color w:val="1B2A4A"/>
          <w:sz w:val="22"/>
          <w:szCs w:val="22"/>
        </w:rPr>
        <w:t xml:space="preserve">NRS Funding Floor</w:t>
      </w:r>
    </w:p>
    <w:p>
      <w:pPr>
        <w:spacing w:after="120" w:before="0"/>
        <w:ind w:left="431"/>
        <w:jc w:val="both"/>
      </w:pPr>
      <w:r>
        <w:rPr>
          <w:rFonts w:ascii="Garamond" w:cs="Garamond" w:eastAsia="Garamond" w:hAnsi="Garamond"/>
          <w:b w:val="false"/>
          <w:bCs w:val="false"/>
          <w:i w:val="false"/>
          <w:iCs w:val="false"/>
          <w:color w:val="2a2520"/>
          <w:sz w:val="22"/>
          <w:szCs w:val="22"/>
        </w:rPr>
        <w:t xml:space="preserve">Funding for the NRS may not be reduced below the prior year's level without a 2/3 vote of both chambers. The Legislature may increase NRS funding by simple majority. The funding floor protects the NRS from being defunded as a mechanism of opacity — reducing NRS functionality is treated as a constitutional concern.</w:t>
      </w:r>
    </w:p>
    <w:p>
      <w:pPr>
        <w:spacing w:after="60" w:before="200"/>
        <w:ind w:left="431"/>
        <w:jc w:val="left"/>
      </w:pPr>
      <w:r>
        <w:rPr>
          <w:rFonts w:ascii="Courier New" w:cs="Courier New" w:eastAsia="Courier New" w:hAnsi="Courier New"/>
          <w:b/>
          <w:bCs/>
          <w:color w:val="1B2A4A"/>
          <w:sz w:val="18"/>
          <w:szCs w:val="18"/>
        </w:rPr>
        <w:t xml:space="preserve">§9.5.e  </w:t>
      </w:r>
      <w:r>
        <w:rPr>
          <w:rFonts w:ascii="Garamond" w:cs="Garamond" w:eastAsia="Garamond" w:hAnsi="Garamond"/>
          <w:b/>
          <w:bCs/>
          <w:i w:val="false"/>
          <w:iCs w:val="false"/>
          <w:color w:val="1B2A4A"/>
          <w:sz w:val="22"/>
          <w:szCs w:val="22"/>
        </w:rPr>
        <w:t xml:space="preserve">Improper Classification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Classification used to conceal a constitutional violation, an illegal order, or embarrassing but non-sensitive information is constitutionally prohibited in itself. Improper classification is not an administrative error — it is a constitutional offense.</w:t>
      </w:r>
    </w:p>
    <w:p>
      <w:pPr>
        <w:spacing w:after="60" w:before="200"/>
        <w:jc w:val="left"/>
      </w:pPr>
      <w:r>
        <w:rPr>
          <w:rFonts w:ascii="Garamond" w:cs="Garamond" w:eastAsia="Garamond" w:hAnsi="Garamond"/>
          <w:b/>
          <w:bCs/>
          <w:i w:val="false"/>
          <w:iCs w:val="false"/>
          <w:color w:val="1B2A4A"/>
          <w:sz w:val="34"/>
          <w:szCs w:val="34"/>
        </w:rPr>
        <w:t xml:space="preserve">Article X — Economic Provisions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§10.1  </w:t>
      </w:r>
      <w:r>
        <w:rPr>
          <w:rFonts w:ascii="Garamond" w:cs="Garamond" w:eastAsia="Garamond" w:hAnsi="Garamond"/>
          <w:b/>
          <w:bCs/>
          <w:i w:val="false"/>
          <w:iCs w:val="false"/>
          <w:color w:val="1B2A4A"/>
          <w:sz w:val="22"/>
          <w:szCs w:val="22"/>
        </w:rPr>
        <w:t xml:space="preserve">The Basic Needs Floor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federal government guarantees every Inhabitant access to a minimum basket of goods and services — food, housing, healthcare, education, and utilities — at a level adequate for a dignified life. Funded by a constitutionally reserved 5% of gross domestic revenue — this percentage cannot be reduced without a constitutional amendment.</w:t>
      </w:r>
    </w:p>
    <w:p>
      <w:pPr>
        <w:spacing w:after="60" w:before="200"/>
        <w:ind w:left="431"/>
        <w:jc w:val="left"/>
      </w:pPr>
      <w:r>
        <w:rPr>
          <w:rFonts w:ascii="Courier New" w:cs="Courier New" w:eastAsia="Courier New" w:hAnsi="Courier New"/>
          <w:b/>
          <w:bCs/>
          <w:color w:val="1B2A4A"/>
          <w:sz w:val="18"/>
          <w:szCs w:val="18"/>
        </w:rPr>
        <w:t xml:space="preserve">§10.1.a  </w:t>
      </w:r>
      <w:r>
        <w:rPr>
          <w:rFonts w:ascii="Garamond" w:cs="Garamond" w:eastAsia="Garamond" w:hAnsi="Garamond"/>
          <w:b/>
          <w:bCs/>
          <w:i w:val="false"/>
          <w:iCs w:val="false"/>
          <w:color w:val="1B2A4A"/>
          <w:sz w:val="22"/>
          <w:szCs w:val="22"/>
        </w:rPr>
        <w:t xml:space="preserve">BNF Funding Reserve</w:t>
      </w:r>
    </w:p>
    <w:p>
      <w:pPr>
        <w:spacing w:after="120" w:before="0"/>
        <w:ind w:left="431"/>
        <w:jc w:val="both"/>
      </w:pPr>
      <w:r>
        <w:rPr>
          <w:rFonts w:ascii="Garamond" w:cs="Garamond" w:eastAsia="Garamond" w:hAnsi="Garamond"/>
          <w:b w:val="false"/>
          <w:bCs w:val="false"/>
          <w:i w:val="false"/>
          <w:iCs w:val="false"/>
          <w:color w:val="2a2520"/>
          <w:sz w:val="22"/>
          <w:szCs w:val="22"/>
        </w:rPr>
        <w:t xml:space="preserve">5% of gross domestic revenue is constitutionally reserved for the BNF and cannot be redirected. If the BNF requires more than 5%, the Legislature may appropriate additional funding by statute. The reserve is calculated annually by the MA and published to the NRS. During a Severe Revenue Contraction (§10.1.f), the National Endowment backstops the BNF.</w:t>
      </w:r>
    </w:p>
    <w:p>
      <w:pPr>
        <w:spacing w:after="60" w:before="200"/>
        <w:ind w:left="431"/>
        <w:jc w:val="left"/>
      </w:pPr>
      <w:r>
        <w:rPr>
          <w:rFonts w:ascii="Courier New" w:cs="Courier New" w:eastAsia="Courier New" w:hAnsi="Courier New"/>
          <w:b/>
          <w:bCs/>
          <w:color w:val="1B2A4A"/>
          <w:sz w:val="18"/>
          <w:szCs w:val="18"/>
        </w:rPr>
        <w:t xml:space="preserve">§10.1.b  </w:t>
      </w:r>
      <w:r>
        <w:rPr>
          <w:rFonts w:ascii="Garamond" w:cs="Garamond" w:eastAsia="Garamond" w:hAnsi="Garamond"/>
          <w:b/>
          <w:bCs/>
          <w:i w:val="false"/>
          <w:iCs w:val="false"/>
          <w:color w:val="1B2A4A"/>
          <w:sz w:val="22"/>
          <w:szCs w:val="22"/>
        </w:rPr>
        <w:t xml:space="preserve">BNF Adequacy Standard</w:t>
      </w:r>
    </w:p>
    <w:p>
      <w:pPr>
        <w:spacing w:after="120" w:before="0"/>
        <w:ind w:left="431"/>
        <w:jc w:val="both"/>
      </w:pPr>
      <w:r>
        <w:rPr>
          <w:rFonts w:ascii="Garamond" w:cs="Garamond" w:eastAsia="Garamond" w:hAnsi="Garamond"/>
          <w:b w:val="false"/>
          <w:bCs w:val="false"/>
          <w:i w:val="false"/>
          <w:iCs w:val="false"/>
          <w:color w:val="2a2520"/>
          <w:sz w:val="22"/>
          <w:szCs w:val="22"/>
        </w:rPr>
        <w:t xml:space="preserve">The BNF basket must be sufficient to meet genuine basic needs — not merely nominally available. The PM's annual budget must fund the BNF at a level the MA certifies as adequate to deliver the constitutional basket to every eligible Inhabitant. A budget that funds the BNF below the MA's certified adequacy level is constitutionally deficient.</w:t>
      </w:r>
    </w:p>
    <w:p>
      <w:pPr>
        <w:spacing w:after="60" w:before="200"/>
        <w:ind w:left="431"/>
        <w:jc w:val="left"/>
      </w:pPr>
      <w:r>
        <w:rPr>
          <w:rFonts w:ascii="Courier New" w:cs="Courier New" w:eastAsia="Courier New" w:hAnsi="Courier New"/>
          <w:b/>
          <w:bCs/>
          <w:color w:val="1B2A4A"/>
          <w:sz w:val="18"/>
          <w:szCs w:val="18"/>
        </w:rPr>
        <w:t xml:space="preserve">§10.1.c  </w:t>
      </w:r>
      <w:r>
        <w:rPr>
          <w:rFonts w:ascii="Garamond" w:cs="Garamond" w:eastAsia="Garamond" w:hAnsi="Garamond"/>
          <w:b/>
          <w:bCs/>
          <w:i w:val="false"/>
          <w:iCs w:val="false"/>
          <w:color w:val="1B2A4A"/>
          <w:sz w:val="22"/>
          <w:szCs w:val="22"/>
        </w:rPr>
        <w:t xml:space="preserve">BNF Coverage Scope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BNF must cover five categories: food security, housing, healthcare, education access, and digital connectivity. The Legislature defines the specific floor within each category by statute. No statute may reduce any category below the level of genuine adequacy — the constitutional floor is real sufficiency, not symbolic provision.</w:t>
      </w:r>
    </w:p>
    <w:p>
      <w:pPr>
        <w:spacing w:after="60" w:before="200"/>
        <w:ind w:left="431"/>
        <w:jc w:val="left"/>
      </w:pPr>
      <w:r>
        <w:rPr>
          <w:rFonts w:ascii="Courier New" w:cs="Courier New" w:eastAsia="Courier New" w:hAnsi="Courier New"/>
          <w:b/>
          <w:bCs/>
          <w:color w:val="1B2A4A"/>
          <w:sz w:val="18"/>
          <w:szCs w:val="18"/>
        </w:rPr>
        <w:t xml:space="preserve">§10.1.d  </w:t>
      </w:r>
      <w:r>
        <w:rPr>
          <w:rFonts w:ascii="Garamond" w:cs="Garamond" w:eastAsia="Garamond" w:hAnsi="Garamond"/>
          <w:b/>
          <w:bCs/>
          <w:i w:val="false"/>
          <w:iCs w:val="false"/>
          <w:color w:val="1B2A4A"/>
          <w:sz w:val="22"/>
          <w:szCs w:val="22"/>
        </w:rPr>
        <w:t xml:space="preserve">BNF Non-Discrimination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Access to BNF benefits may not be conditioned on citizenship, residency status, political affiliation, or any characteristic protected under §1.9. Every Inhabitant receives equal access. The Legislature may not create tiered access based on contribution history or prior benefit receipt — the BNF is a floor, not an insurance program.</w:t>
      </w:r>
    </w:p>
    <w:p>
      <w:pPr>
        <w:spacing w:after="60" w:before="200"/>
        <w:ind w:left="431"/>
        <w:jc w:val="left"/>
      </w:pPr>
      <w:r>
        <w:rPr>
          <w:rFonts w:ascii="Courier New" w:cs="Courier New" w:eastAsia="Courier New" w:hAnsi="Courier New"/>
          <w:b/>
          <w:bCs/>
          <w:color w:val="1B2A4A"/>
          <w:sz w:val="18"/>
          <w:szCs w:val="18"/>
        </w:rPr>
        <w:t xml:space="preserve">§10.1.e  </w:t>
      </w:r>
      <w:r>
        <w:rPr>
          <w:rFonts w:ascii="Garamond" w:cs="Garamond" w:eastAsia="Garamond" w:hAnsi="Garamond"/>
          <w:b/>
          <w:bCs/>
          <w:i w:val="false"/>
          <w:iCs w:val="false"/>
          <w:color w:val="1B2A4A"/>
          <w:sz w:val="22"/>
          <w:szCs w:val="22"/>
        </w:rPr>
        <w:t xml:space="preserve">BNF Administration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administers the BNF through the Domestic Affairs Council. Administration must meet the constitutional adequacy standard — delivery mechanisms must actually reach Inhabitants, not merely be nominally available. The LI audits BNF delivery annually.</w:t>
      </w:r>
    </w:p>
    <w:p>
      <w:pPr>
        <w:spacing w:after="60" w:before="200"/>
        <w:ind w:left="431"/>
        <w:jc w:val="left"/>
      </w:pPr>
      <w:r>
        <w:rPr>
          <w:rFonts w:ascii="Courier New" w:cs="Courier New" w:eastAsia="Courier New" w:hAnsi="Courier New"/>
          <w:b/>
          <w:bCs/>
          <w:color w:val="1B2A4A"/>
          <w:sz w:val="18"/>
          <w:szCs w:val="18"/>
        </w:rPr>
        <w:t xml:space="preserve">§10.1.f  </w:t>
      </w:r>
      <w:r>
        <w:rPr>
          <w:rFonts w:ascii="Garamond" w:cs="Garamond" w:eastAsia="Garamond" w:hAnsi="Garamond"/>
          <w:b/>
          <w:bCs/>
          <w:i w:val="false"/>
          <w:iCs w:val="false"/>
          <w:color w:val="1B2A4A"/>
          <w:sz w:val="22"/>
          <w:szCs w:val="22"/>
        </w:rPr>
        <w:t xml:space="preserve">Severe Revenue Contraction Protocol</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MA certifies a severe revenue contraction, the BNF funding floor remains in effect and the National Endowment reserve fund supplements the 5% reserve to ensure BNF continuity. The MA certification triggers automatic activation of the Endowment — no legislative action required. The BNF is recession-proof.</w:t>
      </w:r>
    </w:p>
    <w:p>
      <w:pPr>
        <w:spacing w:after="60" w:before="200"/>
        <w:ind w:left="431"/>
        <w:jc w:val="left"/>
      </w:pPr>
      <w:r>
        <w:rPr>
          <w:rFonts w:ascii="Courier New" w:cs="Courier New" w:eastAsia="Courier New" w:hAnsi="Courier New"/>
          <w:b/>
          <w:bCs/>
          <w:color w:val="1B2A4A"/>
          <w:sz w:val="18"/>
          <w:szCs w:val="18"/>
        </w:rPr>
        <w:t xml:space="preserve">§10.1.g  </w:t>
      </w:r>
      <w:r>
        <w:rPr>
          <w:rFonts w:ascii="Garamond" w:cs="Garamond" w:eastAsia="Garamond" w:hAnsi="Garamond"/>
          <w:b/>
          <w:bCs/>
          <w:i w:val="false"/>
          <w:iCs w:val="false"/>
          <w:color w:val="1B2A4A"/>
          <w:sz w:val="22"/>
          <w:szCs w:val="22"/>
        </w:rPr>
        <w:t xml:space="preserve">BNF and Emergency Declarations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No domestic emergency may reduce, suspend, or otherwise diminish BNF benefits. The BNF is explicitly excluded from emergency powers. A PM who attempts to redirect BNF funds during an emergency has committed a constitutional breach reportable by the EI.</w:t>
      </w:r>
    </w:p>
    <w:p>
      <w:pPr>
        <w:spacing w:after="60" w:before="200"/>
        <w:ind w:left="431"/>
        <w:jc w:val="left"/>
      </w:pPr>
      <w:r>
        <w:rPr>
          <w:rFonts w:ascii="Courier New" w:cs="Courier New" w:eastAsia="Courier New" w:hAnsi="Courier New"/>
          <w:b/>
          <w:bCs/>
          <w:color w:val="1B2A4A"/>
          <w:sz w:val="18"/>
          <w:szCs w:val="18"/>
        </w:rPr>
        <w:t xml:space="preserve">§10.2  </w:t>
      </w:r>
      <w:r>
        <w:rPr>
          <w:rFonts w:ascii="Garamond" w:cs="Garamond" w:eastAsia="Garamond" w:hAnsi="Garamond"/>
          <w:b/>
          <w:bCs/>
          <w:i w:val="false"/>
          <w:iCs w:val="false"/>
          <w:color w:val="1B2A4A"/>
          <w:sz w:val="22"/>
          <w:szCs w:val="22"/>
        </w:rPr>
        <w:t xml:space="preserve">Fiscal Accountability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constitutional framework for government spending discipline. The Legislature must pass a balanced budget or publish a structural deficit justification. The fiscal framework is enforced by the Inspectorates — the LI audits legislative fiscal claims, the EI audits executive spending certifications.</w:t>
      </w:r>
    </w:p>
    <w:p>
      <w:pPr>
        <w:spacing w:after="60" w:before="200"/>
        <w:ind w:left="431"/>
        <w:jc w:val="left"/>
      </w:pPr>
      <w:r>
        <w:rPr>
          <w:rFonts w:ascii="Courier New" w:cs="Courier New" w:eastAsia="Courier New" w:hAnsi="Courier New"/>
          <w:b/>
          <w:bCs/>
          <w:color w:val="1B2A4A"/>
          <w:sz w:val="18"/>
          <w:szCs w:val="18"/>
        </w:rPr>
        <w:t xml:space="preserve">§10.2.a  </w:t>
      </w:r>
      <w:r>
        <w:rPr>
          <w:rFonts w:ascii="Garamond" w:cs="Garamond" w:eastAsia="Garamond" w:hAnsi="Garamond"/>
          <w:b/>
          <w:bCs/>
          <w:i w:val="false"/>
          <w:iCs w:val="false"/>
          <w:color w:val="1B2A4A"/>
          <w:sz w:val="22"/>
          <w:szCs w:val="22"/>
        </w:rPr>
        <w:t xml:space="preserve">Deficit Threshold</w:t>
      </w:r>
    </w:p>
    <w:p>
      <w:pPr>
        <w:spacing w:after="120" w:before="0"/>
        <w:ind w:left="431"/>
        <w:jc w:val="both"/>
      </w:pPr>
      <w:r>
        <w:rPr>
          <w:rFonts w:ascii="Garamond" w:cs="Garamond" w:eastAsia="Garamond" w:hAnsi="Garamond"/>
          <w:b w:val="false"/>
          <w:bCs w:val="false"/>
          <w:i w:val="false"/>
          <w:iCs w:val="false"/>
          <w:color w:val="2a2520"/>
          <w:sz w:val="22"/>
          <w:szCs w:val="22"/>
        </w:rPr>
        <w:t xml:space="preserve">Structural deficits above the constitutional threshold (defined by the MA by statute) require a published justification from the Legislature and a published plan for return to balance. The MA reviews the justification for fiscal accuracy — not political adequacy.</w:t>
      </w:r>
    </w:p>
    <w:p>
      <w:pPr>
        <w:spacing w:after="60" w:before="200"/>
        <w:ind w:left="431"/>
        <w:jc w:val="left"/>
      </w:pPr>
      <w:r>
        <w:rPr>
          <w:rFonts w:ascii="Courier New" w:cs="Courier New" w:eastAsia="Courier New" w:hAnsi="Courier New"/>
          <w:b/>
          <w:bCs/>
          <w:color w:val="1B2A4A"/>
          <w:sz w:val="18"/>
          <w:szCs w:val="18"/>
        </w:rPr>
        <w:t xml:space="preserve">§10.2.b  </w:t>
      </w:r>
      <w:r>
        <w:rPr>
          <w:rFonts w:ascii="Garamond" w:cs="Garamond" w:eastAsia="Garamond" w:hAnsi="Garamond"/>
          <w:b/>
          <w:bCs/>
          <w:i w:val="false"/>
          <w:iCs w:val="false"/>
          <w:color w:val="1B2A4A"/>
          <w:sz w:val="22"/>
          <w:szCs w:val="22"/>
        </w:rPr>
        <w:t xml:space="preserve">Legislative Pay Withholding</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discretionary government spending has been suspended due to budget failure, the pay of all members of both chambers is withheld from the same date on which government employee pay is withheld — no earlier and no later. Withheld legislator pay is held and released in full within 14 days of a budget being enacted. No member may receive advance pay, loans from government sources, or any substitute compensation from public funds during this period. The MA publishes a daily count of days withheld to the NRS, running concurrently with the equivalent count for government employees.</w:t>
      </w:r>
    </w:p>
    <w:p>
      <w:pPr>
        <w:spacing w:after="60" w:before="200"/>
        <w:ind w:left="431"/>
        <w:jc w:val="left"/>
      </w:pPr>
      <w:r>
        <w:rPr>
          <w:rFonts w:ascii="Courier New" w:cs="Courier New" w:eastAsia="Courier New" w:hAnsi="Courier New"/>
          <w:b/>
          <w:bCs/>
          <w:color w:val="1B2A4A"/>
          <w:sz w:val="18"/>
          <w:szCs w:val="18"/>
        </w:rPr>
        <w:t xml:space="preserve">§10.2.c  </w:t>
      </w:r>
      <w:r>
        <w:rPr>
          <w:rFonts w:ascii="Garamond" w:cs="Garamond" w:eastAsia="Garamond" w:hAnsi="Garamond"/>
          <w:b/>
          <w:bCs/>
          <w:i w:val="false"/>
          <w:iCs w:val="false"/>
          <w:color w:val="1B2A4A"/>
          <w:sz w:val="22"/>
          <w:szCs w:val="22"/>
        </w:rPr>
        <w:t xml:space="preserve">National Endowment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Endowment reserve fund for BNF backstop purposes is established and governed under §10.6. The Legislature must fund it by appropriation in years of fiscal surplus. Failure to establish or adequately fund the Endowment within the constitutionally required period is a compliance breach reportable by the LI.</w:t>
      </w:r>
    </w:p>
    <w:p>
      <w:pPr>
        <w:spacing w:after="60" w:before="200"/>
        <w:ind w:left="431"/>
        <w:jc w:val="left"/>
      </w:pPr>
      <w:r>
        <w:rPr>
          <w:rFonts w:ascii="Courier New" w:cs="Courier New" w:eastAsia="Courier New" w:hAnsi="Courier New"/>
          <w:b/>
          <w:bCs/>
          <w:color w:val="1B2A4A"/>
          <w:sz w:val="18"/>
          <w:szCs w:val="18"/>
        </w:rPr>
        <w:t xml:space="preserve">§10.3  </w:t>
      </w:r>
      <w:r>
        <w:rPr>
          <w:rFonts w:ascii="Garamond" w:cs="Garamond" w:eastAsia="Garamond" w:hAnsi="Garamond"/>
          <w:b/>
          <w:bCs/>
          <w:i w:val="false"/>
          <w:iCs w:val="false"/>
          <w:color w:val="1B2A4A"/>
          <w:sz w:val="22"/>
          <w:szCs w:val="22"/>
        </w:rPr>
        <w:t xml:space="preserve">Public Campaign Financing</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by statute establish a public campaign financing system within 24 months of the first Legislature convening under §19.3.d. If it fails to do so, the failure is a constitutional compliance breach — the LI certifies the breach, the EI reports it, and citizens may petition for a citizen legislative initiative under §11.2.a to impose a public financing framework by direct mandate.</w:t>
      </w:r>
    </w:p>
    <w:p>
      <w:pPr>
        <w:spacing w:after="60" w:before="200"/>
        <w:ind w:left="431"/>
        <w:jc w:val="left"/>
      </w:pPr>
      <w:r>
        <w:rPr>
          <w:rFonts w:ascii="Courier New" w:cs="Courier New" w:eastAsia="Courier New" w:hAnsi="Courier New"/>
          <w:b/>
          <w:bCs/>
          <w:color w:val="1B2A4A"/>
          <w:sz w:val="18"/>
          <w:szCs w:val="18"/>
        </w:rPr>
        <w:t xml:space="preserve">§10.3.a  </w:t>
      </w:r>
      <w:r>
        <w:rPr>
          <w:rFonts w:ascii="Garamond" w:cs="Garamond" w:eastAsia="Garamond" w:hAnsi="Garamond"/>
          <w:b/>
          <w:bCs/>
          <w:i w:val="false"/>
          <w:iCs w:val="false"/>
          <w:color w:val="1B2A4A"/>
          <w:sz w:val="22"/>
          <w:szCs w:val="22"/>
        </w:rPr>
        <w:t xml:space="preserve">Campaign Financing Standards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public financing system must provide all registered candidates with equal access to public funds. No incumbent advantage in the allocation formula. Private contributions are capped at the de minimis threshold under §18.3. Administered by the Electoral Commission — not by either executive or the Legislature.</w:t>
      </w:r>
    </w:p>
    <w:p>
      <w:pPr>
        <w:spacing w:after="60" w:before="200"/>
        <w:ind w:left="431"/>
        <w:jc w:val="left"/>
      </w:pPr>
      <w:r>
        <w:rPr>
          <w:rFonts w:ascii="Courier New" w:cs="Courier New" w:eastAsia="Courier New" w:hAnsi="Courier New"/>
          <w:b/>
          <w:bCs/>
          <w:color w:val="1B2A4A"/>
          <w:sz w:val="18"/>
          <w:szCs w:val="18"/>
        </w:rPr>
        <w:t xml:space="preserve">§10.3.b  </w:t>
      </w:r>
      <w:r>
        <w:rPr>
          <w:rFonts w:ascii="Garamond" w:cs="Garamond" w:eastAsia="Garamond" w:hAnsi="Garamond"/>
          <w:b/>
          <w:bCs/>
          <w:i w:val="false"/>
          <w:iCs w:val="false"/>
          <w:color w:val="1B2A4A"/>
          <w:sz w:val="22"/>
          <w:szCs w:val="22"/>
        </w:rPr>
        <w:t xml:space="preserve">Campaign Financing Enforcement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Violations are a constitutional breach reportable by the EI. The EI audits all campaign finance records within 90 days of any election. Candidates who received impermissible contributions must refund them or have the amount treated as an undisclosed in-kind contribution.</w:t>
      </w:r>
    </w:p>
    <w:p>
      <w:pPr>
        <w:spacing w:after="60" w:before="200"/>
        <w:ind w:left="431"/>
        <w:jc w:val="left"/>
      </w:pPr>
      <w:r>
        <w:rPr>
          <w:rFonts w:ascii="Courier New" w:cs="Courier New" w:eastAsia="Courier New" w:hAnsi="Courier New"/>
          <w:b/>
          <w:bCs/>
          <w:color w:val="1B2A4A"/>
          <w:sz w:val="18"/>
          <w:szCs w:val="18"/>
        </w:rPr>
        <w:t xml:space="preserve">§10.4  </w:t>
      </w:r>
      <w:r>
        <w:rPr>
          <w:rFonts w:ascii="Garamond" w:cs="Garamond" w:eastAsia="Garamond" w:hAnsi="Garamond"/>
          <w:b/>
          <w:bCs/>
          <w:i w:val="false"/>
          <w:iCs w:val="false"/>
          <w:color w:val="1B2A4A"/>
          <w:sz w:val="22"/>
          <w:szCs w:val="22"/>
        </w:rPr>
        <w:t xml:space="preserve">The Monetary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Monetary Authority is the Republic's constitutionally independent central bank, governed by an elected Director and an appointed board. Its mandate hierarchy and independence from political direction are established in this section.</w:t>
      </w:r>
    </w:p>
    <w:p>
      <w:pPr>
        <w:spacing w:after="60" w:before="200"/>
        <w:ind w:left="431"/>
        <w:jc w:val="left"/>
      </w:pPr>
      <w:r>
        <w:rPr>
          <w:rFonts w:ascii="Courier New" w:cs="Courier New" w:eastAsia="Courier New" w:hAnsi="Courier New"/>
          <w:b/>
          <w:bCs/>
          <w:color w:val="1B2A4A"/>
          <w:sz w:val="18"/>
          <w:szCs w:val="18"/>
        </w:rPr>
        <w:t xml:space="preserve">§10.4.a  </w:t>
      </w:r>
      <w:r>
        <w:rPr>
          <w:rFonts w:ascii="Garamond" w:cs="Garamond" w:eastAsia="Garamond" w:hAnsi="Garamond"/>
          <w:b/>
          <w:bCs/>
          <w:i w:val="false"/>
          <w:iCs w:val="false"/>
          <w:color w:val="1B2A4A"/>
          <w:sz w:val="22"/>
          <w:szCs w:val="22"/>
        </w:rPr>
        <w:t xml:space="preserve">MA Director Election and Board Composition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MA is governed by an elected Director and a board of five appointed members. The Director is elected by national RCV on National Election Day to a single non-renewable 8-year term, staggered from the board member appointment cycle. Board members are appointed by the PM and confirmed by the Senate to staggered 6-year non-renewable terms. No more than two board members may be appointed by the same PM. Board vacancies must be filled within 90 days of opening; if the PM fails to nominate within 60 days, the JI publishes a notice of constitutional non-compliance.</w:t>
      </w:r>
    </w:p>
    <w:p>
      <w:pPr>
        <w:spacing w:after="60" w:before="200"/>
        <w:ind w:left="431"/>
        <w:jc w:val="left"/>
      </w:pPr>
      <w:r>
        <w:rPr>
          <w:rFonts w:ascii="Courier New" w:cs="Courier New" w:eastAsia="Courier New" w:hAnsi="Courier New"/>
          <w:b/>
          <w:bCs/>
          <w:color w:val="1B2A4A"/>
          <w:sz w:val="18"/>
          <w:szCs w:val="18"/>
        </w:rPr>
        <w:t xml:space="preserve">§10.4.b  </w:t>
      </w:r>
      <w:r>
        <w:rPr>
          <w:rFonts w:ascii="Garamond" w:cs="Garamond" w:eastAsia="Garamond" w:hAnsi="Garamond"/>
          <w:b/>
          <w:bCs/>
          <w:i w:val="false"/>
          <w:iCs w:val="false"/>
          <w:color w:val="1B2A4A"/>
          <w:sz w:val="22"/>
          <w:szCs w:val="22"/>
        </w:rPr>
        <w:t xml:space="preserve">MA Independence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MA's hierarchical mandate is constitutionally fixed: primary mandate is price stability and fiscal solvency; secondary mandate is regard for employment conditions and sustainable growth. The primary mandate takes precedence in all cases of conflict. This hierarchy cannot be altered by ordinary statute — only by constitutional amendment. No government may direct the MA to elevate its secondary mandate to co-equal status with the primary mandate.</w:t>
      </w:r>
    </w:p>
    <w:p>
      <w:pPr>
        <w:spacing w:after="60" w:before="200"/>
        <w:ind w:left="431"/>
        <w:jc w:val="left"/>
      </w:pPr>
      <w:r>
        <w:rPr>
          <w:rFonts w:ascii="Courier New" w:cs="Courier New" w:eastAsia="Courier New" w:hAnsi="Courier New"/>
          <w:b/>
          <w:bCs/>
          <w:color w:val="1B2A4A"/>
          <w:sz w:val="18"/>
          <w:szCs w:val="18"/>
        </w:rPr>
        <w:t xml:space="preserve">§10.4.b.i  </w:t>
      </w:r>
      <w:r>
        <w:rPr>
          <w:rFonts w:ascii="Garamond" w:cs="Garamond" w:eastAsia="Garamond" w:hAnsi="Garamond"/>
          <w:b/>
          <w:bCs/>
          <w:i w:val="false"/>
          <w:iCs w:val="false"/>
          <w:color w:val="1B2A4A"/>
          <w:sz w:val="22"/>
          <w:szCs w:val="22"/>
        </w:rPr>
        <w:t xml:space="preserve">Executive Non-Interference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Monetary Authority's operational independence is explicitly protected against executive direction. Neither executive may direct, modify, delay, or suppress an MA operational capacity certification. An acting MA Director who issues certifications under executive direction or pressure is subject to the same constitutional accountability framework as a confirmed Director and is constitutionally prohibited from issuing such certifications under political direction.</w:t>
      </w:r>
    </w:p>
    <w:p>
      <w:pPr>
        <w:spacing w:after="60" w:before="200"/>
        <w:ind w:left="431"/>
        <w:jc w:val="left"/>
      </w:pPr>
      <w:r>
        <w:rPr>
          <w:rFonts w:ascii="Courier New" w:cs="Courier New" w:eastAsia="Courier New" w:hAnsi="Courier New"/>
          <w:b/>
          <w:bCs/>
          <w:color w:val="1B2A4A"/>
          <w:sz w:val="18"/>
          <w:szCs w:val="18"/>
        </w:rPr>
        <w:t xml:space="preserve">§10.4.b.ii  </w:t>
      </w:r>
      <w:r>
        <w:rPr>
          <w:rFonts w:ascii="Garamond" w:cs="Garamond" w:eastAsia="Garamond" w:hAnsi="Garamond"/>
          <w:b/>
          <w:bCs/>
          <w:i w:val="false"/>
          <w:iCs w:val="false"/>
          <w:color w:val="1B2A4A"/>
          <w:sz w:val="22"/>
          <w:szCs w:val="22"/>
        </w:rPr>
        <w:t xml:space="preserve">Acting MA Director</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MA Director position is vacant or the Director is incapacitated, the board of five members selects an Acting Director from among themselves by majority vote within 7 days of the vacancy or incapacity being established. The Acting Director holds all Director powers except the veto right under §10.4.f, which is suspended until a new Director is elected under §10.4.a. An Acting Director may not be nominated to stand as the permanent elected Director for the vacancy period they filled. The JI publishes the vacancy notice to the NRS within 48 hours, triggering the electoral process for a replacement Director under the timeline established by statute.</w:t>
      </w:r>
    </w:p>
    <w:p>
      <w:pPr>
        <w:spacing w:after="60" w:before="200"/>
        <w:ind w:left="431"/>
        <w:jc w:val="left"/>
      </w:pPr>
      <w:r>
        <w:rPr>
          <w:rFonts w:ascii="Courier New" w:cs="Courier New" w:eastAsia="Courier New" w:hAnsi="Courier New"/>
          <w:b/>
          <w:bCs/>
          <w:color w:val="1B2A4A"/>
          <w:sz w:val="18"/>
          <w:szCs w:val="18"/>
        </w:rPr>
        <w:t xml:space="preserve">§10.4.c  </w:t>
      </w:r>
      <w:r>
        <w:rPr>
          <w:rFonts w:ascii="Garamond" w:cs="Garamond" w:eastAsia="Garamond" w:hAnsi="Garamond"/>
          <w:b/>
          <w:bCs/>
          <w:i w:val="false"/>
          <w:iCs w:val="false"/>
          <w:color w:val="1B2A4A"/>
          <w:sz w:val="22"/>
          <w:szCs w:val="22"/>
        </w:rPr>
        <w:t xml:space="preserve">Transparency</w:t>
      </w:r>
    </w:p>
    <w:p>
      <w:pPr>
        <w:spacing w:after="120" w:before="0"/>
        <w:ind w:left="431"/>
        <w:jc w:val="both"/>
      </w:pPr>
      <w:r>
        <w:rPr>
          <w:rFonts w:ascii="Garamond" w:cs="Garamond" w:eastAsia="Garamond" w:hAnsi="Garamond"/>
          <w:b w:val="false"/>
          <w:bCs w:val="false"/>
          <w:i w:val="false"/>
          <w:iCs w:val="false"/>
          <w:color w:val="2a2520"/>
          <w:sz w:val="22"/>
          <w:szCs w:val="22"/>
        </w:rPr>
        <w:t xml:space="preserve">All MA determinations, rate decisions, board votes, dissents, and mandate analyses must be published to the NRS within 48 hours of the board meeting. Board Member dissents are published alongside the majority determination.</w:t>
      </w:r>
    </w:p>
    <w:p>
      <w:pPr>
        <w:spacing w:after="60" w:before="200"/>
        <w:ind w:left="431"/>
        <w:jc w:val="left"/>
      </w:pPr>
      <w:r>
        <w:rPr>
          <w:rFonts w:ascii="Courier New" w:cs="Courier New" w:eastAsia="Courier New" w:hAnsi="Courier New"/>
          <w:b/>
          <w:bCs/>
          <w:color w:val="1B2A4A"/>
          <w:sz w:val="18"/>
          <w:szCs w:val="18"/>
        </w:rPr>
        <w:t xml:space="preserve">§10.4.d  </w:t>
      </w:r>
      <w:r>
        <w:rPr>
          <w:rFonts w:ascii="Garamond" w:cs="Garamond" w:eastAsia="Garamond" w:hAnsi="Garamond"/>
          <w:b/>
          <w:bCs/>
          <w:i w:val="false"/>
          <w:iCs w:val="false"/>
          <w:color w:val="1B2A4A"/>
          <w:sz w:val="22"/>
          <w:szCs w:val="22"/>
        </w:rPr>
        <w:t xml:space="preserve">Methodology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MA's calculation methodologies must be published and publicly available. The MA may not change its published methodology without 90 days' notice and a published explanation. Covert methodology changes — changing how the numbers are calculated without telling anyone — are a constitutional breach. Violations of the notice requirement are a constitutional breach reportable by the EI. The MA's methodology must maintain comparability with its prior published series — changes that retroactively alter historical measurements are void without an explicit published historical restatement reconciling old and new series.</w:t>
      </w:r>
    </w:p>
    <w:p>
      <w:pPr>
        <w:spacing w:after="60" w:before="200"/>
        <w:ind w:left="431"/>
        <w:jc w:val="left"/>
      </w:pPr>
      <w:r>
        <w:rPr>
          <w:rFonts w:ascii="Courier New" w:cs="Courier New" w:eastAsia="Courier New" w:hAnsi="Courier New"/>
          <w:b/>
          <w:bCs/>
          <w:color w:val="1B2A4A"/>
          <w:sz w:val="18"/>
          <w:szCs w:val="18"/>
        </w:rPr>
        <w:t xml:space="preserve">§10.4.e  </w:t>
      </w:r>
      <w:r>
        <w:rPr>
          <w:rFonts w:ascii="Garamond" w:cs="Garamond" w:eastAsia="Garamond" w:hAnsi="Garamond"/>
          <w:b/>
          <w:bCs/>
          <w:i w:val="false"/>
          <w:iCs w:val="false"/>
          <w:color w:val="1B2A4A"/>
          <w:sz w:val="22"/>
          <w:szCs w:val="22"/>
        </w:rPr>
        <w:t xml:space="preserve">Uncertifiable Inherited Fiscal Position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MA cannot certify the incoming government's fiscal position because the inherited data is too incomplete or unreliable, the MA publishes a qualified certification explaining the limitations. The Legislature must respond within 30 days with a plan to establish reliable fiscal data.</w:t>
      </w:r>
    </w:p>
    <w:p>
      <w:pPr>
        <w:spacing w:after="60" w:before="200"/>
        <w:ind w:left="431"/>
        <w:jc w:val="left"/>
      </w:pPr>
      <w:r>
        <w:rPr>
          <w:rFonts w:ascii="Courier New" w:cs="Courier New" w:eastAsia="Courier New" w:hAnsi="Courier New"/>
          <w:b/>
          <w:bCs/>
          <w:color w:val="1B2A4A"/>
          <w:sz w:val="18"/>
          <w:szCs w:val="18"/>
        </w:rPr>
        <w:t xml:space="preserve">§10.4.f  </w:t>
      </w:r>
      <w:r>
        <w:rPr>
          <w:rFonts w:ascii="Garamond" w:cs="Garamond" w:eastAsia="Garamond" w:hAnsi="Garamond"/>
          <w:b/>
          <w:bCs/>
          <w:i w:val="false"/>
          <w:iCs w:val="false"/>
          <w:color w:val="1B2A4A"/>
          <w:sz w:val="22"/>
          <w:szCs w:val="22"/>
        </w:rPr>
        <w:t xml:space="preserve">Director-Board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MA Director chairs the board and holds veto authority over board decisions. The board of five members decides by majority vote; the Director does not hold a board vote. The Director may veto any board decision by publishing written grounds to the NRS within the period the Legislature defines by statute; a veto without published grounds is constitutionally void. The board may override a Director veto by 4-of-5 supermajority; the override and its grounds are published to the NRS. Where a board decision takes effect following a 4-of-5 override and the Director believes it violates the §10.4.b primary mandate hierarchy, the Director may refer the question to the Executive Inspectorate. If the EI advises that a potential mandate hierarchy violation exists, the Director may petition the Supreme Court for a mandate determination. The veto period must be no fewer than 7 days; the board override period no fewer than 14 days; the EI advisory period no fewer than 30 days; the SC petition period no fewer than 60 days. The Legislature may extend but not shorten these floors by statute.</w:t>
      </w:r>
    </w:p>
    <w:p>
      <w:pPr>
        <w:spacing w:after="60" w:before="200"/>
        <w:ind w:left="431"/>
        <w:jc w:val="left"/>
      </w:pPr>
      <w:r>
        <w:rPr>
          <w:rFonts w:ascii="Courier New" w:cs="Courier New" w:eastAsia="Courier New" w:hAnsi="Courier New"/>
          <w:b/>
          <w:bCs/>
          <w:color w:val="1B2A4A"/>
          <w:sz w:val="18"/>
          <w:szCs w:val="18"/>
        </w:rPr>
        <w:t xml:space="preserve">§10.5  </w:t>
      </w:r>
      <w:r>
        <w:rPr>
          <w:rFonts w:ascii="Garamond" w:cs="Garamond" w:eastAsia="Garamond" w:hAnsi="Garamond"/>
          <w:b/>
          <w:bCs/>
          <w:i w:val="false"/>
          <w:iCs w:val="false"/>
          <w:color w:val="1B2A4A"/>
          <w:sz w:val="22"/>
          <w:szCs w:val="22"/>
        </w:rPr>
        <w:t xml:space="preserve">Ethics and Conflict of Interest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constitutional officers are subject to the ethics obligations of this section from the moment they take office. These obligations run concurrently with and do not replace any statutory ethics requirements the Legislature may establish.</w:t>
      </w:r>
    </w:p>
    <w:p>
      <w:pPr>
        <w:spacing w:after="60" w:before="200"/>
        <w:ind w:left="431"/>
        <w:jc w:val="left"/>
      </w:pPr>
      <w:r>
        <w:rPr>
          <w:rFonts w:ascii="Courier New" w:cs="Courier New" w:eastAsia="Courier New" w:hAnsi="Courier New"/>
          <w:b/>
          <w:bCs/>
          <w:color w:val="1B2A4A"/>
          <w:sz w:val="18"/>
          <w:szCs w:val="18"/>
        </w:rPr>
        <w:t xml:space="preserve">§10.5.a  </w:t>
      </w:r>
      <w:r>
        <w:rPr>
          <w:rFonts w:ascii="Garamond" w:cs="Garamond" w:eastAsia="Garamond" w:hAnsi="Garamond"/>
          <w:b/>
          <w:bCs/>
          <w:i w:val="false"/>
          <w:iCs w:val="false"/>
          <w:color w:val="1B2A4A"/>
          <w:sz w:val="22"/>
          <w:szCs w:val="22"/>
        </w:rPr>
        <w:t xml:space="preserve">Personal Financial Disclosure</w:t>
      </w:r>
    </w:p>
    <w:p>
      <w:pPr>
        <w:spacing w:after="120" w:before="0"/>
        <w:ind w:left="431"/>
        <w:jc w:val="both"/>
      </w:pPr>
      <w:r>
        <w:rPr>
          <w:rFonts w:ascii="Garamond" w:cs="Garamond" w:eastAsia="Garamond" w:hAnsi="Garamond"/>
          <w:b w:val="false"/>
          <w:bCs w:val="false"/>
          <w:i w:val="false"/>
          <w:iCs w:val="false"/>
          <w:color w:val="2a2520"/>
          <w:sz w:val="22"/>
          <w:szCs w:val="22"/>
        </w:rPr>
        <w:t xml:space="preserve">All elected and appointed constitutional officers must disclose all financial interests, holdings, income sources, and liabilities to the EI within 30 days of taking office and annually thereafter. Disclosure records are published to the NRS. The standard for all official benefits, allowances, and in-office provisions — housing, healthcare, retirement — is that of a senior career public servant in a non-political role, not an executive, elected official, or political appointee. The Legislature defines the comparator by statute; any definition that produces a standard materially higher than senior career public service is constitutionally void. Departure above this standard is permitted only where an official's constitutional responsibilities create a demonstrable operational need, certified by the EI, and only to the minimum extent that need requires.</w:t>
      </w:r>
    </w:p>
    <w:p>
      <w:pPr>
        <w:spacing w:after="60" w:before="200"/>
        <w:ind w:left="431"/>
        <w:jc w:val="left"/>
      </w:pPr>
      <w:r>
        <w:rPr>
          <w:rFonts w:ascii="Courier New" w:cs="Courier New" w:eastAsia="Courier New" w:hAnsi="Courier New"/>
          <w:b/>
          <w:bCs/>
          <w:color w:val="1B2A4A"/>
          <w:sz w:val="18"/>
          <w:szCs w:val="18"/>
        </w:rPr>
        <w:t xml:space="preserve">§10.5.b  </w:t>
      </w:r>
      <w:r>
        <w:rPr>
          <w:rFonts w:ascii="Garamond" w:cs="Garamond" w:eastAsia="Garamond" w:hAnsi="Garamond"/>
          <w:b/>
          <w:bCs/>
          <w:i w:val="false"/>
          <w:iCs w:val="false"/>
          <w:color w:val="1B2A4A"/>
          <w:sz w:val="22"/>
          <w:szCs w:val="22"/>
        </w:rPr>
        <w:t xml:space="preserve">Conflict of Interest Recusal</w:t>
      </w:r>
    </w:p>
    <w:p>
      <w:pPr>
        <w:spacing w:after="120" w:before="0"/>
        <w:ind w:left="431"/>
        <w:jc w:val="both"/>
      </w:pPr>
      <w:r>
        <w:rPr>
          <w:rFonts w:ascii="Garamond" w:cs="Garamond" w:eastAsia="Garamond" w:hAnsi="Garamond"/>
          <w:b w:val="false"/>
          <w:bCs w:val="false"/>
          <w:i w:val="false"/>
          <w:iCs w:val="false"/>
          <w:color w:val="2a2520"/>
          <w:sz w:val="22"/>
          <w:szCs w:val="22"/>
        </w:rPr>
        <w:t xml:space="preserve">Any constitutional officer with a direct financial interest in a decision within their authority must recuse themselves from that decision. Recusal is self-executing — the officer cannot be excused from recusal by the PM, President, or Legislature. Failure to recuse when required is a constitutional breach reportable by the EI.</w:t>
      </w:r>
    </w:p>
    <w:p>
      <w:pPr>
        <w:spacing w:after="60" w:before="200"/>
        <w:ind w:left="431"/>
        <w:jc w:val="left"/>
      </w:pPr>
      <w:r>
        <w:rPr>
          <w:rFonts w:ascii="Courier New" w:cs="Courier New" w:eastAsia="Courier New" w:hAnsi="Courier New"/>
          <w:b/>
          <w:bCs/>
          <w:color w:val="1B2A4A"/>
          <w:sz w:val="18"/>
          <w:szCs w:val="18"/>
        </w:rPr>
        <w:t xml:space="preserve">§10.5.c  </w:t>
      </w:r>
      <w:r>
        <w:rPr>
          <w:rFonts w:ascii="Garamond" w:cs="Garamond" w:eastAsia="Garamond" w:hAnsi="Garamond"/>
          <w:b/>
          <w:bCs/>
          <w:i w:val="false"/>
          <w:iCs w:val="false"/>
          <w:color w:val="1B2A4A"/>
          <w:sz w:val="22"/>
          <w:szCs w:val="22"/>
        </w:rPr>
        <w:t xml:space="preserve">Post-Service and Revolving Door Restrictions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Constitutional officers may not, for 5 years after leaving office, engage in any activity that monetizes, exploits, or draws on non-public information, relationships, or access accumulated during service. This covers lobbying, consulting, advisory roles, and employment in regulated industries directly affected by the officer's prior decisions — regardless of whether the officer characterizes the engagement as drawing on their prior role. The EI determines whether a post-service engagement falls within this restriction; the officer bears the burden of demonstrating it does not. Violations are a constitutional breach and the officer forfeits any compensation received during the restricted period to the public treasury.</w:t>
      </w:r>
    </w:p>
    <w:p>
      <w:pPr>
        <w:spacing w:after="60" w:before="200"/>
        <w:ind w:left="431"/>
        <w:jc w:val="left"/>
      </w:pPr>
      <w:r>
        <w:rPr>
          <w:rFonts w:ascii="Courier New" w:cs="Courier New" w:eastAsia="Courier New" w:hAnsi="Courier New"/>
          <w:b/>
          <w:bCs/>
          <w:color w:val="1B2A4A"/>
          <w:sz w:val="18"/>
          <w:szCs w:val="18"/>
        </w:rPr>
        <w:t xml:space="preserve">§10.5.d  </w:t>
      </w:r>
      <w:r>
        <w:rPr>
          <w:rFonts w:ascii="Garamond" w:cs="Garamond" w:eastAsia="Garamond" w:hAnsi="Garamond"/>
          <w:b/>
          <w:bCs/>
          <w:i w:val="false"/>
          <w:iCs w:val="false"/>
          <w:color w:val="1B2A4A"/>
          <w:sz w:val="22"/>
          <w:szCs w:val="22"/>
        </w:rPr>
        <w:t xml:space="preserve">Gift and Hospitality Rules</w:t>
      </w:r>
    </w:p>
    <w:p>
      <w:pPr>
        <w:spacing w:after="120" w:before="0"/>
        <w:ind w:left="431"/>
        <w:jc w:val="both"/>
      </w:pPr>
      <w:r>
        <w:rPr>
          <w:rFonts w:ascii="Garamond" w:cs="Garamond" w:eastAsia="Garamond" w:hAnsi="Garamond"/>
          <w:b w:val="false"/>
          <w:bCs w:val="false"/>
          <w:i w:val="false"/>
          <w:iCs w:val="false"/>
          <w:color w:val="2a2520"/>
          <w:sz w:val="22"/>
          <w:szCs w:val="22"/>
        </w:rPr>
        <w:t xml:space="preserve">Constitutional officers may not accept gifts or hospitality above a de minimis threshold defined by statute. All gifts above the threshold must be disclosed to the EI within 30 days and deposited with the relevant treasury. Retention without disclosure is a constitutional breach. Foreign gifts are subject to the same rules.</w:t>
      </w:r>
    </w:p>
    <w:p>
      <w:pPr>
        <w:spacing w:after="60" w:before="200"/>
        <w:ind w:left="431"/>
        <w:jc w:val="left"/>
      </w:pPr>
      <w:r>
        <w:rPr>
          <w:rFonts w:ascii="Courier New" w:cs="Courier New" w:eastAsia="Courier New" w:hAnsi="Courier New"/>
          <w:b/>
          <w:bCs/>
          <w:color w:val="1B2A4A"/>
          <w:sz w:val="18"/>
          <w:szCs w:val="18"/>
        </w:rPr>
        <w:t xml:space="preserve">§10.5.e  </w:t>
      </w:r>
      <w:r>
        <w:rPr>
          <w:rFonts w:ascii="Garamond" w:cs="Garamond" w:eastAsia="Garamond" w:hAnsi="Garamond"/>
          <w:b/>
          <w:bCs/>
          <w:i w:val="false"/>
          <w:iCs w:val="false"/>
          <w:color w:val="1B2A4A"/>
          <w:sz w:val="22"/>
          <w:szCs w:val="22"/>
        </w:rPr>
        <w:t xml:space="preserve">Official Records Belong to the Republic</w:t>
      </w:r>
    </w:p>
    <w:p>
      <w:pPr>
        <w:spacing w:after="120" w:before="0"/>
        <w:ind w:left="431"/>
        <w:jc w:val="both"/>
      </w:pPr>
      <w:r>
        <w:rPr>
          <w:rFonts w:ascii="Garamond" w:cs="Garamond" w:eastAsia="Garamond" w:hAnsi="Garamond"/>
          <w:b w:val="false"/>
          <w:bCs w:val="false"/>
          <w:i w:val="false"/>
          <w:iCs w:val="false"/>
          <w:color w:val="2a2520"/>
          <w:sz w:val="22"/>
          <w:szCs w:val="22"/>
        </w:rPr>
        <w:t xml:space="preserve">All records created in the exercise of official functions are public records. Constitutional officers may not retain, destroy, or remove official records after leaving office. Records physically retained without authorization are subject to forfeiture.</w:t>
      </w:r>
    </w:p>
    <w:p>
      <w:pPr>
        <w:spacing w:after="60" w:before="200"/>
        <w:ind w:left="431"/>
        <w:jc w:val="left"/>
      </w:pPr>
      <w:r>
        <w:rPr>
          <w:rFonts w:ascii="Courier New" w:cs="Courier New" w:eastAsia="Courier New" w:hAnsi="Courier New"/>
          <w:b/>
          <w:bCs/>
          <w:color w:val="1B2A4A"/>
          <w:sz w:val="18"/>
          <w:szCs w:val="18"/>
        </w:rPr>
        <w:t xml:space="preserve">§10.5.f  </w:t>
      </w:r>
      <w:r>
        <w:rPr>
          <w:rFonts w:ascii="Garamond" w:cs="Garamond" w:eastAsia="Garamond" w:hAnsi="Garamond"/>
          <w:b/>
          <w:bCs/>
          <w:i w:val="false"/>
          <w:iCs w:val="false"/>
          <w:color w:val="1B2A4A"/>
          <w:sz w:val="22"/>
          <w:szCs w:val="22"/>
        </w:rPr>
        <w:t xml:space="preserve">Revolving Door — see §10.5.c</w:t>
      </w:r>
    </w:p>
    <w:p>
      <w:pPr>
        <w:spacing w:after="120" w:before="0"/>
        <w:ind w:left="431"/>
        <w:jc w:val="both"/>
      </w:pPr>
      <w:r>
        <w:rPr>
          <w:rFonts w:ascii="Garamond" w:cs="Garamond" w:eastAsia="Garamond" w:hAnsi="Garamond"/>
          <w:b w:val="false"/>
          <w:bCs w:val="false"/>
          <w:i w:val="false"/>
          <w:iCs w:val="false"/>
          <w:color w:val="2a2520"/>
          <w:sz w:val="22"/>
          <w:szCs w:val="22"/>
        </w:rPr>
        <w:t xml:space="preserve">Post-service restrictions including the revolving door prohibition are consolidated in §10.5.c.</w:t>
      </w:r>
    </w:p>
    <w:p>
      <w:pPr>
        <w:spacing w:after="60" w:before="200"/>
        <w:ind w:left="431"/>
        <w:jc w:val="left"/>
      </w:pPr>
      <w:r>
        <w:rPr>
          <w:rFonts w:ascii="Courier New" w:cs="Courier New" w:eastAsia="Courier New" w:hAnsi="Courier New"/>
          <w:b/>
          <w:bCs/>
          <w:color w:val="1B2A4A"/>
          <w:sz w:val="18"/>
          <w:szCs w:val="18"/>
        </w:rPr>
        <w:t xml:space="preserve">§10.5.g  </w:t>
      </w:r>
      <w:r>
        <w:rPr>
          <w:rFonts w:ascii="Garamond" w:cs="Garamond" w:eastAsia="Garamond" w:hAnsi="Garamond"/>
          <w:b/>
          <w:bCs/>
          <w:i w:val="false"/>
          <w:iCs w:val="false"/>
          <w:color w:val="1B2A4A"/>
          <w:sz w:val="22"/>
          <w:szCs w:val="22"/>
        </w:rPr>
        <w:t xml:space="preserve">Official Intellectual Property</w:t>
      </w:r>
    </w:p>
    <w:p>
      <w:pPr>
        <w:spacing w:after="120" w:before="0"/>
        <w:ind w:left="431"/>
        <w:jc w:val="both"/>
      </w:pPr>
      <w:r>
        <w:rPr>
          <w:rFonts w:ascii="Garamond" w:cs="Garamond" w:eastAsia="Garamond" w:hAnsi="Garamond"/>
          <w:b w:val="false"/>
          <w:bCs w:val="false"/>
          <w:i w:val="false"/>
          <w:iCs w:val="false"/>
          <w:color w:val="2a2520"/>
          <w:sz w:val="22"/>
          <w:szCs w:val="22"/>
        </w:rPr>
        <w:t xml:space="preserve">Ideas, analyses, and work product created during official service belong to the Republic. An officer may not monetize work done in their official capacity for 5 years following service.</w:t>
      </w:r>
    </w:p>
    <w:p>
      <w:pPr>
        <w:spacing w:after="60" w:before="200"/>
        <w:ind w:left="431"/>
        <w:jc w:val="left"/>
      </w:pPr>
      <w:r>
        <w:rPr>
          <w:rFonts w:ascii="Courier New" w:cs="Courier New" w:eastAsia="Courier New" w:hAnsi="Courier New"/>
          <w:b/>
          <w:bCs/>
          <w:color w:val="1B2A4A"/>
          <w:sz w:val="18"/>
          <w:szCs w:val="18"/>
        </w:rPr>
        <w:t xml:space="preserve">§10.5.h  </w:t>
      </w:r>
      <w:r>
        <w:rPr>
          <w:rFonts w:ascii="Garamond" w:cs="Garamond" w:eastAsia="Garamond" w:hAnsi="Garamond"/>
          <w:b/>
          <w:bCs/>
          <w:i w:val="false"/>
          <w:iCs w:val="false"/>
          <w:color w:val="1B2A4A"/>
          <w:sz w:val="22"/>
          <w:szCs w:val="22"/>
        </w:rPr>
        <w:t xml:space="preserve">Ethics Enforcement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EI is the primary enforcement mechanism for the §10.5 ethics provisions. The EI publishes all disclosed conflicts, all flagged violations, and all referrals to the Legislature for removal proceedings. The EI publishes facts and refers serious violations — it does not impose penalties directly.</w:t>
      </w:r>
    </w:p>
    <w:p>
      <w:pPr>
        <w:spacing w:after="60" w:before="200"/>
        <w:ind w:left="431"/>
        <w:jc w:val="left"/>
      </w:pPr>
      <w:r>
        <w:rPr>
          <w:rFonts w:ascii="Courier New" w:cs="Courier New" w:eastAsia="Courier New" w:hAnsi="Courier New"/>
          <w:b/>
          <w:bCs/>
          <w:color w:val="1B2A4A"/>
          <w:sz w:val="18"/>
          <w:szCs w:val="18"/>
        </w:rPr>
        <w:t xml:space="preserve">§10.6  </w:t>
      </w:r>
      <w:r>
        <w:rPr>
          <w:rFonts w:ascii="Garamond" w:cs="Garamond" w:eastAsia="Garamond" w:hAnsi="Garamond"/>
          <w:b/>
          <w:bCs/>
          <w:i w:val="false"/>
          <w:iCs w:val="false"/>
          <w:color w:val="1B2A4A"/>
          <w:sz w:val="22"/>
          <w:szCs w:val="22"/>
        </w:rPr>
        <w:t xml:space="preserve">National Endowment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Endowment is a constitutionally established reserve fund that provides BNF continuity during periods of severe revenue contraction. It operates independently of the annual budget process.</w:t>
      </w:r>
    </w:p>
    <w:p>
      <w:pPr>
        <w:spacing w:after="60" w:before="200"/>
        <w:ind w:left="431"/>
        <w:jc w:val="left"/>
      </w:pPr>
      <w:r>
        <w:rPr>
          <w:rFonts w:ascii="Courier New" w:cs="Courier New" w:eastAsia="Courier New" w:hAnsi="Courier New"/>
          <w:b/>
          <w:bCs/>
          <w:color w:val="1B2A4A"/>
          <w:sz w:val="18"/>
          <w:szCs w:val="18"/>
        </w:rPr>
        <w:t xml:space="preserve">§10.6.a  </w:t>
      </w:r>
      <w:r>
        <w:rPr>
          <w:rFonts w:ascii="Garamond" w:cs="Garamond" w:eastAsia="Garamond" w:hAnsi="Garamond"/>
          <w:b/>
          <w:bCs/>
          <w:i w:val="false"/>
          <w:iCs w:val="false"/>
          <w:color w:val="1B2A4A"/>
          <w:sz w:val="22"/>
          <w:szCs w:val="22"/>
        </w:rPr>
        <w:t xml:space="preserve">National Endowment Trustee Pool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Endowment is governed by a board of five trustees selected by public lottery from a constitutionally maintained Trustee Pool. The President and PM each nominate one qualified person per year to the Trustee Pool. Each nominee must hold demonstrable expertise in investment management, public finance, or fiduciary governance as determined by a qualifications standard published by the Legislature by statute. Each nominee must be confirmed by the Senate within 60 days of nomination by affirmative vote — no deemed confirmation applies. Unconfirmed nominees are returned without prejudice; the nominating executive may submit a replacement within 30 days. No more than two confirmed Pool members may be nominees of the same executive at any time. The Pool must maintain a minimum of ten confirmed members; if it falls below ten, both executives must nominate within 30 days and the JI publishes a notice of pool deficiency to the NRS.</w:t>
      </w:r>
    </w:p>
    <w:p>
      <w:pPr>
        <w:spacing w:after="60" w:before="200"/>
        <w:ind w:left="431"/>
        <w:jc w:val="left"/>
      </w:pPr>
      <w:r>
        <w:rPr>
          <w:rFonts w:ascii="Courier New" w:cs="Courier New" w:eastAsia="Courier New" w:hAnsi="Courier New"/>
          <w:b/>
          <w:bCs/>
          <w:color w:val="1B2A4A"/>
          <w:sz w:val="18"/>
          <w:szCs w:val="18"/>
        </w:rPr>
        <w:t xml:space="preserve">§10.6.a.i  </w:t>
      </w:r>
      <w:r>
        <w:rPr>
          <w:rFonts w:ascii="Garamond" w:cs="Garamond" w:eastAsia="Garamond" w:hAnsi="Garamond"/>
          <w:b/>
          <w:bCs/>
          <w:i w:val="false"/>
          <w:iCs w:val="false"/>
          <w:color w:val="1B2A4A"/>
          <w:sz w:val="22"/>
          <w:szCs w:val="22"/>
        </w:rPr>
        <w:t xml:space="preserve">Trustee Draw and Terms</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the Endowment board has a vacancy, all three Inspectorates jointly conduct a public lottery draw from the confirmed Trustee Pool, excluding current serving trustees. The draw selects one trustee per vacancy. Trustees serve staggered 6-year non-renewable terms. A trustee drawn to fill a mid-term vacancy serves only the remainder of that term. The JI certifies each draw and publishes the result to the NRS within 24 hours. No trustee may be removed except for cause under the same grounds applicable to independent constitutional officers — the board's independence from political direction is constitutionally protected.</w:t>
      </w:r>
    </w:p>
    <w:p>
      <w:pPr>
        <w:spacing w:after="60" w:before="200"/>
        <w:ind w:left="431"/>
        <w:jc w:val="left"/>
      </w:pPr>
      <w:r>
        <w:rPr>
          <w:rFonts w:ascii="Courier New" w:cs="Courier New" w:eastAsia="Courier New" w:hAnsi="Courier New"/>
          <w:b/>
          <w:bCs/>
          <w:color w:val="1B2A4A"/>
          <w:sz w:val="18"/>
          <w:szCs w:val="18"/>
        </w:rPr>
        <w:t xml:space="preserve">§10.6.a.ii  </w:t>
      </w:r>
      <w:r>
        <w:rPr>
          <w:rFonts w:ascii="Garamond" w:cs="Garamond" w:eastAsia="Garamond" w:hAnsi="Garamond"/>
          <w:b/>
          <w:bCs/>
          <w:i w:val="false"/>
          <w:iCs w:val="false"/>
          <w:color w:val="1B2A4A"/>
          <w:sz w:val="22"/>
          <w:szCs w:val="22"/>
        </w:rPr>
        <w:t xml:space="preserve">Trustee Mandate and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board's sole mandate is to preserve and grow the Endowment fund for BNF backstop purposes. The board may not be directed to any other investment goal by either executive or the Legislature. All board decisions, investment mandates, and performance reports are published to the NRS quarterly. The EI audits the board annually for compliance with the sole-mandate requirement and publishes findings to the NRS. A trustee who acts outside the sole mandate has committed a constitutional breach.</w:t>
      </w:r>
    </w:p>
    <w:p>
      <w:pPr>
        <w:spacing w:after="60" w:before="200"/>
        <w:ind w:left="431"/>
        <w:jc w:val="left"/>
      </w:pPr>
      <w:r>
        <w:rPr>
          <w:rFonts w:ascii="Courier New" w:cs="Courier New" w:eastAsia="Courier New" w:hAnsi="Courier New"/>
          <w:b/>
          <w:bCs/>
          <w:color w:val="1B2A4A"/>
          <w:sz w:val="18"/>
          <w:szCs w:val="18"/>
        </w:rPr>
        <w:t xml:space="preserve">§10.6.b  </w:t>
      </w:r>
      <w:r>
        <w:rPr>
          <w:rFonts w:ascii="Garamond" w:cs="Garamond" w:eastAsia="Garamond" w:hAnsi="Garamond"/>
          <w:b/>
          <w:bCs/>
          <w:i w:val="false"/>
          <w:iCs w:val="false"/>
          <w:color w:val="1B2A4A"/>
          <w:sz w:val="22"/>
          <w:szCs w:val="22"/>
        </w:rPr>
        <w:t xml:space="preserve">National Endowment Activation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the MA certifies a Severe Revenue Contraction under §10.1.f, the Endowment is automatically activated. The board must begin BNF supplement disbursements within 30 days. Disbursements continue until the MA certifies that the revenue contraction has ended. The board may not withhold disbursements during a certified contraction — activation is automatic.</w:t>
      </w:r>
    </w:p>
    <w:p>
      <w:pPr>
        <w:spacing w:after="60" w:before="200"/>
        <w:ind w:left="431"/>
        <w:jc w:val="left"/>
      </w:pPr>
      <w:r>
        <w:rPr>
          <w:rFonts w:ascii="Courier New" w:cs="Courier New" w:eastAsia="Courier New" w:hAnsi="Courier New"/>
          <w:b/>
          <w:bCs/>
          <w:color w:val="1B2A4A"/>
          <w:sz w:val="18"/>
          <w:szCs w:val="18"/>
        </w:rPr>
        <w:t xml:space="preserve">§10.7  </w:t>
      </w:r>
      <w:r>
        <w:rPr>
          <w:rFonts w:ascii="Garamond" w:cs="Garamond" w:eastAsia="Garamond" w:hAnsi="Garamond"/>
          <w:b/>
          <w:bCs/>
          <w:i w:val="false"/>
          <w:iCs w:val="false"/>
          <w:color w:val="1B2A4A"/>
          <w:sz w:val="22"/>
          <w:szCs w:val="22"/>
        </w:rPr>
        <w:t xml:space="preserve">Compensation of Public Officials</w:t>
      </w:r>
    </w:p>
    <w:p>
      <w:pPr>
        <w:spacing w:after="120" w:before="0"/>
        <w:ind w:left="431"/>
        <w:jc w:val="both"/>
      </w:pPr>
      <w:r>
        <w:rPr>
          <w:rFonts w:ascii="Garamond" w:cs="Garamond" w:eastAsia="Garamond" w:hAnsi="Garamond"/>
          <w:b w:val="false"/>
          <w:bCs w:val="false"/>
          <w:i w:val="false"/>
          <w:iCs w:val="false"/>
          <w:color w:val="2a2520"/>
          <w:sz w:val="22"/>
          <w:szCs w:val="22"/>
        </w:rPr>
        <w:t xml:space="preserve">No government official may set their own compensation or the compensation of their direct supervisors. All official compensation is set by House statute and is public record on the NRS.</w:t>
      </w:r>
    </w:p>
    <w:p>
      <w:pPr>
        <w:spacing w:after="60" w:before="200"/>
        <w:ind w:left="431"/>
        <w:jc w:val="left"/>
      </w:pPr>
      <w:r>
        <w:rPr>
          <w:rFonts w:ascii="Courier New" w:cs="Courier New" w:eastAsia="Courier New" w:hAnsi="Courier New"/>
          <w:b/>
          <w:bCs/>
          <w:color w:val="1B2A4A"/>
          <w:sz w:val="18"/>
          <w:szCs w:val="18"/>
        </w:rPr>
        <w:t xml:space="preserve">§10.7.a  </w:t>
      </w:r>
      <w:r>
        <w:rPr>
          <w:rFonts w:ascii="Garamond" w:cs="Garamond" w:eastAsia="Garamond" w:hAnsi="Garamond"/>
          <w:b/>
          <w:bCs/>
          <w:i w:val="false"/>
          <w:iCs w:val="false"/>
          <w:color w:val="1B2A4A"/>
          <w:sz w:val="22"/>
          <w:szCs w:val="22"/>
        </w:rPr>
        <w:t xml:space="preserve">Jury Service — see §4.5</w:t>
      </w:r>
    </w:p>
    <w:p>
      <w:pPr>
        <w:spacing w:after="120" w:before="0"/>
        <w:ind w:left="431"/>
        <w:jc w:val="both"/>
      </w:pPr>
      <w:r>
        <w:rPr>
          <w:rFonts w:ascii="Garamond" w:cs="Garamond" w:eastAsia="Garamond" w:hAnsi="Garamond"/>
          <w:b w:val="false"/>
          <w:bCs w:val="false"/>
          <w:i w:val="false"/>
          <w:iCs w:val="false"/>
          <w:color w:val="2a2520"/>
          <w:sz w:val="22"/>
          <w:szCs w:val="22"/>
        </w:rPr>
        <w:t xml:space="preserve">Jury service obligations, compensation, and enforcement are established in §4.5.</w:t>
      </w:r>
    </w:p>
    <w:p>
      <w:pPr>
        <w:spacing w:after="60" w:before="200"/>
        <w:jc w:val="left"/>
      </w:pPr>
      <w:r>
        <w:rPr>
          <w:rFonts w:ascii="Garamond" w:cs="Garamond" w:eastAsia="Garamond" w:hAnsi="Garamond"/>
          <w:b/>
          <w:bCs/>
          <w:i w:val="false"/>
          <w:iCs w:val="false"/>
          <w:color w:val="1B2A4A"/>
          <w:sz w:val="34"/>
          <w:szCs w:val="34"/>
        </w:rPr>
        <w:t xml:space="preserve">Article XI — Direct Democracy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§11.1  </w:t>
      </w:r>
      <w:r>
        <w:rPr>
          <w:rFonts w:ascii="Garamond" w:cs="Garamond" w:eastAsia="Garamond" w:hAnsi="Garamond"/>
          <w:b/>
          <w:bCs/>
          <w:i w:val="false"/>
          <w:iCs w:val="false"/>
          <w:color w:val="1B2A4A"/>
          <w:sz w:val="22"/>
          <w:szCs w:val="22"/>
        </w:rPr>
        <w:t xml:space="preserve">Optional Referendum</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may initiate a national referendum to repeal enacted legislation by petition of 5% of eligible voters within 90 days of enactment. The LI screens petitions for eligibility — laws that solely or primarily expand an Article I right are not eligible for referendum (the Bill of Rights cannot be repealed by popular vote). Simple majority of votes cast overturns the law.</w:t>
      </w:r>
    </w:p>
    <w:p>
      <w:pPr>
        <w:spacing w:after="60" w:before="200"/>
        <w:ind w:left="431"/>
        <w:jc w:val="left"/>
      </w:pPr>
      <w:r>
        <w:rPr>
          <w:rFonts w:ascii="Courier New" w:cs="Courier New" w:eastAsia="Courier New" w:hAnsi="Courier New"/>
          <w:b/>
          <w:bCs/>
          <w:color w:val="1B2A4A"/>
          <w:sz w:val="18"/>
          <w:szCs w:val="18"/>
        </w:rPr>
        <w:t xml:space="preserve">§11.1.a  </w:t>
      </w:r>
      <w:r>
        <w:rPr>
          <w:rFonts w:ascii="Garamond" w:cs="Garamond" w:eastAsia="Garamond" w:hAnsi="Garamond"/>
          <w:b/>
          <w:bCs/>
          <w:i w:val="false"/>
          <w:iCs w:val="false"/>
          <w:color w:val="1B2A4A"/>
          <w:sz w:val="22"/>
          <w:szCs w:val="22"/>
        </w:rPr>
        <w:t xml:space="preserve">Citizen Petition Right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5% petition must be collected within 90 days of the law's enactment. The EC verifies petition signatures for eligibility. If the threshold is met, the EC administers the referendum within 90 days of verification. Petitioners may withdraw the petition before the referendum is scheduled, but not after.</w:t>
      </w:r>
    </w:p>
    <w:p>
      <w:pPr>
        <w:spacing w:after="60" w:before="200"/>
        <w:ind w:left="431"/>
        <w:jc w:val="left"/>
      </w:pPr>
      <w:r>
        <w:rPr>
          <w:rFonts w:ascii="Courier New" w:cs="Courier New" w:eastAsia="Courier New" w:hAnsi="Courier New"/>
          <w:b/>
          <w:bCs/>
          <w:color w:val="1B2A4A"/>
          <w:sz w:val="18"/>
          <w:szCs w:val="18"/>
        </w:rPr>
        <w:t xml:space="preserve">§11.1.b  </w:t>
      </w:r>
      <w:r>
        <w:rPr>
          <w:rFonts w:ascii="Garamond" w:cs="Garamond" w:eastAsia="Garamond" w:hAnsi="Garamond"/>
          <w:b/>
          <w:bCs/>
          <w:i w:val="false"/>
          <w:iCs w:val="false"/>
          <w:color w:val="1B2A4A"/>
          <w:sz w:val="22"/>
          <w:szCs w:val="22"/>
        </w:rPr>
        <w:t xml:space="preserve">Eligibility Screen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Legislative Inspectorate determines whether a targeted law is eligible for referendum. Laws that solely or primarily expand an Article I right are ineligible; a law cannot be repealed by referendum if its primary effect is to broaden individual protections. Budget laws and laws implementing a constitutionally mandated obligation are also ineligible. The LI publishes its eligibility determination to the NRS within 14 days of petition submission. An ineligibility determination may be challenged in the Appellate Court within 7 days; the Court must rule within 21 days.</w:t>
      </w:r>
    </w:p>
    <w:p>
      <w:pPr>
        <w:spacing w:after="60" w:before="200"/>
        <w:ind w:left="431"/>
        <w:jc w:val="left"/>
      </w:pPr>
      <w:r>
        <w:rPr>
          <w:rFonts w:ascii="Courier New" w:cs="Courier New" w:eastAsia="Courier New" w:hAnsi="Courier New"/>
          <w:b/>
          <w:bCs/>
          <w:color w:val="1B2A4A"/>
          <w:sz w:val="18"/>
          <w:szCs w:val="18"/>
        </w:rPr>
        <w:t xml:space="preserve">§11.1.c  </w:t>
      </w:r>
      <w:r>
        <w:rPr>
          <w:rFonts w:ascii="Garamond" w:cs="Garamond" w:eastAsia="Garamond" w:hAnsi="Garamond"/>
          <w:b/>
          <w:bCs/>
          <w:i w:val="false"/>
          <w:iCs w:val="false"/>
          <w:color w:val="1B2A4A"/>
          <w:sz w:val="22"/>
          <w:szCs w:val="22"/>
        </w:rPr>
        <w:t xml:space="preserve">Referendum Thresholds and Finality</w:t>
      </w:r>
    </w:p>
    <w:p>
      <w:pPr>
        <w:spacing w:after="120" w:before="0"/>
        <w:ind w:left="431"/>
        <w:jc w:val="both"/>
      </w:pPr>
      <w:r>
        <w:rPr>
          <w:rFonts w:ascii="Garamond" w:cs="Garamond" w:eastAsia="Garamond" w:hAnsi="Garamond"/>
          <w:b w:val="false"/>
          <w:bCs w:val="false"/>
          <w:i w:val="false"/>
          <w:iCs w:val="false"/>
          <w:color w:val="2a2520"/>
          <w:sz w:val="22"/>
          <w:szCs w:val="22"/>
        </w:rPr>
        <w:t xml:space="preserve">Referendum Outcome — if the referendum passes (simple majority of votes cast, subject to the Legislature-defined turnout threshold), the law is repealed immediately upon EC certification. If it fails, the law remains in effect and cannot be subjected to referendum on the same grounds for 5 years. The Legislature may re-enact a repealed law, but the re-enacted version is again subject to referendum.</w:t>
      </w:r>
    </w:p>
    <w:p>
      <w:pPr>
        <w:spacing w:after="60" w:before="200"/>
        <w:ind w:left="431"/>
        <w:jc w:val="left"/>
      </w:pPr>
      <w:r>
        <w:rPr>
          <w:rFonts w:ascii="Courier New" w:cs="Courier New" w:eastAsia="Courier New" w:hAnsi="Courier New"/>
          <w:b/>
          <w:bCs/>
          <w:color w:val="1B2A4A"/>
          <w:sz w:val="18"/>
          <w:szCs w:val="18"/>
        </w:rPr>
        <w:t xml:space="preserve">§11.2  </w:t>
      </w:r>
      <w:r>
        <w:rPr>
          <w:rFonts w:ascii="Garamond" w:cs="Garamond" w:eastAsia="Garamond" w:hAnsi="Garamond"/>
          <w:b/>
          <w:bCs/>
          <w:i w:val="false"/>
          <w:iCs w:val="false"/>
          <w:color w:val="1B2A4A"/>
          <w:sz w:val="22"/>
          <w:szCs w:val="22"/>
        </w:rPr>
        <w:t xml:space="preserve">Citizen Legislative Initiative</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hold the right to propose legislation directly to the Legislature through the initiative mechanism. The initiative is distinct from the referendum — it creates new law rather than repealing enacted law. The process and thresholds are established in §11.2.a.</w:t>
      </w:r>
    </w:p>
    <w:p>
      <w:pPr>
        <w:spacing w:after="60" w:before="200"/>
        <w:ind w:left="431"/>
        <w:jc w:val="left"/>
      </w:pPr>
      <w:r>
        <w:rPr>
          <w:rFonts w:ascii="Courier New" w:cs="Courier New" w:eastAsia="Courier New" w:hAnsi="Courier New"/>
          <w:b/>
          <w:bCs/>
          <w:color w:val="1B2A4A"/>
          <w:sz w:val="18"/>
          <w:szCs w:val="18"/>
        </w:rPr>
        <w:t xml:space="preserve">§11.2.a  </w:t>
      </w:r>
      <w:r>
        <w:rPr>
          <w:rFonts w:ascii="Garamond" w:cs="Garamond" w:eastAsia="Garamond" w:hAnsi="Garamond"/>
          <w:b/>
          <w:bCs/>
          <w:i w:val="false"/>
          <w:iCs w:val="false"/>
          <w:color w:val="1B2A4A"/>
          <w:sz w:val="22"/>
          <w:szCs w:val="22"/>
        </w:rPr>
        <w:t xml:space="preserve">Initiative Process and Thresholds</w:t>
      </w:r>
    </w:p>
    <w:p>
      <w:pPr>
        <w:spacing w:after="120" w:before="0"/>
        <w:ind w:left="431"/>
        <w:jc w:val="both"/>
      </w:pPr>
      <w:r>
        <w:rPr>
          <w:rFonts w:ascii="Garamond" w:cs="Garamond" w:eastAsia="Garamond" w:hAnsi="Garamond"/>
          <w:b w:val="false"/>
          <w:bCs w:val="false"/>
          <w:i w:val="false"/>
          <w:iCs w:val="false"/>
          <w:color w:val="2a2520"/>
          <w:sz w:val="22"/>
          <w:szCs w:val="22"/>
        </w:rPr>
        <w:t xml:space="preserve">Distinct from the referendum, the initiative allows citizens to propose legislation directly. 10% of eligible voters petition for a specific legislative proposal. The Legislature must vote on the proposal within 90 days. If it fails or is not voted on, the proposal proceeds to a national referendum at the §15.1.c thresholds — citizen-initiated legislation that bypasses the Legislature requires a higher democratic mandate than simple repeal.</w:t>
      </w:r>
    </w:p>
    <w:p>
      <w:pPr>
        <w:spacing w:after="60" w:before="200"/>
        <w:ind w:left="431"/>
        <w:jc w:val="left"/>
      </w:pPr>
      <w:r>
        <w:rPr>
          <w:rFonts w:ascii="Courier New" w:cs="Courier New" w:eastAsia="Courier New" w:hAnsi="Courier New"/>
          <w:b/>
          <w:bCs/>
          <w:color w:val="1B2A4A"/>
          <w:sz w:val="18"/>
          <w:szCs w:val="18"/>
        </w:rPr>
        <w:t xml:space="preserve">§11.3  </w:t>
      </w:r>
      <w:r>
        <w:rPr>
          <w:rFonts w:ascii="Garamond" w:cs="Garamond" w:eastAsia="Garamond" w:hAnsi="Garamond"/>
          <w:b/>
          <w:bCs/>
          <w:i w:val="false"/>
          <w:iCs w:val="false"/>
          <w:color w:val="1B2A4A"/>
          <w:sz w:val="22"/>
          <w:szCs w:val="22"/>
        </w:rPr>
        <w:t xml:space="preserve">Local Government</w:t>
      </w:r>
    </w:p>
    <w:p>
      <w:pPr>
        <w:spacing w:after="120" w:before="0"/>
        <w:ind w:left="431"/>
        <w:jc w:val="both"/>
      </w:pPr>
      <w:r>
        <w:rPr>
          <w:rFonts w:ascii="Garamond" w:cs="Garamond" w:eastAsia="Garamond" w:hAnsi="Garamond"/>
          <w:b w:val="false"/>
          <w:bCs w:val="false"/>
          <w:i w:val="false"/>
          <w:iCs w:val="false"/>
          <w:color w:val="2a2520"/>
          <w:sz w:val="22"/>
          <w:szCs w:val="22"/>
        </w:rPr>
        <w:t xml:space="preserve">Local governments — cities, counties, municipalities, and other subdivisions — receive constitutional recognition as the primary points of contact between citizens and government. They are entitled to reasonable fiscal capacity to carry out their constitutional functions. States may not starve local governments to achieve de facto state centralization.</w:t>
      </w:r>
    </w:p>
    <w:p>
      <w:pPr>
        <w:spacing w:after="60" w:before="200"/>
        <w:jc w:val="left"/>
      </w:pPr>
      <w:r>
        <w:rPr>
          <w:rFonts w:ascii="Garamond" w:cs="Garamond" w:eastAsia="Garamond" w:hAnsi="Garamond"/>
          <w:b/>
          <w:bCs/>
          <w:i w:val="false"/>
          <w:iCs w:val="false"/>
          <w:color w:val="1B2A4A"/>
          <w:sz w:val="34"/>
          <w:szCs w:val="34"/>
        </w:rPr>
        <w:t xml:space="preserve">Article XII — Military Authorization and Accountability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§12.1  </w:t>
      </w:r>
      <w:r>
        <w:rPr>
          <w:rFonts w:ascii="Garamond" w:cs="Garamond" w:eastAsia="Garamond" w:hAnsi="Garamond"/>
          <w:b/>
          <w:bCs/>
          <w:i w:val="false"/>
          <w:iCs w:val="false"/>
          <w:color w:val="1B2A4A"/>
          <w:sz w:val="22"/>
          <w:szCs w:val="22"/>
        </w:rPr>
        <w:t xml:space="preserve">Authorized Purposes for Military Force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constitution limits military force to three purposes: border protection and territorial integrity; defense of treaty allies within defined triggering thresholds; and prevention of genocide or civilizational collapse. Three prohibited purposes are equally significant: nation-building, resource extraction, and ideological imposition. A Tier 3 Legislative Declaration must state which authorized purpose it serves — declarations that cannot be linked to an authorized purpose are constitutionally void.</w:t>
      </w:r>
    </w:p>
    <w:p>
      <w:pPr>
        <w:spacing w:after="60" w:before="200"/>
        <w:ind w:left="431"/>
        <w:jc w:val="left"/>
      </w:pPr>
      <w:r>
        <w:rPr>
          <w:rFonts w:ascii="Courier New" w:cs="Courier New" w:eastAsia="Courier New" w:hAnsi="Courier New"/>
          <w:b/>
          <w:bCs/>
          <w:color w:val="1B2A4A"/>
          <w:sz w:val="18"/>
          <w:szCs w:val="18"/>
        </w:rPr>
        <w:t xml:space="preserve">§12.2  </w:t>
      </w:r>
      <w:r>
        <w:rPr>
          <w:rFonts w:ascii="Garamond" w:cs="Garamond" w:eastAsia="Garamond" w:hAnsi="Garamond"/>
          <w:b/>
          <w:bCs/>
          <w:i w:val="false"/>
          <w:iCs w:val="false"/>
          <w:color w:val="1B2A4A"/>
          <w:sz w:val="22"/>
          <w:szCs w:val="22"/>
        </w:rPr>
        <w:t xml:space="preserve">Legislative Declaration of Defense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Emergency Defense Allocation is the automatic funding mechanism that activates with a Tier 3 Declaration. The PM certifies funds concurrent with the Legislative Declaration — no Declaration takes effect without PM certification. The allocation covers specific categories of military expenditure defined by the Declaration.</w:t>
      </w:r>
    </w:p>
    <w:p>
      <w:pPr>
        <w:spacing w:after="60" w:before="200"/>
        <w:ind w:left="431"/>
        <w:jc w:val="left"/>
      </w:pPr>
      <w:r>
        <w:rPr>
          <w:rFonts w:ascii="Courier New" w:cs="Courier New" w:eastAsia="Courier New" w:hAnsi="Courier New"/>
          <w:b/>
          <w:bCs/>
          <w:color w:val="1B2A4A"/>
          <w:sz w:val="18"/>
          <w:szCs w:val="18"/>
        </w:rPr>
        <w:t xml:space="preserve">§12.2.a  </w:t>
      </w:r>
      <w:r>
        <w:rPr>
          <w:rFonts w:ascii="Garamond" w:cs="Garamond" w:eastAsia="Garamond" w:hAnsi="Garamond"/>
          <w:b/>
          <w:bCs/>
          <w:i w:val="false"/>
          <w:iCs w:val="false"/>
          <w:color w:val="1B2A4A"/>
          <w:sz w:val="22"/>
          <w:szCs w:val="22"/>
        </w:rPr>
        <w:t xml:space="preserve">Defense Allocation Categories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Declaration must specify which expenditure categories are authorized: operational costs, equipment, personnel, intelligence support, logistics, and post-conflict obligations. Expenditure in uncategorized areas requires a supplementary PM certification. The categorization requirement prevents the Declaration from becoming a blank check.</w:t>
      </w:r>
    </w:p>
    <w:p>
      <w:pPr>
        <w:spacing w:after="60" w:before="200"/>
        <w:ind w:left="431"/>
        <w:jc w:val="left"/>
      </w:pPr>
      <w:r>
        <w:rPr>
          <w:rFonts w:ascii="Courier New" w:cs="Courier New" w:eastAsia="Courier New" w:hAnsi="Courier New"/>
          <w:b/>
          <w:bCs/>
          <w:color w:val="1B2A4A"/>
          <w:sz w:val="18"/>
          <w:szCs w:val="18"/>
        </w:rPr>
        <w:t xml:space="preserve">§12.2.b  </w:t>
      </w:r>
      <w:r>
        <w:rPr>
          <w:rFonts w:ascii="Garamond" w:cs="Garamond" w:eastAsia="Garamond" w:hAnsi="Garamond"/>
          <w:b/>
          <w:bCs/>
          <w:i w:val="false"/>
          <w:iCs w:val="false"/>
          <w:color w:val="1B2A4A"/>
          <w:sz w:val="22"/>
          <w:szCs w:val="22"/>
        </w:rPr>
        <w:t xml:space="preserve">Emergency Defense Allocation Renewal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Emergency Defense Allocation renews automatically with each 180-day Declaration renewal, subject to PM certification. If the Legislature renews the Declaration but the PM withholds certification, the Declaration is voided — the PM's fiscal certification is an independent constitutional check on military operations.</w:t>
      </w:r>
    </w:p>
    <w:p>
      <w:pPr>
        <w:spacing w:after="60" w:before="200"/>
        <w:ind w:left="431"/>
        <w:jc w:val="left"/>
      </w:pPr>
      <w:r>
        <w:rPr>
          <w:rFonts w:ascii="Courier New" w:cs="Courier New" w:eastAsia="Courier New" w:hAnsi="Courier New"/>
          <w:b/>
          <w:bCs/>
          <w:color w:val="1B2A4A"/>
          <w:sz w:val="18"/>
          <w:szCs w:val="18"/>
        </w:rPr>
        <w:t xml:space="preserve">§12.2.c  </w:t>
      </w:r>
      <w:r>
        <w:rPr>
          <w:rFonts w:ascii="Garamond" w:cs="Garamond" w:eastAsia="Garamond" w:hAnsi="Garamond"/>
          <w:b/>
          <w:bCs/>
          <w:i w:val="false"/>
          <w:iCs w:val="false"/>
          <w:color w:val="1B2A4A"/>
          <w:sz w:val="22"/>
          <w:szCs w:val="22"/>
        </w:rPr>
        <w:t xml:space="preserve">Allocation Termination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the Tier 3 Declaration expires or is not renewed, all Emergency Defense Allocation expenditure ceases automatically within 48 hours. Ongoing contracts within the certified allocation may continue to wind down for 30 days. New commitments may not be entered after Declaration expiry. The EI monitors wind-down expenditure throughout the 30-day period. Where irregularities are identified, the EI reports directly and confidentially to the Senate Armed Services Committee without NRS publication; operational security during wind-down is preserved by this confidential channel. The full wind-down expenditure record is published to the NRS as part of the §12.2.e post-allocation accountability report after military operations are fully concluded — defined as the end of the 30-day wind-down period.</w:t>
      </w:r>
    </w:p>
    <w:p>
      <w:pPr>
        <w:spacing w:after="60" w:before="200"/>
        <w:ind w:left="431"/>
        <w:jc w:val="left"/>
      </w:pPr>
      <w:r>
        <w:rPr>
          <w:rFonts w:ascii="Courier New" w:cs="Courier New" w:eastAsia="Courier New" w:hAnsi="Courier New"/>
          <w:b/>
          <w:bCs/>
          <w:color w:val="1B2A4A"/>
          <w:sz w:val="18"/>
          <w:szCs w:val="18"/>
        </w:rPr>
        <w:t xml:space="preserve">§12.2.d  </w:t>
      </w:r>
      <w:r>
        <w:rPr>
          <w:rFonts w:ascii="Garamond" w:cs="Garamond" w:eastAsia="Garamond" w:hAnsi="Garamond"/>
          <w:b/>
          <w:bCs/>
          <w:i w:val="false"/>
          <w:iCs w:val="false"/>
          <w:color w:val="1B2A4A"/>
          <w:sz w:val="22"/>
          <w:szCs w:val="22"/>
        </w:rPr>
        <w:t xml:space="preserve">Oversight of Allocation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EI audits Emergency Defense Allocation spending quarterly during any active Tier 3 Declaration and publishes findings to the NRS. The audit covers whether expenditure falls within certified categories, whether PM certifications were obtained, and whether expenditure complied with emergency procurement standards.</w:t>
      </w:r>
    </w:p>
    <w:p>
      <w:pPr>
        <w:spacing w:after="60" w:before="200"/>
        <w:ind w:left="431"/>
        <w:jc w:val="left"/>
      </w:pPr>
      <w:r>
        <w:rPr>
          <w:rFonts w:ascii="Courier New" w:cs="Courier New" w:eastAsia="Courier New" w:hAnsi="Courier New"/>
          <w:b/>
          <w:bCs/>
          <w:color w:val="1B2A4A"/>
          <w:sz w:val="18"/>
          <w:szCs w:val="18"/>
        </w:rPr>
        <w:t xml:space="preserve">§12.2.e  </w:t>
      </w:r>
      <w:r>
        <w:rPr>
          <w:rFonts w:ascii="Garamond" w:cs="Garamond" w:eastAsia="Garamond" w:hAnsi="Garamond"/>
          <w:b/>
          <w:bCs/>
          <w:i w:val="false"/>
          <w:iCs w:val="false"/>
          <w:color w:val="1B2A4A"/>
          <w:sz w:val="22"/>
          <w:szCs w:val="22"/>
        </w:rPr>
        <w:t xml:space="preserve">Post-Allocation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Within 180 days of a Declaration's final expiry, the EI publishes a comprehensive allocation accountability report covering the entire period: total expenditure by category, compliance with PM certifications, and any identified irregularities.</w:t>
      </w:r>
    </w:p>
    <w:p>
      <w:pPr>
        <w:spacing w:after="60" w:before="200"/>
        <w:ind w:left="431"/>
        <w:jc w:val="left"/>
      </w:pPr>
      <w:r>
        <w:rPr>
          <w:rFonts w:ascii="Courier New" w:cs="Courier New" w:eastAsia="Courier New" w:hAnsi="Courier New"/>
          <w:b/>
          <w:bCs/>
          <w:color w:val="1B2A4A"/>
          <w:sz w:val="18"/>
          <w:szCs w:val="18"/>
        </w:rPr>
        <w:t xml:space="preserve">§12.3  </w:t>
      </w:r>
      <w:r>
        <w:rPr>
          <w:rFonts w:ascii="Garamond" w:cs="Garamond" w:eastAsia="Garamond" w:hAnsi="Garamond"/>
          <w:b/>
          <w:bCs/>
          <w:i w:val="false"/>
          <w:iCs w:val="false"/>
          <w:color w:val="1B2A4A"/>
          <w:sz w:val="22"/>
          <w:szCs w:val="22"/>
        </w:rPr>
        <w:t xml:space="preserve">Military Intelligence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use of intelligence capabilities in support of authorized military operations. The §1.30.d Intelligence Firewall applies at all times — no military operation authorizes domestic intelligence collection against citizens. Intelligence activities must be published to the NRS in classified summary form within 90 days of military operations being fully concluded as defined in §12.2.c.</w:t>
      </w:r>
    </w:p>
    <w:p>
      <w:pPr>
        <w:spacing w:after="60" w:before="200"/>
        <w:ind w:left="431"/>
        <w:jc w:val="left"/>
      </w:pPr>
      <w:r>
        <w:rPr>
          <w:rFonts w:ascii="Courier New" w:cs="Courier New" w:eastAsia="Courier New" w:hAnsi="Courier New"/>
          <w:b/>
          <w:bCs/>
          <w:color w:val="1B2A4A"/>
          <w:sz w:val="18"/>
          <w:szCs w:val="18"/>
        </w:rPr>
        <w:t xml:space="preserve">§12.4  </w:t>
      </w:r>
      <w:r>
        <w:rPr>
          <w:rFonts w:ascii="Garamond" w:cs="Garamond" w:eastAsia="Garamond" w:hAnsi="Garamond"/>
          <w:b/>
          <w:bCs/>
          <w:i w:val="false"/>
          <w:iCs w:val="false"/>
          <w:color w:val="1B2A4A"/>
          <w:sz w:val="22"/>
          <w:szCs w:val="22"/>
        </w:rPr>
        <w:t xml:space="preserve">Military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Within 90 days of a Tier 3 Declaration being renewed for a second time, the Senate must approve a Transition and Reconstruction Plan specifying the Republic's post-conflict obligations: status of alliance obligations, civilian reconstruction support, transitional justice support, and withdrawal timeline. The Plan is published to the NRS and is binding on the executive. If the Senate fails to approve a Plan within the required period, the LI certifies a constitutional compliance breach. The PM may provisionally authorize continued operations under the existing Declaration pending Senate action, as specified in §12.4.a.</w:t>
      </w:r>
    </w:p>
    <w:p>
      <w:pPr>
        <w:spacing w:after="60" w:before="200"/>
        <w:ind w:left="431"/>
        <w:jc w:val="left"/>
      </w:pPr>
      <w:r>
        <w:rPr>
          <w:rFonts w:ascii="Courier New" w:cs="Courier New" w:eastAsia="Courier New" w:hAnsi="Courier New"/>
          <w:b/>
          <w:bCs/>
          <w:color w:val="1B2A4A"/>
          <w:sz w:val="18"/>
          <w:szCs w:val="18"/>
        </w:rPr>
        <w:t xml:space="preserve">§12.4.a  </w:t>
      </w:r>
      <w:r>
        <w:rPr>
          <w:rFonts w:ascii="Garamond" w:cs="Garamond" w:eastAsia="Garamond" w:hAnsi="Garamond"/>
          <w:b/>
          <w:bCs/>
          <w:i w:val="false"/>
          <w:iCs w:val="false"/>
          <w:color w:val="1B2A4A"/>
          <w:sz w:val="22"/>
          <w:szCs w:val="22"/>
        </w:rPr>
        <w:t xml:space="preserve">Provisional PM Authorization — Transition Plan Failure</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LI has certified a compliance breach under §12.4, the PM may provisionally authorize continued military operations under the existing Declaration using their fiscal certification authority under §2.1.d. Provisional authorization is granted in two extensions of 30 days each — 60 days total maximum. At each extension the PM must: notify the Senate Armed Services Committee in writing of the extension and its duration; certify to the LI and EI that operations remain within the scope of the existing Declaration and that no new commitments have been entered; and publish a notice of provisional authorization to the NRS. The LI and EI monitor compliance with these requirements and publish any breach findings immediately to the NRS. The PM's provisional authorization is a fiscal continuation of existing authority — it does not expand the scope of operations, authorize new commitments, or displace the President's operational command. Once the two 30-day extensions are exhausted, no further Declaration renewals are permitted until the Senate approves a Transition and Reconstruction Plan. The current Declaration continues to its natural expiry date and wind-down proceeds under §12.2.c. The Senate may approve a Plan at any point during the provisional authorization period and restore the standard renewal process immediately upon approval.</w:t>
      </w:r>
    </w:p>
    <w:p>
      <w:pPr>
        <w:spacing w:after="60" w:before="200"/>
        <w:ind w:left="431"/>
        <w:jc w:val="left"/>
      </w:pPr>
      <w:r>
        <w:rPr>
          <w:rFonts w:ascii="Courier New" w:cs="Courier New" w:eastAsia="Courier New" w:hAnsi="Courier New"/>
          <w:b/>
          <w:bCs/>
          <w:color w:val="1B2A4A"/>
          <w:sz w:val="18"/>
          <w:szCs w:val="18"/>
        </w:rPr>
        <w:t xml:space="preserve">§12.5  </w:t>
      </w:r>
      <w:r>
        <w:rPr>
          <w:rFonts w:ascii="Garamond" w:cs="Garamond" w:eastAsia="Garamond" w:hAnsi="Garamond"/>
          <w:b/>
          <w:bCs/>
          <w:i w:val="false"/>
          <w:iCs w:val="false"/>
          <w:color w:val="1B2A4A"/>
          <w:sz w:val="22"/>
          <w:szCs w:val="22"/>
        </w:rPr>
        <w:t xml:space="preserve">Treaty-Based Military Authorization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an existing treaty requires emergency military action, the President may invoke Treaty Emergency Certification as an alternative to the standard Tier authorization process, subject to the requirements of §12.5.a and §12.5.b. Treaty Emergency Certification does not displace the Legislature's ultimate authority over sustained operations — it provides an expedited initial response pathway only.</w:t>
      </w:r>
    </w:p>
    <w:p>
      <w:pPr>
        <w:spacing w:after="60" w:before="200"/>
        <w:ind w:left="431"/>
        <w:jc w:val="left"/>
      </w:pPr>
      <w:r>
        <w:rPr>
          <w:rFonts w:ascii="Courier New" w:cs="Courier New" w:eastAsia="Courier New" w:hAnsi="Courier New"/>
          <w:b/>
          <w:bCs/>
          <w:color w:val="1B2A4A"/>
          <w:sz w:val="18"/>
          <w:szCs w:val="18"/>
        </w:rPr>
        <w:t xml:space="preserve">§12.5.a  </w:t>
      </w:r>
      <w:r>
        <w:rPr>
          <w:rFonts w:ascii="Garamond" w:cs="Garamond" w:eastAsia="Garamond" w:hAnsi="Garamond"/>
          <w:b/>
          <w:bCs/>
          <w:i w:val="false"/>
          <w:iCs w:val="false"/>
          <w:color w:val="1B2A4A"/>
          <w:sz w:val="22"/>
          <w:szCs w:val="22"/>
        </w:rPr>
        <w:t xml:space="preserve">Treaty Emergency Certification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an existing treaty requires emergency military action, the President may invoke Treaty Emergency Certification as an alternative to the standard Tier authorization process. The certification must be published to the NRS within 6 hours with the specific treaty obligation cited. The Senate Armed Services Committee reviews the certification within 48 hours.</w:t>
      </w:r>
    </w:p>
    <w:p>
      <w:pPr>
        <w:spacing w:after="60" w:before="200"/>
        <w:ind w:left="431"/>
        <w:jc w:val="left"/>
      </w:pPr>
      <w:r>
        <w:rPr>
          <w:rFonts w:ascii="Courier New" w:cs="Courier New" w:eastAsia="Courier New" w:hAnsi="Courier New"/>
          <w:b/>
          <w:bCs/>
          <w:color w:val="1B2A4A"/>
          <w:sz w:val="18"/>
          <w:szCs w:val="18"/>
        </w:rPr>
        <w:t xml:space="preserve">§12.5.b  </w:t>
      </w:r>
      <w:r>
        <w:rPr>
          <w:rFonts w:ascii="Garamond" w:cs="Garamond" w:eastAsia="Garamond" w:hAnsi="Garamond"/>
          <w:b/>
          <w:bCs/>
          <w:i w:val="false"/>
          <w:iCs w:val="false"/>
          <w:color w:val="1B2A4A"/>
          <w:sz w:val="22"/>
          <w:szCs w:val="22"/>
        </w:rPr>
        <w:t xml:space="preserve">Treaty Emergency Procedures</w:t>
      </w:r>
    </w:p>
    <w:p>
      <w:pPr>
        <w:spacing w:after="120" w:before="0"/>
        <w:ind w:left="431"/>
        <w:jc w:val="both"/>
      </w:pPr>
      <w:r>
        <w:rPr>
          <w:rFonts w:ascii="Garamond" w:cs="Garamond" w:eastAsia="Garamond" w:hAnsi="Garamond"/>
          <w:b w:val="false"/>
          <w:bCs w:val="false"/>
          <w:i w:val="false"/>
          <w:iCs w:val="false"/>
          <w:color w:val="2a2520"/>
          <w:sz w:val="22"/>
          <w:szCs w:val="22"/>
        </w:rPr>
        <w:t xml:space="preserve">Treaty Emergency Certification activates the same 96-hour Senate Armed Services Committee review as Tier 2 authorization. The President must notify both chambers and the PM within 12 hours of invoking certification, specifying the treaty obligation triggered and the anticipated scope of operations. If the Senate Armed Services Committee does not authorize continued operations within 96 hours, operations must cease except for immediate defensive protection of Republic territory. Upon receiving the §12.5.b notification, the PM must within 6 hours either certify funding under §2.1.d or publish a formal objection to the NRS. If the PM does not respond within 6 hours, funding certification is deemed granted and the EI records the non-response as a constitutional lapse. If the PM formally objects, the matter is referred immediately to the SC for emergency resolution; operations may continue during SC review but no new commitments may be entered until the SC rules.</w:t>
      </w:r>
    </w:p>
    <w:p>
      <w:pPr>
        <w:spacing w:after="60" w:before="200"/>
        <w:ind w:left="431"/>
        <w:jc w:val="left"/>
      </w:pPr>
      <w:r>
        <w:rPr>
          <w:rFonts w:ascii="Courier New" w:cs="Courier New" w:eastAsia="Courier New" w:hAnsi="Courier New"/>
          <w:b/>
          <w:bCs/>
          <w:color w:val="1B2A4A"/>
          <w:sz w:val="18"/>
          <w:szCs w:val="18"/>
        </w:rPr>
        <w:t xml:space="preserve">§12.5.c  </w:t>
      </w:r>
      <w:r>
        <w:rPr>
          <w:rFonts w:ascii="Garamond" w:cs="Garamond" w:eastAsia="Garamond" w:hAnsi="Garamond"/>
          <w:b/>
          <w:bCs/>
          <w:i w:val="false"/>
          <w:iCs w:val="false"/>
          <w:color w:val="1B2A4A"/>
          <w:sz w:val="22"/>
          <w:szCs w:val="22"/>
        </w:rPr>
        <w:t xml:space="preserve">No Blank Check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Treaty Emergency Certification covers operational costs for the initial response and triggers parliamentary authorization for any extended engagement. Treaties cannot be blank checks for extended military commitment — each sustained engagement requires parliamentary authorization regardless of what the treaty says.</w:t>
      </w:r>
    </w:p>
    <w:p>
      <w:pPr>
        <w:spacing w:after="60" w:before="200"/>
        <w:jc w:val="left"/>
      </w:pPr>
      <w:r>
        <w:rPr>
          <w:rFonts w:ascii="Garamond" w:cs="Garamond" w:eastAsia="Garamond" w:hAnsi="Garamond"/>
          <w:b/>
          <w:bCs/>
          <w:i w:val="false"/>
          <w:iCs w:val="false"/>
          <w:color w:val="1B2A4A"/>
          <w:sz w:val="34"/>
          <w:szCs w:val="34"/>
        </w:rPr>
        <w:t xml:space="preserve">Article XIII — Territorial Structure and Statehood</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§13.1  </w:t>
      </w:r>
      <w:r>
        <w:rPr>
          <w:rFonts w:ascii="Garamond" w:cs="Garamond" w:eastAsia="Garamond" w:hAnsi="Garamond"/>
          <w:b/>
          <w:bCs/>
          <w:i w:val="false"/>
          <w:iCs w:val="false"/>
          <w:color w:val="1B2A4A"/>
          <w:sz w:val="22"/>
          <w:szCs w:val="22"/>
        </w:rPr>
        <w:t xml:space="preserve">Territorial Compact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foundational category for non-State jurisdictions within the Republic. A Territory operates under a Territorial Compact, has federal protections under Article I, receives BNF benefits, and may begin the Statehood pathway under §13.2. Territories are represented in the House by non-voting delegates who may participate in debate and committee work. Territories hold House seats proportional to their population under §3.1.a and participate in the House as full voting members. Territories do not hold Senate seats; Senate representation is reserved for States.</w:t>
      </w:r>
    </w:p>
    <w:p>
      <w:pPr>
        <w:spacing w:after="60" w:before="200"/>
        <w:ind w:left="431"/>
        <w:jc w:val="left"/>
      </w:pPr>
      <w:r>
        <w:rPr>
          <w:rFonts w:ascii="Courier New" w:cs="Courier New" w:eastAsia="Courier New" w:hAnsi="Courier New"/>
          <w:b/>
          <w:bCs/>
          <w:color w:val="1B2A4A"/>
          <w:sz w:val="18"/>
          <w:szCs w:val="18"/>
        </w:rPr>
        <w:t xml:space="preserve">§13.2  </w:t>
      </w:r>
      <w:r>
        <w:rPr>
          <w:rFonts w:ascii="Garamond" w:cs="Garamond" w:eastAsia="Garamond" w:hAnsi="Garamond"/>
          <w:b/>
          <w:bCs/>
          <w:i w:val="false"/>
          <w:iCs w:val="false"/>
          <w:color w:val="1B2A4A"/>
          <w:sz w:val="22"/>
          <w:szCs w:val="22"/>
        </w:rPr>
        <w:t xml:space="preserve">The Statehood Audit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pathway from Territory to State is automatic upon successfully completing the Statehood Audit and Provisional Membership Period. No political vote in Congress is required once the audit is passed — statehood is a constitutional entitlement for any Territory that meets the criteria, not a political grant. The automatic nature of this pathway is intentional — statehood is a constitutional right of a qualifying jurisdiction, not a political favor to be granted or withheld by incumbent States.</w:t>
      </w:r>
    </w:p>
    <w:p>
      <w:pPr>
        <w:spacing w:after="60" w:before="200"/>
        <w:ind w:left="431"/>
        <w:jc w:val="left"/>
      </w:pPr>
      <w:r>
        <w:rPr>
          <w:rFonts w:ascii="Courier New" w:cs="Courier New" w:eastAsia="Courier New" w:hAnsi="Courier New"/>
          <w:b/>
          <w:bCs/>
          <w:color w:val="1B2A4A"/>
          <w:sz w:val="18"/>
          <w:szCs w:val="18"/>
        </w:rPr>
        <w:t xml:space="preserve">§13.2.a  </w:t>
      </w:r>
      <w:r>
        <w:rPr>
          <w:rFonts w:ascii="Garamond" w:cs="Garamond" w:eastAsia="Garamond" w:hAnsi="Garamond"/>
          <w:b/>
          <w:bCs/>
          <w:i w:val="false"/>
          <w:iCs w:val="false"/>
          <w:color w:val="1B2A4A"/>
          <w:sz w:val="22"/>
          <w:szCs w:val="22"/>
        </w:rPr>
        <w:t xml:space="preserve">Fiscal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Statehood Audit — Fiscal Integrity Criterion. The LI audits the territory's government finances for basic fiscal sustainability, absence of structural insolvency that would require federal bailout, and basic public financial management standards. The audit checks whether the territory can function as a financially independent State — not whether its fiscal policy is optimal.</w:t>
      </w:r>
    </w:p>
    <w:p>
      <w:pPr>
        <w:spacing w:after="60" w:before="200"/>
        <w:ind w:left="431"/>
        <w:jc w:val="left"/>
      </w:pPr>
      <w:r>
        <w:rPr>
          <w:rFonts w:ascii="Courier New" w:cs="Courier New" w:eastAsia="Courier New" w:hAnsi="Courier New"/>
          <w:b/>
          <w:bCs/>
          <w:color w:val="1B2A4A"/>
          <w:sz w:val="18"/>
          <w:szCs w:val="18"/>
        </w:rPr>
        <w:t xml:space="preserve">§13.2.b  </w:t>
      </w:r>
      <w:r>
        <w:rPr>
          <w:rFonts w:ascii="Garamond" w:cs="Garamond" w:eastAsia="Garamond" w:hAnsi="Garamond"/>
          <w:b/>
          <w:bCs/>
          <w:i w:val="false"/>
          <w:iCs w:val="false"/>
          <w:color w:val="1B2A4A"/>
          <w:sz w:val="22"/>
          <w:szCs w:val="22"/>
        </w:rPr>
        <w:t xml:space="preserve">Legal Sync</w:t>
      </w:r>
    </w:p>
    <w:p>
      <w:pPr>
        <w:spacing w:after="120" w:before="0"/>
        <w:ind w:left="431"/>
        <w:jc w:val="both"/>
      </w:pPr>
      <w:r>
        <w:rPr>
          <w:rFonts w:ascii="Garamond" w:cs="Garamond" w:eastAsia="Garamond" w:hAnsi="Garamond"/>
          <w:b w:val="false"/>
          <w:bCs w:val="false"/>
          <w:i w:val="false"/>
          <w:iCs w:val="false"/>
          <w:color w:val="2a2520"/>
          <w:sz w:val="22"/>
          <w:szCs w:val="22"/>
        </w:rPr>
        <w:t xml:space="preserve">Statehood Audit — Article I Legal Compliance Criterion. The JI audits the territory's legal system for compliance with every Article I right. Statehood is not granted to jurisdictions that are constitutionally non-compliant — a territory that applies Article I rights inconsistently cannot become a State while those violations persist.</w:t>
      </w:r>
    </w:p>
    <w:p>
      <w:pPr>
        <w:spacing w:after="60" w:before="200"/>
        <w:ind w:left="431"/>
        <w:jc w:val="left"/>
      </w:pPr>
      <w:r>
        <w:rPr>
          <w:rFonts w:ascii="Courier New" w:cs="Courier New" w:eastAsia="Courier New" w:hAnsi="Courier New"/>
          <w:b/>
          <w:bCs/>
          <w:color w:val="1B2A4A"/>
          <w:sz w:val="18"/>
          <w:szCs w:val="18"/>
        </w:rPr>
        <w:t xml:space="preserve">§13.2.c  </w:t>
      </w:r>
      <w:r>
        <w:rPr>
          <w:rFonts w:ascii="Garamond" w:cs="Garamond" w:eastAsia="Garamond" w:hAnsi="Garamond"/>
          <w:b/>
          <w:bCs/>
          <w:i w:val="false"/>
          <w:iCs w:val="false"/>
          <w:color w:val="1B2A4A"/>
          <w:sz w:val="22"/>
          <w:szCs w:val="22"/>
        </w:rPr>
        <w:t xml:space="preserve">The Provisional Membership Period</w:t>
      </w:r>
    </w:p>
    <w:p>
      <w:pPr>
        <w:spacing w:after="120" w:before="0"/>
        <w:ind w:left="431"/>
        <w:jc w:val="both"/>
      </w:pPr>
      <w:r>
        <w:rPr>
          <w:rFonts w:ascii="Garamond" w:cs="Garamond" w:eastAsia="Garamond" w:hAnsi="Garamond"/>
          <w:b w:val="false"/>
          <w:bCs w:val="false"/>
          <w:i w:val="false"/>
          <w:iCs w:val="false"/>
          <w:color w:val="2a2520"/>
          <w:sz w:val="22"/>
          <w:szCs w:val="22"/>
        </w:rPr>
        <w:t xml:space="preserve">Upon passing the Statehood Audit, the territory enters a Provisional Membership Period of between 365 and 900 days (Legislature defines by statute). Clean completion results in automatic Statehood — no further action required.</w:t>
      </w:r>
    </w:p>
    <w:p>
      <w:pPr>
        <w:spacing w:after="60" w:before="200"/>
        <w:ind w:left="431"/>
        <w:jc w:val="left"/>
      </w:pPr>
      <w:r>
        <w:rPr>
          <w:rFonts w:ascii="Courier New" w:cs="Courier New" w:eastAsia="Courier New" w:hAnsi="Courier New"/>
          <w:b/>
          <w:bCs/>
          <w:color w:val="1B2A4A"/>
          <w:sz w:val="18"/>
          <w:szCs w:val="18"/>
        </w:rPr>
        <w:t xml:space="preserve">§13.2.d  </w:t>
      </w:r>
      <w:r>
        <w:rPr>
          <w:rFonts w:ascii="Garamond" w:cs="Garamond" w:eastAsia="Garamond" w:hAnsi="Garamond"/>
          <w:b/>
          <w:bCs/>
          <w:i w:val="false"/>
          <w:iCs w:val="false"/>
          <w:color w:val="1B2A4A"/>
          <w:sz w:val="22"/>
          <w:szCs w:val="22"/>
        </w:rPr>
        <w:t xml:space="preserve">Partial Territory Statehood</w:t>
      </w:r>
    </w:p>
    <w:p>
      <w:pPr>
        <w:spacing w:after="120" w:before="0"/>
        <w:ind w:left="431"/>
        <w:jc w:val="both"/>
      </w:pPr>
      <w:r>
        <w:rPr>
          <w:rFonts w:ascii="Garamond" w:cs="Garamond" w:eastAsia="Garamond" w:hAnsi="Garamond"/>
          <w:b w:val="false"/>
          <w:bCs w:val="false"/>
          <w:i w:val="false"/>
          <w:iCs w:val="false"/>
          <w:color w:val="2a2520"/>
          <w:sz w:val="22"/>
          <w:szCs w:val="22"/>
        </w:rPr>
        <w:t xml:space="preserve">A defined geographic subdivision of a Territory may petition for Statehood independently of the remainder. The petitioning subdivision must meet the same Statehood criteria as a whole Territory. Used where a Territory contains a region with clearly different institutional development.</w:t>
      </w:r>
    </w:p>
    <w:p>
      <w:pPr>
        <w:spacing w:after="60" w:before="200"/>
        <w:ind w:left="431"/>
        <w:jc w:val="left"/>
      </w:pPr>
      <w:r>
        <w:rPr>
          <w:rFonts w:ascii="Courier New" w:cs="Courier New" w:eastAsia="Courier New" w:hAnsi="Courier New"/>
          <w:b/>
          <w:bCs/>
          <w:color w:val="1B2A4A"/>
          <w:sz w:val="18"/>
          <w:szCs w:val="18"/>
        </w:rPr>
        <w:t xml:space="preserve">§13.2.e  </w:t>
      </w:r>
      <w:r>
        <w:rPr>
          <w:rFonts w:ascii="Garamond" w:cs="Garamond" w:eastAsia="Garamond" w:hAnsi="Garamond"/>
          <w:b/>
          <w:bCs/>
          <w:i w:val="false"/>
          <w:iCs w:val="false"/>
          <w:color w:val="1B2A4A"/>
          <w:sz w:val="22"/>
          <w:szCs w:val="22"/>
        </w:rPr>
        <w:t xml:space="preserve">Minimum Democratic Legitimacy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State must maintain three ongoing conditions: functioning electoral processes under Article XVI, basic rule of law and judicial function, and Article I rights compliance. Annual Statehood Audit verifies continued compliance. A State that fails receives Early Warning under §13.3.b — it enters a remediation process, not automatic devolution. The annual Statehood Audit for existing States includes assessment of all three conditions in this provision in addition to the criteria in §13.2.a and §13.2.b.</w:t>
      </w:r>
    </w:p>
    <w:p>
      <w:pPr>
        <w:spacing w:after="60" w:before="200"/>
        <w:ind w:left="431"/>
        <w:jc w:val="left"/>
      </w:pPr>
      <w:r>
        <w:rPr>
          <w:rFonts w:ascii="Courier New" w:cs="Courier New" w:eastAsia="Courier New" w:hAnsi="Courier New"/>
          <w:b/>
          <w:bCs/>
          <w:color w:val="1B2A4A"/>
          <w:sz w:val="18"/>
          <w:szCs w:val="18"/>
        </w:rPr>
        <w:t xml:space="preserve">§13.2.f  </w:t>
      </w:r>
      <w:r>
        <w:rPr>
          <w:rFonts w:ascii="Garamond" w:cs="Garamond" w:eastAsia="Garamond" w:hAnsi="Garamond"/>
          <w:b/>
          <w:bCs/>
          <w:i w:val="false"/>
          <w:iCs w:val="false"/>
          <w:color w:val="1B2A4A"/>
          <w:sz w:val="22"/>
          <w:szCs w:val="22"/>
        </w:rPr>
        <w:t xml:space="preserve">Territorial Minimum Institutional Floor</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Territory must maintain basic governance infrastructure: a governance council with defined membership and published authority, basic public financial reporting, and access to federal court jurisdiction for Article I claims. Territories that cannot maintain this floor may be placed in federal receivership pending institutional restoration.</w:t>
      </w:r>
    </w:p>
    <w:p>
      <w:pPr>
        <w:spacing w:after="60" w:before="200"/>
        <w:ind w:left="431"/>
        <w:jc w:val="left"/>
      </w:pPr>
      <w:r>
        <w:rPr>
          <w:rFonts w:ascii="Courier New" w:cs="Courier New" w:eastAsia="Courier New" w:hAnsi="Courier New"/>
          <w:b/>
          <w:bCs/>
          <w:color w:val="1B2A4A"/>
          <w:sz w:val="18"/>
          <w:szCs w:val="18"/>
        </w:rPr>
        <w:t xml:space="preserve">§13.2.g  </w:t>
      </w:r>
      <w:r>
        <w:rPr>
          <w:rFonts w:ascii="Garamond" w:cs="Garamond" w:eastAsia="Garamond" w:hAnsi="Garamond"/>
          <w:b/>
          <w:bCs/>
          <w:i w:val="false"/>
          <w:iCs w:val="false"/>
          <w:color w:val="1B2A4A"/>
          <w:sz w:val="22"/>
          <w:szCs w:val="22"/>
        </w:rPr>
        <w:t xml:space="preserve">Conflict-Affected State Provisional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active conflict prevents completion of the annual Statehood Audit in a significant portion (&gt;25% population) of a State's territory, the LI may grant provisional status for that audit cycle. Preserves State constitutional standing and BNF protections. Cannot be used where the conflict is attributable to the State government's own governance failures (§13.2.g.i).</w:t>
      </w:r>
    </w:p>
    <w:p>
      <w:pPr>
        <w:spacing w:after="60" w:before="200"/>
        <w:ind w:left="431"/>
        <w:jc w:val="left"/>
      </w:pPr>
      <w:r>
        <w:rPr>
          <w:rFonts w:ascii="Courier New" w:cs="Courier New" w:eastAsia="Courier New" w:hAnsi="Courier New"/>
          <w:b/>
          <w:bCs/>
          <w:color w:val="1B2A4A"/>
          <w:sz w:val="18"/>
          <w:szCs w:val="18"/>
        </w:rPr>
        <w:t xml:space="preserve">§13.2.g.i  </w:t>
      </w:r>
      <w:r>
        <w:rPr>
          <w:rFonts w:ascii="Garamond" w:cs="Garamond" w:eastAsia="Garamond" w:hAnsi="Garamond"/>
          <w:b/>
          <w:bCs/>
          <w:i w:val="false"/>
          <w:iCs w:val="false"/>
          <w:color w:val="1B2A4A"/>
          <w:sz w:val="22"/>
          <w:szCs w:val="22"/>
        </w:rPr>
        <w:t xml:space="preserve">Governance Contribution Standard</w:t>
      </w:r>
    </w:p>
    <w:p>
      <w:pPr>
        <w:spacing w:after="120" w:before="0"/>
        <w:ind w:left="431"/>
        <w:jc w:val="both"/>
      </w:pPr>
      <w:r>
        <w:rPr>
          <w:rFonts w:ascii="Garamond" w:cs="Garamond" w:eastAsia="Garamond" w:hAnsi="Garamond"/>
          <w:b w:val="false"/>
          <w:bCs w:val="false"/>
          <w:i w:val="false"/>
          <w:iCs w:val="false"/>
          <w:color w:val="2a2520"/>
          <w:sz w:val="22"/>
          <w:szCs w:val="22"/>
        </w:rPr>
        <w:t xml:space="preserve">Provisional status is unavailable where the joint assessment of all three Inspectorates finds that the State government materially contributed to the conditions producing conflict, or failed to take reasonable steps to prevent them when it knew or should have known of those conditions — even where direct State contribution cannot be established. Where this standard is met, the Statehood Audit proceeds on available evidence from accessible areas. Provisional status certification under §13.2.g requires the joint assessment of all three Inspectorates; no single Inspectorate's finding is sufficient to grant or deny provisional status.</w:t>
      </w:r>
    </w:p>
    <w:p>
      <w:pPr>
        <w:spacing w:after="60" w:before="200"/>
        <w:ind w:left="431"/>
        <w:jc w:val="left"/>
      </w:pPr>
      <w:r>
        <w:rPr>
          <w:rFonts w:ascii="Courier New" w:cs="Courier New" w:eastAsia="Courier New" w:hAnsi="Courier New"/>
          <w:b/>
          <w:bCs/>
          <w:color w:val="1B2A4A"/>
          <w:sz w:val="18"/>
          <w:szCs w:val="18"/>
        </w:rPr>
        <w:t xml:space="preserve">§13.2.g.ii  </w:t>
      </w:r>
      <w:r>
        <w:rPr>
          <w:rFonts w:ascii="Garamond" w:cs="Garamond" w:eastAsia="Garamond" w:hAnsi="Garamond"/>
          <w:b/>
          <w:bCs/>
          <w:i w:val="false"/>
          <w:iCs w:val="false"/>
          <w:color w:val="1B2A4A"/>
          <w:sz w:val="22"/>
          <w:szCs w:val="22"/>
        </w:rPr>
        <w:t xml:space="preserve">Provisional Status Monitoring</w:t>
      </w:r>
    </w:p>
    <w:p>
      <w:pPr>
        <w:spacing w:after="120" w:before="0"/>
        <w:ind w:left="431"/>
        <w:jc w:val="both"/>
      </w:pPr>
      <w:r>
        <w:rPr>
          <w:rFonts w:ascii="Garamond" w:cs="Garamond" w:eastAsia="Garamond" w:hAnsi="Garamond"/>
          <w:b w:val="false"/>
          <w:bCs w:val="false"/>
          <w:i w:val="false"/>
          <w:iCs w:val="false"/>
          <w:color w:val="2a2520"/>
          <w:sz w:val="22"/>
          <w:szCs w:val="22"/>
        </w:rPr>
        <w:t xml:space="preserve">During any provisional status period, the LI conducts a modified annual Statehood Audit assessing only the criteria that can be meaningfully evaluated given the conflict's geographic scope. The three Inspectorates jointly publish a quarterly status report to the NRS documenting: the percentage of territory where normal audit conditions have been restored, the governance functions operating normally, and the estimated timeline to full audit resumption. The State government retains all constitutional functions in territory not affected by the conflict.</w:t>
      </w:r>
    </w:p>
    <w:p>
      <w:pPr>
        <w:spacing w:after="60" w:before="200"/>
        <w:ind w:left="431"/>
        <w:jc w:val="left"/>
      </w:pPr>
      <w:r>
        <w:rPr>
          <w:rFonts w:ascii="Courier New" w:cs="Courier New" w:eastAsia="Courier New" w:hAnsi="Courier New"/>
          <w:b/>
          <w:bCs/>
          <w:color w:val="1B2A4A"/>
          <w:sz w:val="18"/>
          <w:szCs w:val="18"/>
        </w:rPr>
        <w:t xml:space="preserve">§13.2.g.iii  </w:t>
      </w:r>
      <w:r>
        <w:rPr>
          <w:rFonts w:ascii="Garamond" w:cs="Garamond" w:eastAsia="Garamond" w:hAnsi="Garamond"/>
          <w:b/>
          <w:bCs/>
          <w:i w:val="false"/>
          <w:iCs w:val="false"/>
          <w:color w:val="1B2A4A"/>
          <w:sz w:val="22"/>
          <w:szCs w:val="22"/>
        </w:rPr>
        <w:t xml:space="preserve">Prior Provisional Status — Renewal Conditions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State has previously held provisional status under §13.2.g, a new petition requires the joint Inspectorate assessment to certify both that the new conflict is genuinely distinct from the prior episode and that the State has completed at least one full Statehood Audit cycle since the prior provisional status ended.</w:t>
      </w:r>
    </w:p>
    <w:p>
      <w:pPr>
        <w:spacing w:after="60" w:before="200"/>
        <w:ind w:left="431"/>
        <w:jc w:val="left"/>
      </w:pPr>
      <w:r>
        <w:rPr>
          <w:rFonts w:ascii="Courier New" w:cs="Courier New" w:eastAsia="Courier New" w:hAnsi="Courier New"/>
          <w:b/>
          <w:bCs/>
          <w:color w:val="1B2A4A"/>
          <w:sz w:val="18"/>
          <w:szCs w:val="18"/>
        </w:rPr>
        <w:t xml:space="preserve">§13.2.g.iv  </w:t>
      </w:r>
      <w:r>
        <w:rPr>
          <w:rFonts w:ascii="Garamond" w:cs="Garamond" w:eastAsia="Garamond" w:hAnsi="Garamond"/>
          <w:b/>
          <w:bCs/>
          <w:i w:val="false"/>
          <w:iCs w:val="false"/>
          <w:color w:val="1B2A4A"/>
          <w:sz w:val="22"/>
          <w:szCs w:val="22"/>
        </w:rPr>
        <w:t xml:space="preserve">Maximum Provisional Period and Default Mechanism</w:t>
      </w:r>
    </w:p>
    <w:p>
      <w:pPr>
        <w:spacing w:after="120" w:before="0"/>
        <w:ind w:left="431"/>
        <w:jc w:val="both"/>
      </w:pPr>
      <w:r>
        <w:rPr>
          <w:rFonts w:ascii="Garamond" w:cs="Garamond" w:eastAsia="Garamond" w:hAnsi="Garamond"/>
          <w:b w:val="false"/>
          <w:bCs w:val="false"/>
          <w:i w:val="false"/>
          <w:iCs w:val="false"/>
          <w:color w:val="2a2520"/>
          <w:sz w:val="22"/>
          <w:szCs w:val="22"/>
        </w:rPr>
        <w:t xml:space="preserve">Provisional status may not continue indefinitely. The Legislature must by statute define the maximum provisional period, not to exceed five years.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spacing w:after="60" w:before="200"/>
        <w:ind w:left="431"/>
        <w:jc w:val="left"/>
      </w:pPr>
      <w:r>
        <w:rPr>
          <w:rFonts w:ascii="Courier New" w:cs="Courier New" w:eastAsia="Courier New" w:hAnsi="Courier New"/>
          <w:b/>
          <w:bCs/>
          <w:color w:val="1B2A4A"/>
          <w:sz w:val="18"/>
          <w:szCs w:val="18"/>
        </w:rPr>
        <w:t xml:space="preserve">§13.3  </w:t>
      </w:r>
      <w:r>
        <w:rPr>
          <w:rFonts w:ascii="Garamond" w:cs="Garamond" w:eastAsia="Garamond" w:hAnsi="Garamond"/>
          <w:b/>
          <w:bCs/>
          <w:i w:val="false"/>
          <w:iCs w:val="false"/>
          <w:color w:val="1B2A4A"/>
          <w:sz w:val="22"/>
          <w:szCs w:val="22"/>
        </w:rPr>
        <w:t xml:space="preserve">Mandatory Devolution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remedial process for States that have failed to meet minimum governance standards over a sustained period. Not punishment — a constitutional alternative to indefinite dysfunction. The path back to full Statehood is always available. Devolution restructures the State's relationship with the federal government while preserving its constitutional status.</w:t>
      </w:r>
    </w:p>
    <w:p>
      <w:pPr>
        <w:spacing w:after="60" w:before="200"/>
        <w:ind w:left="431"/>
        <w:jc w:val="left"/>
      </w:pPr>
      <w:r>
        <w:rPr>
          <w:rFonts w:ascii="Courier New" w:cs="Courier New" w:eastAsia="Courier New" w:hAnsi="Courier New"/>
          <w:b/>
          <w:bCs/>
          <w:color w:val="1B2A4A"/>
          <w:sz w:val="18"/>
          <w:szCs w:val="18"/>
        </w:rPr>
        <w:t xml:space="preserve">§13.3.a  </w:t>
      </w:r>
      <w:r>
        <w:rPr>
          <w:rFonts w:ascii="Garamond" w:cs="Garamond" w:eastAsia="Garamond" w:hAnsi="Garamond"/>
          <w:b/>
          <w:bCs/>
          <w:i w:val="false"/>
          <w:iCs w:val="false"/>
          <w:color w:val="1B2A4A"/>
          <w:sz w:val="22"/>
          <w:szCs w:val="22"/>
        </w:rPr>
        <w:t xml:space="preserve">Devolution Triggers</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enters Mandatory Devolution if it fails three consecutive annual Statehood Audits after passing through the Early Warning (Year 1-2) and Devolution Vote (Year 3) stages without correction. The LI certifies the trigger; the EI and JI jointly confirm; the SC reviews the factual basis.</w:t>
      </w:r>
    </w:p>
    <w:p>
      <w:pPr>
        <w:spacing w:after="60" w:before="200"/>
        <w:ind w:left="431"/>
        <w:jc w:val="left"/>
      </w:pPr>
      <w:r>
        <w:rPr>
          <w:rFonts w:ascii="Courier New" w:cs="Courier New" w:eastAsia="Courier New" w:hAnsi="Courier New"/>
          <w:b/>
          <w:bCs/>
          <w:color w:val="1B2A4A"/>
          <w:sz w:val="18"/>
          <w:szCs w:val="18"/>
        </w:rPr>
        <w:t xml:space="preserve">§13.3.b  </w:t>
      </w:r>
      <w:r>
        <w:rPr>
          <w:rFonts w:ascii="Garamond" w:cs="Garamond" w:eastAsia="Garamond" w:hAnsi="Garamond"/>
          <w:b/>
          <w:bCs/>
          <w:i w:val="false"/>
          <w:iCs w:val="false"/>
          <w:color w:val="1B2A4A"/>
          <w:sz w:val="22"/>
          <w:szCs w:val="22"/>
        </w:rPr>
        <w:t xml:space="preserve">Early Warning — Years 1 and 2</w:t>
      </w:r>
    </w:p>
    <w:p>
      <w:pPr>
        <w:spacing w:after="120" w:before="0"/>
        <w:ind w:left="431"/>
        <w:jc w:val="both"/>
      </w:pPr>
      <w:r>
        <w:rPr>
          <w:rFonts w:ascii="Garamond" w:cs="Garamond" w:eastAsia="Garamond" w:hAnsi="Garamond"/>
          <w:b w:val="false"/>
          <w:bCs w:val="false"/>
          <w:i w:val="false"/>
          <w:iCs w:val="false"/>
          <w:color w:val="2a2520"/>
          <w:sz w:val="22"/>
          <w:szCs w:val="22"/>
        </w:rPr>
        <w:t xml:space="preserve">Year 1 and 2 audit failures trigger Early Warning: the LI publishes specific compliance requirements, the State submits a Remediation Plan within 60 days, and the LI monitors implementation quarterly. A cooperative remediation process — the federal government assists the State in correcting identified failures rather than immediately proceeding to devolution.</w:t>
      </w:r>
    </w:p>
    <w:p>
      <w:pPr>
        <w:spacing w:after="60" w:before="200"/>
        <w:ind w:left="431"/>
        <w:jc w:val="left"/>
      </w:pPr>
      <w:r>
        <w:rPr>
          <w:rFonts w:ascii="Courier New" w:cs="Courier New" w:eastAsia="Courier New" w:hAnsi="Courier New"/>
          <w:b/>
          <w:bCs/>
          <w:color w:val="1B2A4A"/>
          <w:sz w:val="18"/>
          <w:szCs w:val="18"/>
        </w:rPr>
        <w:t xml:space="preserve">§13.3.c  </w:t>
      </w:r>
      <w:r>
        <w:rPr>
          <w:rFonts w:ascii="Garamond" w:cs="Garamond" w:eastAsia="Garamond" w:hAnsi="Garamond"/>
          <w:b/>
          <w:bCs/>
          <w:i w:val="false"/>
          <w:iCs w:val="false"/>
          <w:color w:val="1B2A4A"/>
          <w:sz w:val="22"/>
          <w:szCs w:val="22"/>
        </w:rPr>
        <w:t xml:space="preserve">Devolution Vote — Year 3</w:t>
      </w:r>
    </w:p>
    <w:p>
      <w:pPr>
        <w:spacing w:after="120" w:before="0"/>
        <w:ind w:left="431"/>
        <w:jc w:val="both"/>
      </w:pPr>
      <w:r>
        <w:rPr>
          <w:rFonts w:ascii="Garamond" w:cs="Garamond" w:eastAsia="Garamond" w:hAnsi="Garamond"/>
          <w:b w:val="false"/>
          <w:bCs w:val="false"/>
          <w:i w:val="false"/>
          <w:iCs w:val="false"/>
          <w:color w:val="2a2520"/>
          <w:sz w:val="22"/>
          <w:szCs w:val="22"/>
        </w:rPr>
        <w:t xml:space="preserve">Year 3 failure triggers a State-level referendum: citizens vote on whether to proceed to devolution or accept a federal remediation commission. If the State chooses the remediation commission, devolution is suspended for 2 years. If devolution is chosen or the commission fails, §13.3.d applies.</w:t>
      </w:r>
    </w:p>
    <w:p>
      <w:pPr>
        <w:spacing w:after="60" w:before="200"/>
        <w:ind w:left="431"/>
        <w:jc w:val="left"/>
      </w:pPr>
      <w:r>
        <w:rPr>
          <w:rFonts w:ascii="Courier New" w:cs="Courier New" w:eastAsia="Courier New" w:hAnsi="Courier New"/>
          <w:b/>
          <w:bCs/>
          <w:color w:val="1B2A4A"/>
          <w:sz w:val="18"/>
          <w:szCs w:val="18"/>
        </w:rPr>
        <w:t xml:space="preserve">§13.3.d  </w:t>
      </w:r>
      <w:r>
        <w:rPr>
          <w:rFonts w:ascii="Garamond" w:cs="Garamond" w:eastAsia="Garamond" w:hAnsi="Garamond"/>
          <w:b/>
          <w:bCs/>
          <w:i w:val="false"/>
          <w:iCs w:val="false"/>
          <w:color w:val="1B2A4A"/>
          <w:sz w:val="22"/>
          <w:szCs w:val="22"/>
        </w:rPr>
        <w:t xml:space="preserve">Effect of Mandatory Devolution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to completion;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BNF distributions to Territory residents continue without interruption; (5) Article I rights — all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the Territory may pass the audit at any annual assessment; (8) Path to restoration — full Statehood is restored automatically upon passing the Statehood Audit and completing the Provisional Membership Period under §13.2; no additional parliamentary vote is required. No additional consequences beyond those listed above may be imposed on the Territory by statute or executive action.</w:t>
      </w:r>
    </w:p>
    <w:p>
      <w:pPr>
        <w:spacing w:after="60" w:before="200"/>
        <w:ind w:left="431"/>
        <w:jc w:val="left"/>
      </w:pPr>
      <w:r>
        <w:rPr>
          <w:rFonts w:ascii="Courier New" w:cs="Courier New" w:eastAsia="Courier New" w:hAnsi="Courier New"/>
          <w:b/>
          <w:bCs/>
          <w:color w:val="1B2A4A"/>
          <w:sz w:val="18"/>
          <w:szCs w:val="18"/>
        </w:rPr>
        <w:t xml:space="preserve">§13.3.e  </w:t>
      </w:r>
      <w:r>
        <w:rPr>
          <w:rFonts w:ascii="Garamond" w:cs="Garamond" w:eastAsia="Garamond" w:hAnsi="Garamond"/>
          <w:b/>
          <w:bCs/>
          <w:i w:val="false"/>
          <w:iCs w:val="false"/>
          <w:color w:val="1B2A4A"/>
          <w:sz w:val="22"/>
          <w:szCs w:val="22"/>
        </w:rPr>
        <w:t xml:space="preserve">Constitutional Challenge to Devolution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spacing w:after="60" w:before="200"/>
        <w:ind w:left="431"/>
        <w:jc w:val="left"/>
      </w:pPr>
      <w:r>
        <w:rPr>
          <w:rFonts w:ascii="Courier New" w:cs="Courier New" w:eastAsia="Courier New" w:hAnsi="Courier New"/>
          <w:b/>
          <w:bCs/>
          <w:color w:val="1B2A4A"/>
          <w:sz w:val="18"/>
          <w:szCs w:val="18"/>
        </w:rPr>
        <w:t xml:space="preserve">§13.4  </w:t>
      </w:r>
      <w:r>
        <w:rPr>
          <w:rFonts w:ascii="Garamond" w:cs="Garamond" w:eastAsia="Garamond" w:hAnsi="Garamond"/>
          <w:b/>
          <w:bCs/>
          <w:i w:val="false"/>
          <w:iCs w:val="false"/>
          <w:color w:val="1B2A4A"/>
          <w:sz w:val="22"/>
          <w:szCs w:val="22"/>
        </w:rPr>
        <w:t xml:space="preserve">Voluntary Devolution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may voluntarily seek to restructure its relationship with the Republic. Requires a State referendum (60% of voters), a negotiated restructuring agreement approved by the Senate, and a Transition Plan published to the NRS. The voluntary path preserves far more State agency than mandatory devolution.</w:t>
      </w:r>
    </w:p>
    <w:p>
      <w:pPr>
        <w:spacing w:after="60" w:before="200"/>
        <w:ind w:left="431"/>
        <w:jc w:val="left"/>
      </w:pPr>
      <w:r>
        <w:rPr>
          <w:rFonts w:ascii="Courier New" w:cs="Courier New" w:eastAsia="Courier New" w:hAnsi="Courier New"/>
          <w:b/>
          <w:bCs/>
          <w:color w:val="1B2A4A"/>
          <w:sz w:val="18"/>
          <w:szCs w:val="18"/>
        </w:rPr>
        <w:t xml:space="preserve">§13.4.a  </w:t>
      </w:r>
      <w:r>
        <w:rPr>
          <w:rFonts w:ascii="Garamond" w:cs="Garamond" w:eastAsia="Garamond" w:hAnsi="Garamond"/>
          <w:b/>
          <w:bCs/>
          <w:i w:val="false"/>
          <w:iCs w:val="false"/>
          <w:color w:val="1B2A4A"/>
          <w:sz w:val="22"/>
          <w:szCs w:val="22"/>
        </w:rPr>
        <w:t xml:space="preserve">Voluntary Devolution Vote</w:t>
      </w:r>
    </w:p>
    <w:p>
      <w:pPr>
        <w:spacing w:after="120" w:before="0"/>
        <w:ind w:left="431"/>
        <w:jc w:val="both"/>
      </w:pPr>
      <w:r>
        <w:rPr>
          <w:rFonts w:ascii="Garamond" w:cs="Garamond" w:eastAsia="Garamond" w:hAnsi="Garamond"/>
          <w:b w:val="false"/>
          <w:bCs w:val="false"/>
          <w:i w:val="false"/>
          <w:iCs w:val="false"/>
          <w:color w:val="2a2520"/>
          <w:sz w:val="22"/>
          <w:szCs w:val="22"/>
        </w:rPr>
        <w:t xml:space="preserve">60% of State voters must approve the voluntary devolution petition. The referendum must specify the proposed restructuring: subdivision, merger, conversion to Territory status, or other arrangement. Citizens vote on the specific proposal, not on abstract devolution.</w:t>
      </w:r>
    </w:p>
    <w:p>
      <w:pPr>
        <w:spacing w:after="60" w:before="200"/>
        <w:ind w:left="431"/>
        <w:jc w:val="left"/>
      </w:pPr>
      <w:r>
        <w:rPr>
          <w:rFonts w:ascii="Courier New" w:cs="Courier New" w:eastAsia="Courier New" w:hAnsi="Courier New"/>
          <w:b/>
          <w:bCs/>
          <w:color w:val="1B2A4A"/>
          <w:sz w:val="18"/>
          <w:szCs w:val="18"/>
        </w:rPr>
        <w:t xml:space="preserve">§13.4.b  </w:t>
      </w:r>
      <w:r>
        <w:rPr>
          <w:rFonts w:ascii="Garamond" w:cs="Garamond" w:eastAsia="Garamond" w:hAnsi="Garamond"/>
          <w:b/>
          <w:bCs/>
          <w:i w:val="false"/>
          <w:iCs w:val="false"/>
          <w:color w:val="1B2A4A"/>
          <w:sz w:val="22"/>
          <w:szCs w:val="22"/>
        </w:rPr>
        <w:t xml:space="preserve">Negotiated Restructuring Agreement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Following a successful referendum, the State and the federal government negotiate restructuring terms: asset and liability allocation, transition timeline, continuing federal obligations, and constitutional status of successor jurisdictions. Senate approval by 2/3 majority required. The agreement is published to the NRS and is legally binding on both parties.</w:t>
      </w:r>
    </w:p>
    <w:p>
      <w:pPr>
        <w:spacing w:after="60" w:before="200"/>
        <w:ind w:left="431"/>
        <w:jc w:val="left"/>
      </w:pPr>
      <w:r>
        <w:rPr>
          <w:rFonts w:ascii="Courier New" w:cs="Courier New" w:eastAsia="Courier New" w:hAnsi="Courier New"/>
          <w:b/>
          <w:bCs/>
          <w:color w:val="1B2A4A"/>
          <w:sz w:val="18"/>
          <w:szCs w:val="18"/>
        </w:rPr>
        <w:t xml:space="preserve">§13.4.c  </w:t>
      </w:r>
      <w:r>
        <w:rPr>
          <w:rFonts w:ascii="Garamond" w:cs="Garamond" w:eastAsia="Garamond" w:hAnsi="Garamond"/>
          <w:b/>
          <w:bCs/>
          <w:i w:val="false"/>
          <w:iCs w:val="false"/>
          <w:color w:val="1B2A4A"/>
          <w:sz w:val="22"/>
          <w:szCs w:val="22"/>
        </w:rPr>
        <w:t xml:space="preserve">Transition Plan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Transition Plan specifies which functions transfer and when, how citizen rights are maintained during transition, and what remedies apply if transition encounters implementation problems. The LI monitors Transition Plan implementation and publishes quarterly compliance reports to the NRS.</w:t>
      </w:r>
    </w:p>
    <w:p>
      <w:pPr>
        <w:spacing w:after="60" w:before="200"/>
        <w:ind w:left="431"/>
        <w:jc w:val="left"/>
      </w:pPr>
      <w:r>
        <w:rPr>
          <w:rFonts w:ascii="Courier New" w:cs="Courier New" w:eastAsia="Courier New" w:hAnsi="Courier New"/>
          <w:b/>
          <w:bCs/>
          <w:color w:val="1B2A4A"/>
          <w:sz w:val="18"/>
          <w:szCs w:val="18"/>
        </w:rPr>
        <w:t xml:space="preserve">§13.4.d  </w:t>
      </w:r>
      <w:r>
        <w:rPr>
          <w:rFonts w:ascii="Garamond" w:cs="Garamond" w:eastAsia="Garamond" w:hAnsi="Garamond"/>
          <w:b/>
          <w:bCs/>
          <w:i w:val="false"/>
          <w:iCs w:val="false"/>
          <w:color w:val="1B2A4A"/>
          <w:sz w:val="22"/>
          <w:szCs w:val="22"/>
        </w:rPr>
        <w:t xml:space="preserve">Effect of Voluntary Devolution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Post-Devolution Status — following voluntary devolution, successor jurisdiction(s) begin their constitutional status from the starting point specified in the restructuring agreement. A subdivision that becomes a Territory enters the Statehood pathway immediately.</w:t>
      </w:r>
    </w:p>
    <w:p>
      <w:pPr>
        <w:spacing w:after="60" w:before="200"/>
        <w:ind w:left="431"/>
        <w:jc w:val="left"/>
      </w:pPr>
      <w:r>
        <w:rPr>
          <w:rFonts w:ascii="Courier New" w:cs="Courier New" w:eastAsia="Courier New" w:hAnsi="Courier New"/>
          <w:b/>
          <w:bCs/>
          <w:color w:val="1B2A4A"/>
          <w:sz w:val="18"/>
          <w:szCs w:val="18"/>
        </w:rPr>
        <w:t xml:space="preserve">§13.4.e  </w:t>
      </w:r>
      <w:r>
        <w:rPr>
          <w:rFonts w:ascii="Garamond" w:cs="Garamond" w:eastAsia="Garamond" w:hAnsi="Garamond"/>
          <w:b/>
          <w:bCs/>
          <w:i w:val="false"/>
          <w:iCs w:val="false"/>
          <w:color w:val="1B2A4A"/>
          <w:sz w:val="22"/>
          <w:szCs w:val="22"/>
        </w:rPr>
        <w:t xml:space="preserve">Negotiated Devolution Pathway</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 of §13.4.b.</w:t>
      </w:r>
    </w:p>
    <w:p>
      <w:pPr>
        <w:spacing w:after="60" w:before="200"/>
        <w:ind w:left="431"/>
        <w:jc w:val="left"/>
      </w:pPr>
      <w:r>
        <w:rPr>
          <w:rFonts w:ascii="Courier New" w:cs="Courier New" w:eastAsia="Courier New" w:hAnsi="Courier New"/>
          <w:b/>
          <w:bCs/>
          <w:color w:val="1B2A4A"/>
          <w:sz w:val="18"/>
          <w:szCs w:val="18"/>
        </w:rPr>
        <w:t xml:space="preserve">§13.4.f  </w:t>
      </w:r>
      <w:r>
        <w:rPr>
          <w:rFonts w:ascii="Garamond" w:cs="Garamond" w:eastAsia="Garamond" w:hAnsi="Garamond"/>
          <w:b/>
          <w:bCs/>
          <w:i w:val="false"/>
          <w:iCs w:val="false"/>
          <w:color w:val="1B2A4A"/>
          <w:sz w:val="22"/>
          <w:szCs w:val="22"/>
        </w:rPr>
        <w:t xml:space="preserve">Independence Transition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Despite §10.1 applying to Republic Inhabitants, the Republic's obligations to the departing territory during the transition period must be specified in the framework agreement. Independence does not end Republic obligations to former Territory residents immediately. The transition period is a period of defined ongoing obligation.</w:t>
      </w:r>
    </w:p>
    <w:p>
      <w:pPr>
        <w:spacing w:after="60" w:before="200"/>
        <w:ind w:left="431"/>
        <w:jc w:val="left"/>
      </w:pPr>
      <w:r>
        <w:rPr>
          <w:rFonts w:ascii="Courier New" w:cs="Courier New" w:eastAsia="Courier New" w:hAnsi="Courier New"/>
          <w:b/>
          <w:bCs/>
          <w:color w:val="1B2A4A"/>
          <w:sz w:val="18"/>
          <w:szCs w:val="18"/>
        </w:rPr>
        <w:t xml:space="preserve">§13.5  </w:t>
      </w:r>
      <w:r>
        <w:rPr>
          <w:rFonts w:ascii="Garamond" w:cs="Garamond" w:eastAsia="Garamond" w:hAnsi="Garamond"/>
          <w:b/>
          <w:bCs/>
          <w:i w:val="false"/>
          <w:iCs w:val="false"/>
          <w:color w:val="1B2A4A"/>
          <w:sz w:val="22"/>
          <w:szCs w:val="22"/>
        </w:rPr>
        <w:t xml:space="preserve">Re-Qualification Pathway</w:t>
      </w:r>
    </w:p>
    <w:p>
      <w:pPr>
        <w:spacing w:after="120" w:before="0"/>
        <w:ind w:left="431"/>
        <w:jc w:val="both"/>
      </w:pPr>
      <w:r>
        <w:rPr>
          <w:rFonts w:ascii="Garamond" w:cs="Garamond" w:eastAsia="Garamond" w:hAnsi="Garamond"/>
          <w:b w:val="false"/>
          <w:bCs w:val="false"/>
          <w:i w:val="false"/>
          <w:iCs w:val="false"/>
          <w:color w:val="2a2520"/>
          <w:sz w:val="22"/>
          <w:szCs w:val="22"/>
        </w:rPr>
        <w:t xml:space="preserve">A Territory resulting from mandatory or voluntary devolution enters the Statehood re-qualification pathway under §13.2 immediately upon the effective date of devolution. No additional political vote is required to begin the pathway. The Territory's re-qualification proceeds under the same Statehood Audit criteria that apply to any other Territory seeking Statehood.</w:t>
      </w:r>
    </w:p>
    <w:p>
      <w:pPr>
        <w:spacing w:after="60" w:before="200"/>
        <w:ind w:left="431"/>
        <w:jc w:val="left"/>
      </w:pPr>
      <w:r>
        <w:rPr>
          <w:rFonts w:ascii="Courier New" w:cs="Courier New" w:eastAsia="Courier New" w:hAnsi="Courier New"/>
          <w:b/>
          <w:bCs/>
          <w:color w:val="1B2A4A"/>
          <w:sz w:val="18"/>
          <w:szCs w:val="18"/>
        </w:rPr>
        <w:t xml:space="preserve">§13.6  </w:t>
      </w:r>
      <w:r>
        <w:rPr>
          <w:rFonts w:ascii="Garamond" w:cs="Garamond" w:eastAsia="Garamond" w:hAnsi="Garamond"/>
          <w:b/>
          <w:bCs/>
          <w:i w:val="false"/>
          <w:iCs w:val="false"/>
          <w:color w:val="1B2A4A"/>
          <w:sz w:val="22"/>
          <w:szCs w:val="22"/>
        </w:rPr>
        <w:t xml:space="preserve">Voluntary Incorporation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under §13.1. The Republic may not compel, incentivise, or pressure any sovereign entity to initiate this process — initiation must be an unencumbered democratic act of the petitioning entity's own governance. An indigenous nation recognised under Article XIV that wishes to pursue territorial incorporation must first make a status election through §14.6 before this provision applies.</w:t>
      </w:r>
    </w:p>
    <w:p>
      <w:pPr>
        <w:spacing w:after="60" w:before="200"/>
        <w:ind w:left="431"/>
        <w:jc w:val="left"/>
      </w:pPr>
      <w:r>
        <w:rPr>
          <w:rFonts w:ascii="Courier New" w:cs="Courier New" w:eastAsia="Courier New" w:hAnsi="Courier New"/>
          <w:b/>
          <w:bCs/>
          <w:color w:val="1B2A4A"/>
          <w:sz w:val="18"/>
          <w:szCs w:val="18"/>
        </w:rPr>
        <w:t xml:space="preserve">§13.7  </w:t>
      </w:r>
      <w:r>
        <w:rPr>
          <w:rFonts w:ascii="Garamond" w:cs="Garamond" w:eastAsia="Garamond" w:hAnsi="Garamond"/>
          <w:b/>
          <w:bCs/>
          <w:i w:val="false"/>
          <w:iCs w:val="false"/>
          <w:color w:val="1B2A4A"/>
          <w:sz w:val="22"/>
          <w:szCs w:val="22"/>
        </w:rPr>
        <w:t xml:space="preserve">Territorial Merger with Existing State</w:t>
      </w:r>
    </w:p>
    <w:p>
      <w:pPr>
        <w:spacing w:after="120" w:before="0"/>
        <w:ind w:left="431"/>
        <w:jc w:val="both"/>
      </w:pPr>
      <w:r>
        <w:rPr>
          <w:rFonts w:ascii="Garamond" w:cs="Garamond" w:eastAsia="Garamond" w:hAnsi="Garamond"/>
          <w:b w:val="false"/>
          <w:bCs w:val="false"/>
          <w:i w:val="false"/>
          <w:iCs w:val="false"/>
          <w:color w:val="2a2520"/>
          <w:sz w:val="22"/>
          <w:szCs w:val="22"/>
        </w:rPr>
        <w:t xml:space="preserve">A Territory, or a defined geographic portion of a Territory, may merge with an adjacent, geographically contiguous existing State rather than pursuing standalone Statehood. Merger requires approval from both the Territory population and the existing State, a joint Statehood Audit of the combined entity, and Senate ratification. The merged territory becomes fully part of the existing State — it does not create a new State or alter the existing State's constitutional standing.</w:t>
      </w:r>
    </w:p>
    <w:p>
      <w:pPr>
        <w:spacing w:after="60" w:before="200"/>
        <w:ind w:left="431"/>
        <w:jc w:val="left"/>
      </w:pPr>
      <w:r>
        <w:rPr>
          <w:rFonts w:ascii="Courier New" w:cs="Courier New" w:eastAsia="Courier New" w:hAnsi="Courier New"/>
          <w:b/>
          <w:bCs/>
          <w:color w:val="1B2A4A"/>
          <w:sz w:val="18"/>
          <w:szCs w:val="18"/>
        </w:rPr>
        <w:t xml:space="preserve">§13.7.a  </w:t>
      </w:r>
      <w:r>
        <w:rPr>
          <w:rFonts w:ascii="Garamond" w:cs="Garamond" w:eastAsia="Garamond" w:hAnsi="Garamond"/>
          <w:b/>
          <w:bCs/>
          <w:i w:val="false"/>
          <w:iCs w:val="false"/>
          <w:color w:val="1B2A4A"/>
          <w:sz w:val="22"/>
          <w:szCs w:val="22"/>
        </w:rPr>
        <w:t xml:space="preserve">Petition and Eligibility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A Territory or defined geographic subdivision may petition the Senate to merge with a specific existing State. Eligibility requires: (1) geographic contiguity — the merging territory must share a land or navigable water border with the existing State; (2) a petition resolution adopted by the Territory's governance council or equivalent body; and (3) certification by the LI that the proposed merger boundaries are clearly defined and published to the NRS. A non-contiguous territory may not merge with a distant State regardless of other qualifications.</w:t>
      </w:r>
    </w:p>
    <w:p>
      <w:pPr>
        <w:spacing w:after="60" w:before="200"/>
        <w:ind w:left="431"/>
        <w:jc w:val="left"/>
      </w:pPr>
      <w:r>
        <w:rPr>
          <w:rFonts w:ascii="Courier New" w:cs="Courier New" w:eastAsia="Courier New" w:hAnsi="Courier New"/>
          <w:b/>
          <w:bCs/>
          <w:color w:val="1B2A4A"/>
          <w:sz w:val="18"/>
          <w:szCs w:val="18"/>
        </w:rPr>
        <w:t xml:space="preserve">§13.7.b  </w:t>
      </w:r>
      <w:r>
        <w:rPr>
          <w:rFonts w:ascii="Garamond" w:cs="Garamond" w:eastAsia="Garamond" w:hAnsi="Garamond"/>
          <w:b/>
          <w:bCs/>
          <w:i w:val="false"/>
          <w:iCs w:val="false"/>
          <w:color w:val="1B2A4A"/>
          <w:sz w:val="22"/>
          <w:szCs w:val="22"/>
        </w:rPr>
        <w:t xml:space="preserve">Dual Approval Requirement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Merger requires affirmative approval from both parties: (1) Territory approval — a referendum of eligible voters in the merging territory achieving 60% affirmative support with at least 50% participation. Where a partial territory merges, only the population of the merging portion votes; the remainder of the Territory does not participate in this referendum. (2) State approval — the existing State approves through its own constitutional or statutory process as the State defines; the approval method and result must be published to the NRS. Both approvals must be achieved within 18 months of each other. If either approval fails or expires without the other being obtained, the petition lapses and may be resubmitted after 5 years or after a material change in circumstances.</w:t>
      </w:r>
    </w:p>
    <w:p>
      <w:pPr>
        <w:spacing w:after="60" w:before="200"/>
        <w:ind w:left="431"/>
        <w:jc w:val="left"/>
      </w:pPr>
      <w:r>
        <w:rPr>
          <w:rFonts w:ascii="Courier New" w:cs="Courier New" w:eastAsia="Courier New" w:hAnsi="Courier New"/>
          <w:b/>
          <w:bCs/>
          <w:color w:val="1B2A4A"/>
          <w:sz w:val="18"/>
          <w:szCs w:val="18"/>
        </w:rPr>
        <w:t xml:space="preserve">§13.7.c  </w:t>
      </w:r>
      <w:r>
        <w:rPr>
          <w:rFonts w:ascii="Garamond" w:cs="Garamond" w:eastAsia="Garamond" w:hAnsi="Garamond"/>
          <w:b/>
          <w:bCs/>
          <w:i w:val="false"/>
          <w:iCs w:val="false"/>
          <w:color w:val="1B2A4A"/>
          <w:sz w:val="22"/>
          <w:szCs w:val="22"/>
        </w:rPr>
        <w:t xml:space="preserve">Joint Statehood Audit</w:t>
      </w:r>
    </w:p>
    <w:p>
      <w:pPr>
        <w:spacing w:after="120" w:before="0"/>
        <w:ind w:left="431"/>
        <w:jc w:val="both"/>
      </w:pPr>
      <w:r>
        <w:rPr>
          <w:rFonts w:ascii="Garamond" w:cs="Garamond" w:eastAsia="Garamond" w:hAnsi="Garamond"/>
          <w:b w:val="false"/>
          <w:bCs w:val="false"/>
          <w:i w:val="false"/>
          <w:iCs w:val="false"/>
          <w:color w:val="2a2520"/>
          <w:sz w:val="22"/>
          <w:szCs w:val="22"/>
        </w:rPr>
        <w:t xml:space="preserve">Following both approvals, the LI and JI conduct a joint Statehood Audit of the combined entity under the criteria of §13.2.a and §13.2.b. The audit assesses whether the existing State's fiscal integrity and legal compliance are maintained when the merging territory is included. The existing State retains its constitutional status throughout the audit process — audit failure blocks the merger but does not affect the State's existing Statehood. If the combined entity fails the audit, the merger may not proceed. The petition may be resubmitted once the audit criteria are met without requiring new dual approval under §13.7.b, provided resubmission occurs within 5 years of the original approvals.</w:t>
      </w:r>
    </w:p>
    <w:p>
      <w:pPr>
        <w:spacing w:after="60" w:before="200"/>
        <w:ind w:left="431"/>
        <w:jc w:val="left"/>
      </w:pPr>
      <w:r>
        <w:rPr>
          <w:rFonts w:ascii="Courier New" w:cs="Courier New" w:eastAsia="Courier New" w:hAnsi="Courier New"/>
          <w:b/>
          <w:bCs/>
          <w:color w:val="1B2A4A"/>
          <w:sz w:val="18"/>
          <w:szCs w:val="18"/>
        </w:rPr>
        <w:t xml:space="preserve">§13.7.d  </w:t>
      </w:r>
      <w:r>
        <w:rPr>
          <w:rFonts w:ascii="Garamond" w:cs="Garamond" w:eastAsia="Garamond" w:hAnsi="Garamond"/>
          <w:b/>
          <w:bCs/>
          <w:i w:val="false"/>
          <w:iCs w:val="false"/>
          <w:color w:val="1B2A4A"/>
          <w:sz w:val="22"/>
          <w:szCs w:val="22"/>
        </w:rPr>
        <w:t xml:space="preserve">Remaining Territory Viability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partial Territory merges with an existing State, the LI assesses the remaining Territory's viability for eventual standalone Statehood and publishes its assessment to the NRS within 90 days of the merger petition. Viability does not require the remaining Territory to currently meet Statehood Audit criteria — only that a credible path to meeting them exists given its population, fiscal capacity, and geographic coherence. If the LI finds the remaining Territory is not viable for standalone Statehood, the partial merger may not proceed unless the Republic commits by statute to a specific development and support program for the remaining Territory, published to the NRS before the Senate ratification vote. A Territory that is reduced to non-viability by a partial merger that proceeded in error is entitled to full BNF protection and federal support as a constitutional matter.</w:t>
      </w:r>
    </w:p>
    <w:p>
      <w:pPr>
        <w:spacing w:after="60" w:before="200"/>
        <w:ind w:left="431"/>
        <w:jc w:val="left"/>
      </w:pPr>
      <w:r>
        <w:rPr>
          <w:rFonts w:ascii="Courier New" w:cs="Courier New" w:eastAsia="Courier New" w:hAnsi="Courier New"/>
          <w:b/>
          <w:bCs/>
          <w:color w:val="1B2A4A"/>
          <w:sz w:val="18"/>
          <w:szCs w:val="18"/>
        </w:rPr>
        <w:t xml:space="preserve">§13.7.e  </w:t>
      </w:r>
      <w:r>
        <w:rPr>
          <w:rFonts w:ascii="Garamond" w:cs="Garamond" w:eastAsia="Garamond" w:hAnsi="Garamond"/>
          <w:b/>
          <w:bCs/>
          <w:i w:val="false"/>
          <w:iCs w:val="false"/>
          <w:color w:val="1B2A4A"/>
          <w:sz w:val="22"/>
          <w:szCs w:val="22"/>
        </w:rPr>
        <w:t xml:space="preserve">Senate Ratification and Effect</w:t>
      </w:r>
    </w:p>
    <w:p>
      <w:pPr>
        <w:spacing w:after="120" w:before="0"/>
        <w:ind w:left="431"/>
        <w:jc w:val="both"/>
      </w:pPr>
      <w:r>
        <w:rPr>
          <w:rFonts w:ascii="Garamond" w:cs="Garamond" w:eastAsia="Garamond" w:hAnsi="Garamond"/>
          <w:b w:val="false"/>
          <w:bCs w:val="false"/>
          <w:i w:val="false"/>
          <w:iCs w:val="false"/>
          <w:color w:val="2a2520"/>
          <w:sz w:val="22"/>
          <w:szCs w:val="22"/>
        </w:rPr>
        <w:t xml:space="preserve">Senate ratification requires a simple majority of full seated membership. Upon ratification: the merging territory is incorporated into the existing State by operation of law from the date of ratification; the existing State's House seat allocation is recalculated at the next census; the existing State's two Senate seats remain unchanged; all residents of the merging territory become citizens and residents of the State for all constitutional purposes; and the LI publishes the updated State boundaries to the NRS within 30 days. Where a partial Territory merges, the remaining Territory continues under §13.1 and begins or continues the §13.2 Statehood Audit process from its current baseline.</w:t>
      </w:r>
    </w:p>
    <w:p>
      <w:pPr>
        <w:spacing w:after="60" w:before="200"/>
        <w:ind w:left="431"/>
        <w:jc w:val="left"/>
      </w:pPr>
      <w:r>
        <w:rPr>
          <w:rFonts w:ascii="Courier New" w:cs="Courier New" w:eastAsia="Courier New" w:hAnsi="Courier New"/>
          <w:b/>
          <w:bCs/>
          <w:color w:val="1B2A4A"/>
          <w:sz w:val="18"/>
          <w:szCs w:val="18"/>
        </w:rPr>
        <w:t xml:space="preserve">§13.8  </w:t>
      </w:r>
      <w:r>
        <w:rPr>
          <w:rFonts w:ascii="Garamond" w:cs="Garamond" w:eastAsia="Garamond" w:hAnsi="Garamond"/>
          <w:b/>
          <w:bCs/>
          <w:i w:val="false"/>
          <w:iCs w:val="false"/>
          <w:color w:val="1B2A4A"/>
          <w:sz w:val="22"/>
          <w:szCs w:val="22"/>
        </w:rPr>
        <w:t xml:space="preserve">State Immutability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State's constitutional boundaries are fixed. No constitutional mechanism permits a State to divide directly into two or more States. Where a State seeks to subdivide, it must first voluntarily devolve to Territory status under §13.4 — each resulting Territory then pursues Statehood independently through §13.2 or §13.2.d. The same requirement applies to any partial subdivision: the separating portion must first become a Territory before it may seek independent Statehood. A State undergoing this process retains its constitutional status until devolution takes effect; the resulting Territories re-qualify from their current baseline without prejudice.</w:t>
      </w:r>
    </w:p>
    <w:p>
      <w:pPr>
        <w:spacing w:after="60" w:before="200"/>
        <w:jc w:val="left"/>
      </w:pPr>
      <w:r>
        <w:rPr>
          <w:rFonts w:ascii="Garamond" w:cs="Garamond" w:eastAsia="Garamond" w:hAnsi="Garamond"/>
          <w:b/>
          <w:bCs/>
          <w:i w:val="false"/>
          <w:iCs w:val="false"/>
          <w:color w:val="1B2A4A"/>
          <w:sz w:val="34"/>
          <w:szCs w:val="34"/>
        </w:rPr>
        <w:t xml:space="preserve">Article XIV — Indigenous Sovereignty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§14.1  </w:t>
      </w:r>
      <w:r>
        <w:rPr>
          <w:rFonts w:ascii="Garamond" w:cs="Garamond" w:eastAsia="Garamond" w:hAnsi="Garamond"/>
          <w:b/>
          <w:bCs/>
          <w:i w:val="false"/>
          <w:iCs w:val="false"/>
          <w:color w:val="1B2A4A"/>
          <w:sz w:val="22"/>
          <w:szCs w:val="22"/>
        </w:rPr>
        <w:t xml:space="preserve">Acknowledgment of Prior Sovereignty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foundational provision recognizing that Indigenous Nations within the Republic's territory hold a distinct constitutional relationship based on prior sovereignty. The compact relationship is bilateral: the Republic acknowledges Indigenous prior sovereignty; Indigenous Nations acknowledge the Republic's constitutional framework.</w:t>
      </w:r>
    </w:p>
    <w:p>
      <w:pPr>
        <w:spacing w:after="60" w:before="200"/>
        <w:ind w:left="431"/>
        <w:jc w:val="left"/>
      </w:pPr>
      <w:r>
        <w:rPr>
          <w:rFonts w:ascii="Courier New" w:cs="Courier New" w:eastAsia="Courier New" w:hAnsi="Courier New"/>
          <w:b/>
          <w:bCs/>
          <w:color w:val="1B2A4A"/>
          <w:sz w:val="18"/>
          <w:szCs w:val="18"/>
        </w:rPr>
        <w:t xml:space="preserve">§14.2  </w:t>
      </w:r>
      <w:r>
        <w:rPr>
          <w:rFonts w:ascii="Garamond" w:cs="Garamond" w:eastAsia="Garamond" w:hAnsi="Garamond"/>
          <w:b/>
          <w:bCs/>
          <w:i w:val="false"/>
          <w:iCs w:val="false"/>
          <w:color w:val="1B2A4A"/>
          <w:sz w:val="22"/>
          <w:szCs w:val="22"/>
        </w:rPr>
        <w:t xml:space="preserve">Compact Formation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An Indigenous Nation may enter a compact with the Republic by submitting a compact proposal to the Senate. The Senate must within 90 days either begin compact negotiations or publish written reasons for declining; a declined proposal may be resubmitted after 5 years or after a material change in circumstances. Compact terms are negotiated between the Nation and the PM's domestic affairs office, with JI oversight. Compacts take effect upon 2/3 Senate ratification and Indigenous Nation ratification by their own constitutional process.</w:t>
      </w:r>
    </w:p>
    <w:p>
      <w:pPr>
        <w:spacing w:after="60" w:before="200"/>
        <w:ind w:left="431"/>
        <w:jc w:val="left"/>
      </w:pPr>
      <w:r>
        <w:rPr>
          <w:rFonts w:ascii="Courier New" w:cs="Courier New" w:eastAsia="Courier New" w:hAnsi="Courier New"/>
          <w:b/>
          <w:bCs/>
          <w:color w:val="1B2A4A"/>
          <w:sz w:val="18"/>
          <w:szCs w:val="18"/>
        </w:rPr>
        <w:t xml:space="preserve">§14.3  </w:t>
      </w:r>
      <w:r>
        <w:rPr>
          <w:rFonts w:ascii="Garamond" w:cs="Garamond" w:eastAsia="Garamond" w:hAnsi="Garamond"/>
          <w:b/>
          <w:bCs/>
          <w:i w:val="false"/>
          <w:iCs w:val="false"/>
          <w:color w:val="1B2A4A"/>
          <w:sz w:val="22"/>
          <w:szCs w:val="22"/>
        </w:rPr>
        <w:t xml:space="preserve">Rights and Governance in Compact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Article I rights apply in full within all compact territories. Indigenous Nations with compacts hold governance, judicial, and resource sovereignty within their territories, subject to the specific terms of this section.</w:t>
      </w:r>
    </w:p>
    <w:p>
      <w:pPr>
        <w:spacing w:after="60" w:before="200"/>
        <w:ind w:left="431"/>
        <w:jc w:val="left"/>
      </w:pPr>
      <w:r>
        <w:rPr>
          <w:rFonts w:ascii="Courier New" w:cs="Courier New" w:eastAsia="Courier New" w:hAnsi="Courier New"/>
          <w:b/>
          <w:bCs/>
          <w:color w:val="1B2A4A"/>
          <w:sz w:val="18"/>
          <w:szCs w:val="18"/>
        </w:rPr>
        <w:t xml:space="preserve">§14.3.a  </w:t>
      </w:r>
      <w:r>
        <w:rPr>
          <w:rFonts w:ascii="Garamond" w:cs="Garamond" w:eastAsia="Garamond" w:hAnsi="Garamond"/>
          <w:b/>
          <w:bCs/>
          <w:i w:val="false"/>
          <w:iCs w:val="false"/>
          <w:color w:val="1B2A4A"/>
          <w:sz w:val="22"/>
          <w:szCs w:val="22"/>
        </w:rPr>
        <w:t xml:space="preserve">Article I Rights in Compact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Article I rights apply in full within compact territories. No compact provision may limit or qualify any Article I right. The compact creates a framework for Indigenous governance, not a carve-out from constitutional rights. Where compact governance conflicts with an Article I right, Article I prevails.</w:t>
      </w:r>
    </w:p>
    <w:p>
      <w:pPr>
        <w:spacing w:after="60" w:before="200"/>
        <w:ind w:left="431"/>
        <w:jc w:val="left"/>
      </w:pPr>
      <w:r>
        <w:rPr>
          <w:rFonts w:ascii="Courier New" w:cs="Courier New" w:eastAsia="Courier New" w:hAnsi="Courier New"/>
          <w:b/>
          <w:bCs/>
          <w:color w:val="1B2A4A"/>
          <w:sz w:val="18"/>
          <w:szCs w:val="18"/>
        </w:rPr>
        <w:t xml:space="preserve">§14.3.b  </w:t>
      </w:r>
      <w:r>
        <w:rPr>
          <w:rFonts w:ascii="Garamond" w:cs="Garamond" w:eastAsia="Garamond" w:hAnsi="Garamond"/>
          <w:b/>
          <w:bCs/>
          <w:i w:val="false"/>
          <w:iCs w:val="false"/>
          <w:color w:val="1B2A4A"/>
          <w:sz w:val="22"/>
          <w:szCs w:val="22"/>
        </w:rPr>
        <w:t xml:space="preserve">Compact Judicial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Indigenous Nations with compacts may establish their own courts with jurisdiction over matters within compact scope. These courts operate in parallel with federal courts. Citizens may bring Article I claims directly to federal courts regardless of whether a matter is within compact scope.</w:t>
      </w:r>
    </w:p>
    <w:p>
      <w:pPr>
        <w:spacing w:after="60" w:before="200"/>
        <w:ind w:left="431"/>
        <w:jc w:val="left"/>
      </w:pPr>
      <w:r>
        <w:rPr>
          <w:rFonts w:ascii="Courier New" w:cs="Courier New" w:eastAsia="Courier New" w:hAnsi="Courier New"/>
          <w:b/>
          <w:bCs/>
          <w:color w:val="1B2A4A"/>
          <w:sz w:val="18"/>
          <w:szCs w:val="18"/>
        </w:rPr>
        <w:t xml:space="preserve">§14.3.c  </w:t>
      </w:r>
      <w:r>
        <w:rPr>
          <w:rFonts w:ascii="Garamond" w:cs="Garamond" w:eastAsia="Garamond" w:hAnsi="Garamond"/>
          <w:b/>
          <w:bCs/>
          <w:i w:val="false"/>
          <w:iCs w:val="false"/>
          <w:color w:val="1B2A4A"/>
          <w:sz w:val="22"/>
          <w:szCs w:val="22"/>
        </w:rPr>
        <w:t xml:space="preserve">Land and Resource Sovereignty</w:t>
      </w:r>
    </w:p>
    <w:p>
      <w:pPr>
        <w:spacing w:after="120" w:before="0"/>
        <w:ind w:left="431"/>
        <w:jc w:val="both"/>
      </w:pPr>
      <w:r>
        <w:rPr>
          <w:rFonts w:ascii="Garamond" w:cs="Garamond" w:eastAsia="Garamond" w:hAnsi="Garamond"/>
          <w:b w:val="false"/>
          <w:bCs w:val="false"/>
          <w:i w:val="false"/>
          <w:iCs w:val="false"/>
          <w:color w:val="2a2520"/>
          <w:sz w:val="22"/>
          <w:szCs w:val="22"/>
        </w:rPr>
        <w:t xml:space="preserve">Compact territories include explicit land and resource sovereignty provisions negotiated between the Nation and the Republic. The Republic may not alter compact land provisions without Nation consent. Resource extraction within compact territories requires both Republic and Nation approval.</w:t>
      </w:r>
    </w:p>
    <w:p>
      <w:pPr>
        <w:spacing w:after="60" w:before="200"/>
        <w:ind w:left="431"/>
        <w:jc w:val="left"/>
      </w:pPr>
      <w:r>
        <w:rPr>
          <w:rFonts w:ascii="Courier New" w:cs="Courier New" w:eastAsia="Courier New" w:hAnsi="Courier New"/>
          <w:b/>
          <w:bCs/>
          <w:color w:val="1B2A4A"/>
          <w:sz w:val="18"/>
          <w:szCs w:val="18"/>
        </w:rPr>
        <w:t xml:space="preserve">§14.3.d  </w:t>
      </w:r>
      <w:r>
        <w:rPr>
          <w:rFonts w:ascii="Garamond" w:cs="Garamond" w:eastAsia="Garamond" w:hAnsi="Garamond"/>
          <w:b/>
          <w:bCs/>
          <w:i w:val="false"/>
          <w:iCs w:val="false"/>
          <w:color w:val="1B2A4A"/>
          <w:sz w:val="22"/>
          <w:szCs w:val="22"/>
        </w:rPr>
        <w:t xml:space="preserve">Compact Governance Recognition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recognizes the Indigenous Nation's governance structures as legitimate political institutions within compact scope. Federal agencies must coordinate with compact governance bodies. The Republic may not impose federal administrative structures on compact governance without Nation consent.</w:t>
      </w:r>
    </w:p>
    <w:p>
      <w:pPr>
        <w:spacing w:after="60" w:before="200"/>
        <w:ind w:left="431"/>
        <w:jc w:val="left"/>
      </w:pPr>
      <w:r>
        <w:rPr>
          <w:rFonts w:ascii="Courier New" w:cs="Courier New" w:eastAsia="Courier New" w:hAnsi="Courier New"/>
          <w:b/>
          <w:bCs/>
          <w:color w:val="1B2A4A"/>
          <w:sz w:val="18"/>
          <w:szCs w:val="18"/>
        </w:rPr>
        <w:t xml:space="preserve">§14.3.e  </w:t>
      </w:r>
      <w:r>
        <w:rPr>
          <w:rFonts w:ascii="Garamond" w:cs="Garamond" w:eastAsia="Garamond" w:hAnsi="Garamond"/>
          <w:b/>
          <w:bCs/>
          <w:i w:val="false"/>
          <w:iCs w:val="false"/>
          <w:color w:val="1B2A4A"/>
          <w:sz w:val="22"/>
          <w:szCs w:val="22"/>
        </w:rPr>
        <w:t xml:space="preserve">Compact Education and Language</w:t>
      </w:r>
    </w:p>
    <w:p>
      <w:pPr>
        <w:spacing w:after="120" w:before="0"/>
        <w:ind w:left="431"/>
        <w:jc w:val="both"/>
      </w:pPr>
      <w:r>
        <w:rPr>
          <w:rFonts w:ascii="Garamond" w:cs="Garamond" w:eastAsia="Garamond" w:hAnsi="Garamond"/>
          <w:b w:val="false"/>
          <w:bCs w:val="false"/>
          <w:i w:val="false"/>
          <w:iCs w:val="false"/>
          <w:color w:val="2a2520"/>
          <w:sz w:val="22"/>
          <w:szCs w:val="22"/>
        </w:rPr>
        <w:t xml:space="preserve">Compacts must include provisions for preservation and transmission of Indigenous languages and cultural practices. The Republic provides federal education funding that supports Indigenous-language instruction within compact territories.</w:t>
      </w:r>
    </w:p>
    <w:p>
      <w:pPr>
        <w:spacing w:after="60" w:before="200"/>
        <w:ind w:left="431"/>
        <w:jc w:val="left"/>
      </w:pPr>
      <w:r>
        <w:rPr>
          <w:rFonts w:ascii="Courier New" w:cs="Courier New" w:eastAsia="Courier New" w:hAnsi="Courier New"/>
          <w:b/>
          <w:bCs/>
          <w:color w:val="1B2A4A"/>
          <w:sz w:val="18"/>
          <w:szCs w:val="18"/>
        </w:rPr>
        <w:t xml:space="preserve">§14.4  </w:t>
      </w:r>
      <w:r>
        <w:rPr>
          <w:rFonts w:ascii="Garamond" w:cs="Garamond" w:eastAsia="Garamond" w:hAnsi="Garamond"/>
          <w:b/>
          <w:bCs/>
          <w:i w:val="false"/>
          <w:iCs w:val="false"/>
          <w:color w:val="1B2A4A"/>
          <w:sz w:val="22"/>
          <w:szCs w:val="22"/>
        </w:rPr>
        <w:t xml:space="preserve">Compact Administration and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Compacts are living agreements administered through joint mechanisms. This section governs dispute resolution, review cycles, and the conditions under which a compact may be modified or terminated.</w:t>
      </w:r>
    </w:p>
    <w:p>
      <w:pPr>
        <w:spacing w:after="60" w:before="200"/>
        <w:ind w:left="431"/>
        <w:jc w:val="left"/>
      </w:pPr>
      <w:r>
        <w:rPr>
          <w:rFonts w:ascii="Courier New" w:cs="Courier New" w:eastAsia="Courier New" w:hAnsi="Courier New"/>
          <w:b/>
          <w:bCs/>
          <w:color w:val="1B2A4A"/>
          <w:sz w:val="18"/>
          <w:szCs w:val="18"/>
        </w:rPr>
        <w:t xml:space="preserve">§14.4.a  </w:t>
      </w:r>
      <w:r>
        <w:rPr>
          <w:rFonts w:ascii="Garamond" w:cs="Garamond" w:eastAsia="Garamond" w:hAnsi="Garamond"/>
          <w:b/>
          <w:bCs/>
          <w:i w:val="false"/>
          <w:iCs w:val="false"/>
          <w:color w:val="1B2A4A"/>
          <w:sz w:val="22"/>
          <w:szCs w:val="22"/>
        </w:rPr>
        <w:t xml:space="preserve">Compact Dispute Resolution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Disputes about compact terms are resolved through a Joint Compact Review Council (equal representation of the Nation and the Republic) with appeal to the SC on constitutional questions. The Council's decisions are binding on both parties within the scope of the compact. Neither party may unilaterally declare a compact dispute resolved.</w:t>
      </w:r>
    </w:p>
    <w:p>
      <w:pPr>
        <w:spacing w:after="60" w:before="200"/>
        <w:ind w:left="431"/>
        <w:jc w:val="left"/>
      </w:pPr>
      <w:r>
        <w:rPr>
          <w:rFonts w:ascii="Courier New" w:cs="Courier New" w:eastAsia="Courier New" w:hAnsi="Courier New"/>
          <w:b/>
          <w:bCs/>
          <w:color w:val="1B2A4A"/>
          <w:sz w:val="18"/>
          <w:szCs w:val="18"/>
        </w:rPr>
        <w:t xml:space="preserve">§14.4.b  </w:t>
      </w:r>
      <w:r>
        <w:rPr>
          <w:rFonts w:ascii="Garamond" w:cs="Garamond" w:eastAsia="Garamond" w:hAnsi="Garamond"/>
          <w:b/>
          <w:bCs/>
          <w:i w:val="false"/>
          <w:iCs w:val="false"/>
          <w:color w:val="1B2A4A"/>
          <w:sz w:val="22"/>
          <w:szCs w:val="22"/>
        </w:rPr>
        <w:t xml:space="preserve">Compact Review Cycle</w:t>
      </w:r>
    </w:p>
    <w:p>
      <w:pPr>
        <w:spacing w:after="120" w:before="0"/>
        <w:ind w:left="431"/>
        <w:jc w:val="both"/>
      </w:pPr>
      <w:r>
        <w:rPr>
          <w:rFonts w:ascii="Garamond" w:cs="Garamond" w:eastAsia="Garamond" w:hAnsi="Garamond"/>
          <w:b w:val="false"/>
          <w:bCs w:val="false"/>
          <w:i w:val="false"/>
          <w:iCs w:val="false"/>
          <w:color w:val="2a2520"/>
          <w:sz w:val="22"/>
          <w:szCs w:val="22"/>
        </w:rPr>
        <w:t xml:space="preserve">Compacts are reviewed on a schedule defined in the compact terms, minimum every 20 years. Either party may request a review outside the scheduled cycle. Reviews are conducted by the Joint Compact Review Council. The review may result in compact amendment by mutual agreement — neither party can impose amendments.</w:t>
      </w:r>
    </w:p>
    <w:p>
      <w:pPr>
        <w:spacing w:after="60" w:before="200"/>
        <w:ind w:left="431"/>
        <w:jc w:val="left"/>
      </w:pPr>
      <w:r>
        <w:rPr>
          <w:rFonts w:ascii="Courier New" w:cs="Courier New" w:eastAsia="Courier New" w:hAnsi="Courier New"/>
          <w:b/>
          <w:bCs/>
          <w:color w:val="1B2A4A"/>
          <w:sz w:val="18"/>
          <w:szCs w:val="18"/>
        </w:rPr>
        <w:t xml:space="preserve">§14.4.c  </w:t>
      </w:r>
      <w:r>
        <w:rPr>
          <w:rFonts w:ascii="Garamond" w:cs="Garamond" w:eastAsia="Garamond" w:hAnsi="Garamond"/>
          <w:b/>
          <w:bCs/>
          <w:i w:val="false"/>
          <w:iCs w:val="false"/>
          <w:color w:val="1B2A4A"/>
          <w:sz w:val="22"/>
          <w:szCs w:val="22"/>
        </w:rPr>
        <w:t xml:space="preserve">Compact Termination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compact may be terminated by mutual agreement only. Neither party may unilaterally terminate a compact. If the Nation seeks termination, the Republic must negotiate exit terms within 2 years. If no agreement is reached, the compact continues and the dispute is referred to the SC. The Republic holds no right to initiate compact termination. Only the Nation may initiate; the Republic's role is to negotiate exit terms if the Nation so elects.</w:t>
      </w:r>
    </w:p>
    <w:p>
      <w:pPr>
        <w:spacing w:after="60" w:before="200"/>
        <w:ind w:left="431"/>
        <w:jc w:val="left"/>
      </w:pPr>
      <w:r>
        <w:rPr>
          <w:rFonts w:ascii="Courier New" w:cs="Courier New" w:eastAsia="Courier New" w:hAnsi="Courier New"/>
          <w:b/>
          <w:bCs/>
          <w:color w:val="1B2A4A"/>
          <w:sz w:val="18"/>
          <w:szCs w:val="18"/>
        </w:rPr>
        <w:t xml:space="preserve">§14.5  </w:t>
      </w:r>
      <w:r>
        <w:rPr>
          <w:rFonts w:ascii="Garamond" w:cs="Garamond" w:eastAsia="Garamond" w:hAnsi="Garamond"/>
          <w:b/>
          <w:bCs/>
          <w:i w:val="false"/>
          <w:iCs w:val="false"/>
          <w:color w:val="1B2A4A"/>
          <w:sz w:val="22"/>
          <w:szCs w:val="22"/>
        </w:rPr>
        <w:t xml:space="preserve">Federal Obligations and New Compact Petitions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holds affirmative obligations to compact territories. Indigenous communities that do not currently hold a compact retain the right to petition for compact recognition under this section.</w:t>
      </w:r>
    </w:p>
    <w:p>
      <w:pPr>
        <w:spacing w:after="60" w:before="200"/>
        <w:ind w:left="431"/>
        <w:jc w:val="left"/>
      </w:pPr>
      <w:r>
        <w:rPr>
          <w:rFonts w:ascii="Courier New" w:cs="Courier New" w:eastAsia="Courier New" w:hAnsi="Courier New"/>
          <w:b/>
          <w:bCs/>
          <w:color w:val="1B2A4A"/>
          <w:sz w:val="18"/>
          <w:szCs w:val="18"/>
        </w:rPr>
        <w:t xml:space="preserve">§14.5.a  </w:t>
      </w:r>
      <w:r>
        <w:rPr>
          <w:rFonts w:ascii="Garamond" w:cs="Garamond" w:eastAsia="Garamond" w:hAnsi="Garamond"/>
          <w:b/>
          <w:bCs/>
          <w:i w:val="false"/>
          <w:iCs w:val="false"/>
          <w:color w:val="1B2A4A"/>
          <w:sz w:val="22"/>
          <w:szCs w:val="22"/>
        </w:rPr>
        <w:t xml:space="preserve">Emergency Rights Writ</w:t>
      </w:r>
    </w:p>
    <w:p>
      <w:pPr>
        <w:spacing w:after="120" w:before="0"/>
        <w:ind w:left="431"/>
        <w:jc w:val="both"/>
      </w:pPr>
      <w:r>
        <w:rPr>
          <w:rFonts w:ascii="Garamond" w:cs="Garamond" w:eastAsia="Garamond" w:hAnsi="Garamond"/>
          <w:b w:val="false"/>
          <w:bCs w:val="false"/>
          <w:i w:val="false"/>
          <w:iCs w:val="false"/>
          <w:color w:val="2a2520"/>
          <w:sz w:val="22"/>
          <w:szCs w:val="22"/>
        </w:rPr>
        <w:t xml:space="preserve">Any resident of compact territory who believes an Article I right has been violated may bring an Emergency Rights Writ directly to the SC, bypassing all lower courts and the compact dispute resolution process. The SC must respond within 7 days. Cannot be displaced by compact terms — a direct constitutional remedy that exists independently of compact jurisdiction.</w:t>
      </w:r>
    </w:p>
    <w:p>
      <w:pPr>
        <w:spacing w:after="60" w:before="200"/>
        <w:ind w:left="431"/>
        <w:jc w:val="left"/>
      </w:pPr>
      <w:r>
        <w:rPr>
          <w:rFonts w:ascii="Courier New" w:cs="Courier New" w:eastAsia="Courier New" w:hAnsi="Courier New"/>
          <w:b/>
          <w:bCs/>
          <w:color w:val="1B2A4A"/>
          <w:sz w:val="18"/>
          <w:szCs w:val="18"/>
        </w:rPr>
        <w:t xml:space="preserve">§14.5.b  </w:t>
      </w:r>
      <w:r>
        <w:rPr>
          <w:rFonts w:ascii="Garamond" w:cs="Garamond" w:eastAsia="Garamond" w:hAnsi="Garamond"/>
          <w:b/>
          <w:bCs/>
          <w:i w:val="false"/>
          <w:iCs w:val="false"/>
          <w:color w:val="1B2A4A"/>
          <w:sz w:val="22"/>
          <w:szCs w:val="22"/>
        </w:rPr>
        <w:t xml:space="preserve">Federal Assistance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maintains specific assistance obligations to compact nations: federal education funding, healthcare access, infrastructure investment, and emergency response. These obligations are enforceable against the Republic by the Nation through the compact dispute resolution process.</w:t>
      </w:r>
    </w:p>
    <w:p>
      <w:pPr>
        <w:spacing w:after="60" w:before="200"/>
        <w:ind w:left="431"/>
        <w:jc w:val="left"/>
      </w:pPr>
      <w:r>
        <w:rPr>
          <w:rFonts w:ascii="Courier New" w:cs="Courier New" w:eastAsia="Courier New" w:hAnsi="Courier New"/>
          <w:b/>
          <w:bCs/>
          <w:color w:val="1B2A4A"/>
          <w:sz w:val="18"/>
          <w:szCs w:val="18"/>
        </w:rPr>
        <w:t xml:space="preserve">§14.5.c  </w:t>
      </w:r>
      <w:r>
        <w:rPr>
          <w:rFonts w:ascii="Garamond" w:cs="Garamond" w:eastAsia="Garamond" w:hAnsi="Garamond"/>
          <w:b/>
          <w:bCs/>
          <w:i w:val="false"/>
          <w:iCs w:val="false"/>
          <w:color w:val="1B2A4A"/>
          <w:sz w:val="22"/>
          <w:szCs w:val="22"/>
        </w:rPr>
        <w:t xml:space="preserve">New Indigenous Compact Petitions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Indigenous communities that do not currently hold a compact may petition the Senate for compact recognition. The Senate must consider the petition within 90 days and either begin compact negotiations or publish written reasons for declining. A declined petition may be re-submitted after 5 years or after a material change in circumstances.</w:t>
      </w:r>
    </w:p>
    <w:p>
      <w:pPr>
        <w:spacing w:after="60" w:before="200"/>
        <w:ind w:left="431"/>
        <w:jc w:val="left"/>
      </w:pPr>
      <w:r>
        <w:rPr>
          <w:rFonts w:ascii="Courier New" w:cs="Courier New" w:eastAsia="Courier New" w:hAnsi="Courier New"/>
          <w:b/>
          <w:bCs/>
          <w:color w:val="1B2A4A"/>
          <w:sz w:val="18"/>
          <w:szCs w:val="18"/>
        </w:rPr>
        <w:t xml:space="preserve">§14.5.d  </w:t>
      </w:r>
      <w:r>
        <w:rPr>
          <w:rFonts w:ascii="Garamond" w:cs="Garamond" w:eastAsia="Garamond" w:hAnsi="Garamond"/>
          <w:b/>
          <w:bCs/>
          <w:i w:val="false"/>
          <w:iCs w:val="false"/>
          <w:color w:val="1B2A4A"/>
          <w:sz w:val="22"/>
          <w:szCs w:val="22"/>
        </w:rPr>
        <w:t xml:space="preserve">Compact and Citizenship</w:t>
      </w:r>
    </w:p>
    <w:p>
      <w:pPr>
        <w:spacing w:after="120" w:before="0"/>
        <w:ind w:left="431"/>
        <w:jc w:val="both"/>
      </w:pPr>
      <w:r>
        <w:rPr>
          <w:rFonts w:ascii="Garamond" w:cs="Garamond" w:eastAsia="Garamond" w:hAnsi="Garamond"/>
          <w:b w:val="false"/>
          <w:bCs w:val="false"/>
          <w:i w:val="false"/>
          <w:iCs w:val="false"/>
          <w:color w:val="2a2520"/>
          <w:sz w:val="22"/>
          <w:szCs w:val="22"/>
        </w:rPr>
        <w:t xml:space="preserve">Indigenous Nation membership and Republic citizenship are compatible and independent statuses. A citizen of a compact Nation holds full Republic citizenship rights. Republic citizenship does not require renouncing Indigenous Nation membership. Dual status is the constitutional default.</w:t>
      </w:r>
    </w:p>
    <w:p>
      <w:pPr>
        <w:spacing w:after="60" w:before="200"/>
        <w:ind w:left="431"/>
        <w:jc w:val="left"/>
      </w:pPr>
      <w:r>
        <w:rPr>
          <w:rFonts w:ascii="Courier New" w:cs="Courier New" w:eastAsia="Courier New" w:hAnsi="Courier New"/>
          <w:b/>
          <w:bCs/>
          <w:color w:val="1B2A4A"/>
          <w:sz w:val="18"/>
          <w:szCs w:val="18"/>
        </w:rPr>
        <w:t xml:space="preserve">§14.6  </w:t>
      </w:r>
      <w:r>
        <w:rPr>
          <w:rFonts w:ascii="Garamond" w:cs="Garamond" w:eastAsia="Garamond" w:hAnsi="Garamond"/>
          <w:b/>
          <w:bCs/>
          <w:i w:val="false"/>
          <w:iCs w:val="false"/>
          <w:color w:val="1B2A4A"/>
          <w:sz w:val="22"/>
          <w:szCs w:val="22"/>
        </w:rPr>
        <w:t xml:space="preserve">Treaty Supremacy and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by mutual agreement through the compact negotiation process under §14.2 and §14.4.</w:t>
      </w:r>
    </w:p>
    <w:p>
      <w:pPr>
        <w:spacing w:after="60" w:before="200"/>
        <w:ind w:left="431"/>
        <w:jc w:val="left"/>
      </w:pPr>
      <w:r>
        <w:rPr>
          <w:rFonts w:ascii="Courier New" w:cs="Courier New" w:eastAsia="Courier New" w:hAnsi="Courier New"/>
          <w:b/>
          <w:bCs/>
          <w:color w:val="1B2A4A"/>
          <w:sz w:val="18"/>
          <w:szCs w:val="18"/>
        </w:rPr>
        <w:t xml:space="preserve">§14.7  </w:t>
      </w:r>
      <w:r>
        <w:rPr>
          <w:rFonts w:ascii="Garamond" w:cs="Garamond" w:eastAsia="Garamond" w:hAnsi="Garamond"/>
          <w:b/>
          <w:bCs/>
          <w:i w:val="false"/>
          <w:iCs w:val="false"/>
          <w:color w:val="1B2A4A"/>
          <w:sz w:val="22"/>
          <w:szCs w:val="22"/>
        </w:rPr>
        <w:t xml:space="preserve">Indigenous Nation Status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An indigenous nation with an established compact under Article XIV holds the constitutional right to initiate a status transition through its own democratic or traditional governance process. Three status options are available: (a) Compact Status — continued Article XIV compact relationship (default; no election required to remain); (b) Territorial Integration — election to pursue territorial incorporation through §13.6, entering as a Territory with the standard §13.2 Statehood pathway available; (c) Full Sovereign Independence — the nation exists outside the Republic's constitutional framework as a fully independent sovereign nation, with the Republic obligated to negotiate a treaty within 24 months governing borders, trade, citizenship, and infrastructure; as an independent sovereign the Nation may subsequently seek an Associated Community compact with the Republic under Article XX. The Republic may not prefer, discourage, or offer inducements toward any option. The Republic must provide factual information about each status upon request.</w:t>
      </w:r>
    </w:p>
    <w:p>
      <w:pPr>
        <w:spacing w:after="60" w:before="200"/>
        <w:ind w:left="431"/>
        <w:jc w:val="left"/>
      </w:pPr>
      <w:r>
        <w:rPr>
          <w:rFonts w:ascii="Courier New" w:cs="Courier New" w:eastAsia="Courier New" w:hAnsi="Courier New"/>
          <w:b/>
          <w:bCs/>
          <w:color w:val="1B2A4A"/>
          <w:sz w:val="18"/>
          <w:szCs w:val="18"/>
        </w:rPr>
        <w:t xml:space="preserve">§14.7.a  </w:t>
      </w:r>
      <w:r>
        <w:rPr>
          <w:rFonts w:ascii="Garamond" w:cs="Garamond" w:eastAsia="Garamond" w:hAnsi="Garamond"/>
          <w:b/>
          <w:bCs/>
          <w:i w:val="false"/>
          <w:iCs w:val="false"/>
          <w:color w:val="1B2A4A"/>
          <w:sz w:val="22"/>
          <w:szCs w:val="22"/>
        </w:rPr>
        <w:t xml:space="preserve">Status Election Process</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status election under §14.7 requires: (1) a decision by the nation's own governance process, meeting the standards the nation itself defines for major governance decisions; and (2) publication of the election to the NRS within 30 days of the governance decision. A status election under §14.7 is irrevocable — a Nation that elects Territorial Integration or Full Sovereign Independence may not subsequently return to Article XIV compact status. Once a Nation has transitioned to Territory or State status, any further changes to their relationship with the Republic follow the standard constitutional processes applicable to that status under Articles XIII and XIX. Once a Nation has elected Full Sovereign Independence, any subsequent relationship with the Republic — including Associated Community status under Article XX — is pursued as an independent sovereign under the applicable provisions of that Article; Associated Community status requires full independence first and cannot be elected directly from compact status. At ratification, the Republic must formally notify all recognized indigenous compact nations of their rights under §14.7.</w:t>
      </w:r>
    </w:p>
    <w:p>
      <w:pPr>
        <w:spacing w:after="60" w:before="200"/>
        <w:jc w:val="left"/>
      </w:pPr>
      <w:r>
        <w:rPr>
          <w:rFonts w:ascii="Garamond" w:cs="Garamond" w:eastAsia="Garamond" w:hAnsi="Garamond"/>
          <w:b/>
          <w:bCs/>
          <w:i w:val="false"/>
          <w:iCs w:val="false"/>
          <w:color w:val="1B2A4A"/>
          <w:sz w:val="34"/>
          <w:szCs w:val="34"/>
        </w:rPr>
        <w:t xml:space="preserve">Article XV — Constitutional Amendments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§15.1  </w:t>
      </w:r>
      <w:r>
        <w:rPr>
          <w:rFonts w:ascii="Garamond" w:cs="Garamond" w:eastAsia="Garamond" w:hAnsi="Garamond"/>
          <w:b/>
          <w:bCs/>
          <w:i w:val="false"/>
          <w:iCs w:val="false"/>
          <w:color w:val="1B2A4A"/>
          <w:sz w:val="22"/>
          <w:szCs w:val="22"/>
        </w:rPr>
        <w:t xml:space="preserve">Three Amendment Paths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constitution can be amended through three routes with varying levels of democratic mandate. Path A (Legislature only): 3/4 of both chambers simultaneously. Path B (Legislature + popular vote): 2/3 of both chambers + 55% affirmative with 55% participation. Path C (citizens alone): 70% affirmative with 65% participation. An amendment passed by any path has identical constitutional force.</w:t>
      </w:r>
    </w:p>
    <w:p>
      <w:pPr>
        <w:spacing w:after="60" w:before="200"/>
        <w:ind w:left="431"/>
        <w:jc w:val="left"/>
      </w:pPr>
      <w:r>
        <w:rPr>
          <w:rFonts w:ascii="Courier New" w:cs="Courier New" w:eastAsia="Courier New" w:hAnsi="Courier New"/>
          <w:b/>
          <w:bCs/>
          <w:color w:val="1B2A4A"/>
          <w:sz w:val="18"/>
          <w:szCs w:val="18"/>
        </w:rPr>
        <w:t xml:space="preserve">§15.1.a  </w:t>
      </w:r>
      <w:r>
        <w:rPr>
          <w:rFonts w:ascii="Garamond" w:cs="Garamond" w:eastAsia="Garamond" w:hAnsi="Garamond"/>
          <w:b/>
          <w:bCs/>
          <w:i w:val="false"/>
          <w:iCs w:val="false"/>
          <w:color w:val="1B2A4A"/>
          <w:sz w:val="22"/>
          <w:szCs w:val="22"/>
        </w:rPr>
        <w:t xml:space="preserve">Parliamentary Path</w:t>
      </w:r>
    </w:p>
    <w:p>
      <w:pPr>
        <w:spacing w:after="120" w:before="0"/>
        <w:ind w:left="431"/>
        <w:jc w:val="both"/>
      </w:pPr>
      <w:r>
        <w:rPr>
          <w:rFonts w:ascii="Garamond" w:cs="Garamond" w:eastAsia="Garamond" w:hAnsi="Garamond"/>
          <w:b w:val="false"/>
          <w:bCs w:val="false"/>
          <w:i w:val="false"/>
          <w:iCs w:val="false"/>
          <w:color w:val="2a2520"/>
          <w:sz w:val="22"/>
          <w:szCs w:val="22"/>
        </w:rPr>
        <w:t xml:space="preserve">Legislative Amendment. Requires 3/4 supermajority of the full seated membership of both chambers in a single concurrent vote. No popular referendum. No executive signature. Every member's vote is published to the NRS within 24 hours. The 3/4 threshold is the highest legislative supermajority in the constitution — near-unanimous legislative agreement required.</w:t>
      </w:r>
    </w:p>
    <w:p>
      <w:pPr>
        <w:spacing w:after="60" w:before="200"/>
        <w:ind w:left="431"/>
        <w:jc w:val="left"/>
      </w:pPr>
      <w:r>
        <w:rPr>
          <w:rFonts w:ascii="Courier New" w:cs="Courier New" w:eastAsia="Courier New" w:hAnsi="Courier New"/>
          <w:b/>
          <w:bCs/>
          <w:color w:val="1B2A4A"/>
          <w:sz w:val="18"/>
          <w:szCs w:val="18"/>
        </w:rPr>
        <w:t xml:space="preserve">§15.1.b  </w:t>
      </w:r>
      <w:r>
        <w:rPr>
          <w:rFonts w:ascii="Garamond" w:cs="Garamond" w:eastAsia="Garamond" w:hAnsi="Garamond"/>
          <w:b/>
          <w:bCs/>
          <w:i w:val="false"/>
          <w:iCs w:val="false"/>
          <w:color w:val="1B2A4A"/>
          <w:sz w:val="22"/>
          <w:szCs w:val="22"/>
        </w:rPr>
        <w:t xml:space="preserve">Parliamentary and Popular Path</w:t>
      </w:r>
    </w:p>
    <w:p>
      <w:pPr>
        <w:spacing w:after="120" w:before="0"/>
        <w:ind w:left="431"/>
        <w:jc w:val="both"/>
      </w:pPr>
      <w:r>
        <w:rPr>
          <w:rFonts w:ascii="Garamond" w:cs="Garamond" w:eastAsia="Garamond" w:hAnsi="Garamond"/>
          <w:b w:val="false"/>
          <w:bCs w:val="false"/>
          <w:i w:val="false"/>
          <w:iCs w:val="false"/>
          <w:color w:val="2a2520"/>
          <w:sz w:val="22"/>
          <w:szCs w:val="22"/>
        </w:rPr>
        <w:t xml:space="preserve">Path B — Legislative and Popular Amendment. Lower legislative threshold (2/3 both chambers) but requires the People to ratify. National popular vote within 180 days of the parliamentary vote. 55% affirmative support with at least 55% citizen participation required. EC and LI certify jointly. Neither stage alone is sufficient.</w:t>
      </w:r>
    </w:p>
    <w:p>
      <w:pPr>
        <w:spacing w:after="60" w:before="200"/>
        <w:ind w:left="431"/>
        <w:jc w:val="left"/>
      </w:pPr>
      <w:r>
        <w:rPr>
          <w:rFonts w:ascii="Courier New" w:cs="Courier New" w:eastAsia="Courier New" w:hAnsi="Courier New"/>
          <w:b/>
          <w:bCs/>
          <w:color w:val="1B2A4A"/>
          <w:sz w:val="18"/>
          <w:szCs w:val="18"/>
        </w:rPr>
        <w:t xml:space="preserve">§15.1.c  </w:t>
      </w:r>
      <w:r>
        <w:rPr>
          <w:rFonts w:ascii="Garamond" w:cs="Garamond" w:eastAsia="Garamond" w:hAnsi="Garamond"/>
          <w:b/>
          <w:bCs/>
          <w:i w:val="false"/>
          <w:iCs w:val="false"/>
          <w:color w:val="1B2A4A"/>
          <w:sz w:val="22"/>
          <w:szCs w:val="22"/>
        </w:rPr>
        <w:t xml:space="preserve">Citizen-Led Path</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Citizen-Led Amendment. The only path that entirely bypasses the Legislature. 70% affirmative support with 65% citizen participation required. A vote that fails either threshold fails; no second vote is available. A new petition may be filed immediately under the same process, with the failed vote's NRS record available as public evidence of prior support.</w:t>
      </w:r>
    </w:p>
    <w:p>
      <w:pPr>
        <w:spacing w:after="60" w:before="200"/>
        <w:ind w:left="431"/>
        <w:jc w:val="left"/>
      </w:pPr>
      <w:r>
        <w:rPr>
          <w:rFonts w:ascii="Courier New" w:cs="Courier New" w:eastAsia="Courier New" w:hAnsi="Courier New"/>
          <w:b/>
          <w:bCs/>
          <w:color w:val="1B2A4A"/>
          <w:sz w:val="18"/>
          <w:szCs w:val="18"/>
        </w:rPr>
        <w:t xml:space="preserve">§15.2  </w:t>
      </w:r>
      <w:r>
        <w:rPr>
          <w:rFonts w:ascii="Garamond" w:cs="Garamond" w:eastAsia="Garamond" w:hAnsi="Garamond"/>
          <w:b/>
          <w:bCs/>
          <w:i w:val="false"/>
          <w:iCs w:val="false"/>
          <w:color w:val="1B2A4A"/>
          <w:sz w:val="22"/>
          <w:szCs w:val="22"/>
        </w:rPr>
        <w:t xml:space="preserve">No Executive Veto Over Amendments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Neither the President nor the PM has any role in the constitutional amendment process. No signature required. No veto available. An amendment takes effect the moment the Inspectorates certify ratification and publish it to the NRS. Constitutional change is entirely outside executive control.</w:t>
      </w:r>
    </w:p>
    <w:p>
      <w:pPr>
        <w:spacing w:after="60" w:before="200"/>
        <w:ind w:left="431"/>
        <w:jc w:val="left"/>
      </w:pPr>
      <w:r>
        <w:rPr>
          <w:rFonts w:ascii="Courier New" w:cs="Courier New" w:eastAsia="Courier New" w:hAnsi="Courier New"/>
          <w:b/>
          <w:bCs/>
          <w:color w:val="1B2A4A"/>
          <w:sz w:val="18"/>
          <w:szCs w:val="18"/>
        </w:rPr>
        <w:t xml:space="preserve">§15.2.a  </w:t>
      </w:r>
      <w:r>
        <w:rPr>
          <w:rFonts w:ascii="Garamond" w:cs="Garamond" w:eastAsia="Garamond" w:hAnsi="Garamond"/>
          <w:b/>
          <w:bCs/>
          <w:i w:val="false"/>
          <w:iCs w:val="false"/>
          <w:color w:val="1B2A4A"/>
          <w:sz w:val="22"/>
          <w:szCs w:val="22"/>
        </w:rPr>
        <w:t xml:space="preserve">Amendment Takes Effect</w:t>
      </w:r>
    </w:p>
    <w:p>
      <w:pPr>
        <w:spacing w:after="120" w:before="0"/>
        <w:ind w:left="431"/>
        <w:jc w:val="both"/>
      </w:pPr>
      <w:r>
        <w:rPr>
          <w:rFonts w:ascii="Garamond" w:cs="Garamond" w:eastAsia="Garamond" w:hAnsi="Garamond"/>
          <w:b w:val="false"/>
          <w:bCs w:val="false"/>
          <w:i w:val="false"/>
          <w:iCs w:val="false"/>
          <w:color w:val="2a2520"/>
          <w:sz w:val="22"/>
          <w:szCs w:val="22"/>
        </w:rPr>
        <w:t xml:space="preserve">An amendment takes effect immediately upon LI certification (Paths A and B) or EC certification (Path C) and NRS publication. No implementation delay, no commencement date, no executive discretion over timing.</w:t>
      </w:r>
    </w:p>
    <w:p>
      <w:pPr>
        <w:spacing w:after="60" w:before="200"/>
        <w:ind w:left="431"/>
        <w:jc w:val="left"/>
      </w:pPr>
      <w:r>
        <w:rPr>
          <w:rFonts w:ascii="Courier New" w:cs="Courier New" w:eastAsia="Courier New" w:hAnsi="Courier New"/>
          <w:b/>
          <w:bCs/>
          <w:color w:val="1B2A4A"/>
          <w:sz w:val="18"/>
          <w:szCs w:val="18"/>
        </w:rPr>
        <w:t xml:space="preserve">§15.3  </w:t>
      </w:r>
      <w:r>
        <w:rPr>
          <w:rFonts w:ascii="Garamond" w:cs="Garamond" w:eastAsia="Garamond" w:hAnsi="Garamond"/>
          <w:b/>
          <w:bCs/>
          <w:i w:val="false"/>
          <w:iCs w:val="false"/>
          <w:color w:val="1B2A4A"/>
          <w:sz w:val="22"/>
          <w:szCs w:val="22"/>
        </w:rPr>
        <w:t xml:space="preserve">Unamendable Provisions</w:t>
      </w:r>
    </w:p>
    <w:p>
      <w:pPr>
        <w:spacing w:after="120" w:before="0"/>
        <w:ind w:left="431"/>
        <w:jc w:val="both"/>
      </w:pPr>
      <w:r>
        <w:rPr>
          <w:rFonts w:ascii="Garamond" w:cs="Garamond" w:eastAsia="Garamond" w:hAnsi="Garamond"/>
          <w:b w:val="false"/>
          <w:bCs w:val="false"/>
          <w:i w:val="false"/>
          <w:iCs w:val="false"/>
          <w:color w:val="2a2520"/>
          <w:sz w:val="22"/>
          <w:szCs w:val="22"/>
        </w:rPr>
        <w:t xml:space="preserve">Six provisions of this constitution may not be amended by any pathway — not by legislative supermajority, popular ratification, or any combination of both. These provisions define the minimum conditions for constitutional legitimacy itself.</w:t>
      </w:r>
    </w:p>
    <w:p>
      <w:pPr>
        <w:spacing w:after="60" w:before="200"/>
        <w:ind w:left="431"/>
        <w:jc w:val="left"/>
      </w:pPr>
      <w:r>
        <w:rPr>
          <w:rFonts w:ascii="Courier New" w:cs="Courier New" w:eastAsia="Courier New" w:hAnsi="Courier New"/>
          <w:b/>
          <w:bCs/>
          <w:color w:val="1B2A4A"/>
          <w:sz w:val="18"/>
          <w:szCs w:val="18"/>
        </w:rPr>
        <w:t xml:space="preserve">§15.3.a  </w:t>
      </w:r>
      <w:r>
        <w:rPr>
          <w:rFonts w:ascii="Garamond" w:cs="Garamond" w:eastAsia="Garamond" w:hAnsi="Garamond"/>
          <w:b/>
          <w:bCs/>
          <w:i w:val="false"/>
          <w:iCs w:val="false"/>
          <w:color w:val="1B2A4A"/>
          <w:sz w:val="22"/>
          <w:szCs w:val="22"/>
        </w:rPr>
        <w:t xml:space="preserve">Permanently Unamendable Provisions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Unamendable Floor — six provisions that cannot be amended by any process: §1.3 (torture prohibition), §1.4 (slavery and forced labor), §1.14 (habeas corpus), §1.18 (public trial), §1.19 (no retroactive criminal laws), §1.28 (non-refoulement). Article I as a whole can only expand — no amendment may reduce any Article I right below its current floor.</w:t>
      </w:r>
    </w:p>
    <w:p>
      <w:pPr>
        <w:spacing w:after="60" w:before="200"/>
        <w:ind w:left="431"/>
        <w:jc w:val="left"/>
      </w:pPr>
      <w:r>
        <w:rPr>
          <w:rFonts w:ascii="Courier New" w:cs="Courier New" w:eastAsia="Courier New" w:hAnsi="Courier New"/>
          <w:b/>
          <w:bCs/>
          <w:color w:val="1B2A4A"/>
          <w:sz w:val="18"/>
          <w:szCs w:val="18"/>
        </w:rPr>
        <w:t xml:space="preserve">§15.4  </w:t>
      </w:r>
      <w:r>
        <w:rPr>
          <w:rFonts w:ascii="Garamond" w:cs="Garamond" w:eastAsia="Garamond" w:hAnsi="Garamond"/>
          <w:b/>
          <w:bCs/>
          <w:i w:val="false"/>
          <w:iCs w:val="false"/>
          <w:color w:val="1B2A4A"/>
          <w:sz w:val="22"/>
          <w:szCs w:val="22"/>
        </w:rPr>
        <w:t xml:space="preserve">Territorial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Republic's territorial extent may only be reduced by the consent of the affected population. No State may leave the Republic through ordinary legislation, and no government may cede territory without meeting the threshold established in this section.</w:t>
      </w:r>
    </w:p>
    <w:p>
      <w:pPr>
        <w:spacing w:after="60" w:before="200"/>
        <w:ind w:left="431"/>
        <w:jc w:val="left"/>
      </w:pPr>
      <w:r>
        <w:rPr>
          <w:rFonts w:ascii="Courier New" w:cs="Courier New" w:eastAsia="Courier New" w:hAnsi="Courier New"/>
          <w:b/>
          <w:bCs/>
          <w:color w:val="1B2A4A"/>
          <w:sz w:val="18"/>
          <w:szCs w:val="18"/>
        </w:rPr>
        <w:t xml:space="preserve">§15.4.a  </w:t>
      </w:r>
      <w:r>
        <w:rPr>
          <w:rFonts w:ascii="Garamond" w:cs="Garamond" w:eastAsia="Garamond" w:hAnsi="Garamond"/>
          <w:b/>
          <w:bCs/>
          <w:i w:val="false"/>
          <w:iCs w:val="false"/>
          <w:color w:val="1B2A4A"/>
          <w:sz w:val="22"/>
          <w:szCs w:val="22"/>
        </w:rPr>
        <w:t xml:space="preserve">Amendment Requirement for Territorial Reduction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Republic's territorial extent may only be reduced by a Path B or Path C amendment (not Path A). Expansion of territory is governed by §13.1. No executive action may alter the Republic's territorial extent.</w:t>
      </w:r>
    </w:p>
    <w:p>
      <w:pPr>
        <w:spacing w:after="60" w:before="200"/>
        <w:ind w:left="431"/>
        <w:jc w:val="left"/>
      </w:pPr>
      <w:r>
        <w:rPr>
          <w:rFonts w:ascii="Courier New" w:cs="Courier New" w:eastAsia="Courier New" w:hAnsi="Courier New"/>
          <w:b/>
          <w:bCs/>
          <w:color w:val="1B2A4A"/>
          <w:sz w:val="18"/>
          <w:szCs w:val="18"/>
        </w:rPr>
        <w:t xml:space="preserve">§15.4.b  </w:t>
      </w:r>
      <w:r>
        <w:rPr>
          <w:rFonts w:ascii="Garamond" w:cs="Garamond" w:eastAsia="Garamond" w:hAnsi="Garamond"/>
          <w:b/>
          <w:bCs/>
          <w:i w:val="false"/>
          <w:iCs w:val="false"/>
          <w:color w:val="1B2A4A"/>
          <w:sz w:val="22"/>
          <w:szCs w:val="22"/>
        </w:rPr>
        <w:t xml:space="preserve">No Secession by Ordinary Legislation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may not secede from the Republic by ordinary statute or by State referendum alone. Secession requires a constitutional amendment — Path B or C — meaning a national democratic majority must consent to the departure of any State.</w:t>
      </w:r>
    </w:p>
    <w:p>
      <w:pPr>
        <w:spacing w:after="60" w:before="200"/>
        <w:ind w:left="431"/>
        <w:jc w:val="left"/>
      </w:pPr>
      <w:r>
        <w:rPr>
          <w:rFonts w:ascii="Courier New" w:cs="Courier New" w:eastAsia="Courier New" w:hAnsi="Courier New"/>
          <w:b/>
          <w:bCs/>
          <w:color w:val="1B2A4A"/>
          <w:sz w:val="18"/>
          <w:szCs w:val="18"/>
        </w:rPr>
        <w:t xml:space="preserve">§15.5  </w:t>
      </w:r>
      <w:r>
        <w:rPr>
          <w:rFonts w:ascii="Garamond" w:cs="Garamond" w:eastAsia="Garamond" w:hAnsi="Garamond"/>
          <w:b/>
          <w:bCs/>
          <w:i w:val="false"/>
          <w:iCs w:val="false"/>
          <w:color w:val="1B2A4A"/>
          <w:sz w:val="22"/>
          <w:szCs w:val="22"/>
        </w:rPr>
        <w:t xml:space="preserve">Amendment Consistency Requirement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An amendment that is logically inconsistent with an existing provision must either explicitly repeal the inconsistent provision or the inconsistency is treated as void. The LI reviews all proposed amendments for internal consistency before ratification.</w:t>
      </w:r>
    </w:p>
    <w:p>
      <w:pPr>
        <w:spacing w:after="60" w:before="200"/>
        <w:ind w:left="431"/>
        <w:jc w:val="left"/>
      </w:pPr>
      <w:r>
        <w:rPr>
          <w:rFonts w:ascii="Courier New" w:cs="Courier New" w:eastAsia="Courier New" w:hAnsi="Courier New"/>
          <w:b/>
          <w:bCs/>
          <w:color w:val="1B2A4A"/>
          <w:sz w:val="18"/>
          <w:szCs w:val="18"/>
        </w:rPr>
        <w:t xml:space="preserve">§15.5.a  </w:t>
      </w:r>
      <w:r>
        <w:rPr>
          <w:rFonts w:ascii="Garamond" w:cs="Garamond" w:eastAsia="Garamond" w:hAnsi="Garamond"/>
          <w:b/>
          <w:bCs/>
          <w:i w:val="false"/>
          <w:iCs w:val="false"/>
          <w:color w:val="1B2A4A"/>
          <w:sz w:val="22"/>
          <w:szCs w:val="22"/>
        </w:rPr>
        <w:t xml:space="preserve">LI Consistency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LI publishes a consistency analysis of any proposed amendment within 30 days of its official proposal. Identifies provisions the amendment would supersede, modify, or conflict with. Advisory — it does not block ratification — but creates a permanent public record of what the amendment changes.</w:t>
      </w:r>
    </w:p>
    <w:p>
      <w:pPr>
        <w:spacing w:after="60" w:before="200"/>
        <w:ind w:left="431"/>
        <w:jc w:val="left"/>
      </w:pPr>
      <w:r>
        <w:rPr>
          <w:rFonts w:ascii="Courier New" w:cs="Courier New" w:eastAsia="Courier New" w:hAnsi="Courier New"/>
          <w:b/>
          <w:bCs/>
          <w:color w:val="1B2A4A"/>
          <w:sz w:val="18"/>
          <w:szCs w:val="18"/>
        </w:rPr>
        <w:t xml:space="preserve">§15.5.b  </w:t>
      </w:r>
      <w:r>
        <w:rPr>
          <w:rFonts w:ascii="Garamond" w:cs="Garamond" w:eastAsia="Garamond" w:hAnsi="Garamond"/>
          <w:b/>
          <w:bCs/>
          <w:i w:val="false"/>
          <w:iCs w:val="false"/>
          <w:color w:val="1B2A4A"/>
          <w:sz w:val="22"/>
          <w:szCs w:val="22"/>
        </w:rPr>
        <w:t xml:space="preserve">SC Consistency Adjudication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If a ratified amendment's consistency with existing provisions is disputed, the SC resolves the dispute on expedited review. The SC may not refuse to ratify an amendment that has met its procedural thresholds — it adjudicates the consistency question after ratification, not before.</w:t>
      </w:r>
    </w:p>
    <w:p>
      <w:pPr>
        <w:spacing w:after="60" w:before="200"/>
        <w:ind w:left="431"/>
        <w:jc w:val="left"/>
      </w:pPr>
      <w:r>
        <w:rPr>
          <w:rFonts w:ascii="Courier New" w:cs="Courier New" w:eastAsia="Courier New" w:hAnsi="Courier New"/>
          <w:b/>
          <w:bCs/>
          <w:color w:val="1B2A4A"/>
          <w:sz w:val="18"/>
          <w:szCs w:val="18"/>
        </w:rPr>
        <w:t xml:space="preserve">§15.5.c  </w:t>
      </w:r>
      <w:r>
        <w:rPr>
          <w:rFonts w:ascii="Garamond" w:cs="Garamond" w:eastAsia="Garamond" w:hAnsi="Garamond"/>
          <w:b/>
          <w:bCs/>
          <w:i w:val="false"/>
          <w:iCs w:val="false"/>
          <w:color w:val="1B2A4A"/>
          <w:sz w:val="22"/>
          <w:szCs w:val="22"/>
        </w:rPr>
        <w:t xml:space="preserve">Retroactive Effect of Amendments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Amendments take prospective effect from the date of ratification. They do not retroactively alter the constitutionality of acts that were constitutional when performed. Criminal prosecutions and civil proceedings that were constitutionally valid when commenced remain valid under the prior constitutional standard.</w:t>
      </w:r>
    </w:p>
    <w:p>
      <w:pPr>
        <w:spacing w:after="60" w:before="200"/>
        <w:ind w:left="431"/>
        <w:jc w:val="left"/>
      </w:pPr>
      <w:r>
        <w:rPr>
          <w:rFonts w:ascii="Courier New" w:cs="Courier New" w:eastAsia="Courier New" w:hAnsi="Courier New"/>
          <w:b/>
          <w:bCs/>
          <w:color w:val="1B2A4A"/>
          <w:sz w:val="18"/>
          <w:szCs w:val="18"/>
        </w:rPr>
        <w:t xml:space="preserve">§15.5.d  </w:t>
      </w:r>
      <w:r>
        <w:rPr>
          <w:rFonts w:ascii="Garamond" w:cs="Garamond" w:eastAsia="Garamond" w:hAnsi="Garamond"/>
          <w:b/>
          <w:bCs/>
          <w:i w:val="false"/>
          <w:iCs w:val="false"/>
          <w:color w:val="1B2A4A"/>
          <w:sz w:val="22"/>
          <w:szCs w:val="22"/>
        </w:rPr>
        <w:t xml:space="preserve">Simultaneous Amendments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Two amendments may be simultaneously in the ratification process. If both pass, both are law. If they conflict with each other, the one ratified later in time prevails. Where two conflicting amendments are certified on the same day, the amendment with the higher ratification margin prevails; where margins are also equal, the amendment whose proposal stage was completed earlier in time prevails as determined by the LI from NRS records. The LI publishes a notice of any pending simultaneous amendments that are potentially inconsistent with each other.</w:t>
      </w:r>
    </w:p>
    <w:p>
      <w:pPr>
        <w:spacing w:after="60" w:before="200"/>
        <w:ind w:left="431"/>
        <w:jc w:val="left"/>
      </w:pPr>
      <w:r>
        <w:rPr>
          <w:rFonts w:ascii="Courier New" w:cs="Courier New" w:eastAsia="Courier New" w:hAnsi="Courier New"/>
          <w:b/>
          <w:bCs/>
          <w:color w:val="1B2A4A"/>
          <w:sz w:val="18"/>
          <w:szCs w:val="18"/>
        </w:rPr>
        <w:t xml:space="preserve">§15.5.e  </w:t>
      </w:r>
      <w:r>
        <w:rPr>
          <w:rFonts w:ascii="Garamond" w:cs="Garamond" w:eastAsia="Garamond" w:hAnsi="Garamond"/>
          <w:b/>
          <w:bCs/>
          <w:i w:val="false"/>
          <w:iCs w:val="false"/>
          <w:color w:val="1B2A4A"/>
          <w:sz w:val="22"/>
          <w:szCs w:val="22"/>
        </w:rPr>
        <w:t xml:space="preserve">Withdrawn Amendments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A proposed amendment may be withdrawn by the proposing body at any point before ratification is certified. Once ratification is certified, an amendment may only be reversed by a subsequent amendment through one of the three paths.</w:t>
      </w:r>
    </w:p>
    <w:p>
      <w:pPr>
        <w:spacing w:after="60" w:before="200"/>
        <w:ind w:left="431"/>
        <w:jc w:val="left"/>
      </w:pPr>
      <w:r>
        <w:rPr>
          <w:rFonts w:ascii="Courier New" w:cs="Courier New" w:eastAsia="Courier New" w:hAnsi="Courier New"/>
          <w:b/>
          <w:bCs/>
          <w:color w:val="1B2A4A"/>
          <w:sz w:val="18"/>
          <w:szCs w:val="18"/>
        </w:rPr>
        <w:t xml:space="preserve">§15.6  </w:t>
      </w:r>
      <w:r>
        <w:rPr>
          <w:rFonts w:ascii="Garamond" w:cs="Garamond" w:eastAsia="Garamond" w:hAnsi="Garamond"/>
          <w:b/>
          <w:bCs/>
          <w:i w:val="false"/>
          <w:iCs w:val="false"/>
          <w:color w:val="1B2A4A"/>
          <w:sz w:val="22"/>
          <w:szCs w:val="22"/>
        </w:rPr>
        <w:t xml:space="preserve">Supremacy of This Constitution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Constitutional Supremacy — 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pPr>
        <w:spacing w:after="60" w:before="200"/>
        <w:jc w:val="left"/>
      </w:pPr>
      <w:r>
        <w:rPr>
          <w:rFonts w:ascii="Garamond" w:cs="Garamond" w:eastAsia="Garamond" w:hAnsi="Garamond"/>
          <w:b/>
          <w:bCs/>
          <w:i w:val="false"/>
          <w:iCs w:val="false"/>
          <w:color w:val="1B2A4A"/>
          <w:sz w:val="34"/>
          <w:szCs w:val="34"/>
        </w:rPr>
        <w:t xml:space="preserve">Article XVI — The Electoral Commission</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§16.1  </w:t>
      </w:r>
      <w:r>
        <w:rPr>
          <w:rFonts w:ascii="Garamond" w:cs="Garamond" w:eastAsia="Garamond" w:hAnsi="Garamond"/>
          <w:b/>
          <w:bCs/>
          <w:i w:val="false"/>
          <w:iCs w:val="false"/>
          <w:color w:val="1B2A4A"/>
          <w:sz w:val="22"/>
          <w:szCs w:val="22"/>
        </w:rPr>
        <w:t xml:space="preserve">Electoral Commission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Electoral Commission is a constitutionally independent body of five members elected by national ranked-choice vote on National Election Day to non-renewable six-year staggered terms. No political body nominates EC members. The EC administers all federal elections and referenda, maintains the National Voting System, enforces Article XVIII campaign finance requirements, and certifies all election results to the NRS. The EC is independent of both executives and the Legislature in the exercise of its administrative and certification functions. No member of the EC may have held elected office or party membership within ten years of their election.</w:t>
      </w:r>
    </w:p>
    <w:p>
      <w:pPr>
        <w:spacing w:after="60" w:before="200"/>
        <w:ind w:left="431"/>
        <w:jc w:val="left"/>
      </w:pPr>
      <w:r>
        <w:rPr>
          <w:rFonts w:ascii="Courier New" w:cs="Courier New" w:eastAsia="Courier New" w:hAnsi="Courier New"/>
          <w:b/>
          <w:bCs/>
          <w:color w:val="1B2A4A"/>
          <w:sz w:val="18"/>
          <w:szCs w:val="18"/>
        </w:rPr>
        <w:t xml:space="preserve">§16.2  </w:t>
      </w:r>
      <w:r>
        <w:rPr>
          <w:rFonts w:ascii="Garamond" w:cs="Garamond" w:eastAsia="Garamond" w:hAnsi="Garamond"/>
          <w:b/>
          <w:bCs/>
          <w:i w:val="false"/>
          <w:iCs w:val="false"/>
          <w:color w:val="1B2A4A"/>
          <w:sz w:val="22"/>
          <w:szCs w:val="22"/>
        </w:rPr>
        <w:t xml:space="preserve">Electoral Commission Qualifications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Electoral Commission members must meet three independently verified requirements: at least 15 years of professional expertise in elections, technology, or public administration; no current or recent partisan affiliation; and passage of the Constitutional Logic Test. The qualifications are substantive — the EC requires genuine expertise.</w:t>
      </w:r>
    </w:p>
    <w:p>
      <w:pPr>
        <w:spacing w:after="60" w:before="200"/>
        <w:ind w:left="431"/>
        <w:jc w:val="left"/>
      </w:pPr>
      <w:r>
        <w:rPr>
          <w:rFonts w:ascii="Courier New" w:cs="Courier New" w:eastAsia="Courier New" w:hAnsi="Courier New"/>
          <w:b/>
          <w:bCs/>
          <w:color w:val="1B2A4A"/>
          <w:sz w:val="18"/>
          <w:szCs w:val="18"/>
        </w:rPr>
        <w:t xml:space="preserve">§16.2.a  </w:t>
      </w:r>
      <w:r>
        <w:rPr>
          <w:rFonts w:ascii="Garamond" w:cs="Garamond" w:eastAsia="Garamond" w:hAnsi="Garamond"/>
          <w:b/>
          <w:bCs/>
          <w:i w:val="false"/>
          <w:iCs w:val="false"/>
          <w:color w:val="1B2A4A"/>
          <w:sz w:val="22"/>
          <w:szCs w:val="22"/>
        </w:rPr>
        <w:t xml:space="preserve">Electoral Commission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Electoral Commission members may be removed for cause only. No no-cause removal is available for EC members. For-cause removal requires: a JI-documented finding transmitted to a State Designee Panel under §8.9.f; a Panel determination that stated grounds are substantiated; a 14-day SC appeal window from publication of the Panel finding; and a 2/3 vote of both chambers simultaneously. Where the Panel finding is substantiated, the EC member is suspended from all duties pending the legislative vote and any SC review. On legislative acquittal following a substantiated Panel finding, the member returns to full duties immediately. Any removal vote scheduled within 180 days of a major national election is automatically suspended pending SC review within 48 hours; the proximity restriction applies to the removal vote, not to Panel-triggered suspension of duties.</w:t>
      </w:r>
    </w:p>
    <w:p>
      <w:pPr>
        <w:spacing w:after="60" w:before="200"/>
        <w:ind w:left="431"/>
        <w:jc w:val="left"/>
      </w:pPr>
      <w:r>
        <w:rPr>
          <w:rFonts w:ascii="Courier New" w:cs="Courier New" w:eastAsia="Courier New" w:hAnsi="Courier New"/>
          <w:b/>
          <w:bCs/>
          <w:color w:val="1B2A4A"/>
          <w:sz w:val="18"/>
          <w:szCs w:val="18"/>
        </w:rPr>
        <w:t xml:space="preserve">§16.3  </w:t>
      </w:r>
      <w:r>
        <w:rPr>
          <w:rFonts w:ascii="Garamond" w:cs="Garamond" w:eastAsia="Garamond" w:hAnsi="Garamond"/>
          <w:b/>
          <w:bCs/>
          <w:i w:val="false"/>
          <w:iCs w:val="false"/>
          <w:color w:val="1B2A4A"/>
          <w:sz w:val="22"/>
          <w:szCs w:val="22"/>
        </w:rPr>
        <w:t xml:space="preserve">NVS Properties</w:t>
      </w:r>
    </w:p>
    <w:p>
      <w:pPr>
        <w:spacing w:after="120" w:before="0"/>
        <w:ind w:left="431"/>
        <w:jc w:val="both"/>
      </w:pPr>
      <w:r>
        <w:rPr>
          <w:rFonts w:ascii="Garamond" w:cs="Garamond" w:eastAsia="Garamond" w:hAnsi="Garamond"/>
          <w:b w:val="false"/>
          <w:bCs w:val="false"/>
          <w:i w:val="false"/>
          <w:iCs w:val="false"/>
          <w:color w:val="2a2520"/>
          <w:sz w:val="22"/>
          <w:szCs w:val="22"/>
        </w:rPr>
        <w:t xml:space="preserve">Three constitutionally required properties of the National Voting System: ballot secrecy (technically impossible to link any vote to any voter), public auditability (aggregate results mathematically verifiable by anyone with NRS access), and resilience (capable of operating in degraded conditions without compromising either secrecy or auditability). These properties are independently required — neither can be sacrificed for the other.</w:t>
      </w:r>
    </w:p>
    <w:p>
      <w:pPr>
        <w:spacing w:after="60" w:before="200"/>
        <w:ind w:left="431"/>
        <w:jc w:val="left"/>
      </w:pPr>
      <w:r>
        <w:rPr>
          <w:rFonts w:ascii="Courier New" w:cs="Courier New" w:eastAsia="Courier New" w:hAnsi="Courier New"/>
          <w:b/>
          <w:bCs/>
          <w:color w:val="1B2A4A"/>
          <w:sz w:val="18"/>
          <w:szCs w:val="18"/>
        </w:rPr>
        <w:t xml:space="preserve">§16.3.a  </w:t>
      </w:r>
      <w:r>
        <w:rPr>
          <w:rFonts w:ascii="Garamond" w:cs="Garamond" w:eastAsia="Garamond" w:hAnsi="Garamond"/>
          <w:b/>
          <w:bCs/>
          <w:i w:val="false"/>
          <w:iCs w:val="false"/>
          <w:color w:val="1B2A4A"/>
          <w:sz w:val="22"/>
          <w:szCs w:val="22"/>
        </w:rPr>
        <w:t xml:space="preserve">Ballot Secrecy</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or institution — including Electoral Commission members — may identify how any individual citizen voted. Ballot secrecy is constitutionally absolute. The NVS must make it technically impossible to link any vote to any voter, even in post-election audits.</w:t>
      </w:r>
    </w:p>
    <w:p>
      <w:pPr>
        <w:spacing w:after="60" w:before="200"/>
        <w:ind w:left="431"/>
        <w:jc w:val="left"/>
      </w:pPr>
      <w:r>
        <w:rPr>
          <w:rFonts w:ascii="Courier New" w:cs="Courier New" w:eastAsia="Courier New" w:hAnsi="Courier New"/>
          <w:b/>
          <w:bCs/>
          <w:color w:val="1B2A4A"/>
          <w:sz w:val="18"/>
          <w:szCs w:val="18"/>
        </w:rPr>
        <w:t xml:space="preserve">§16.3.b  </w:t>
      </w:r>
      <w:r>
        <w:rPr>
          <w:rFonts w:ascii="Garamond" w:cs="Garamond" w:eastAsia="Garamond" w:hAnsi="Garamond"/>
          <w:b/>
          <w:bCs/>
          <w:i w:val="false"/>
          <w:iCs w:val="false"/>
          <w:color w:val="1B2A4A"/>
          <w:sz w:val="22"/>
          <w:szCs w:val="22"/>
        </w:rPr>
        <w:t xml:space="preserve">Public Auditability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vote cast through the NVS must be individually verifiable by the voter who cast it, without revealing that voter's identity to any other party. The NVS must produce an audit trail that allows independent verification of aggregate results without individual identification. Both requirements must be simultaneously satisfied.</w:t>
      </w:r>
    </w:p>
    <w:p>
      <w:pPr>
        <w:spacing w:after="60" w:before="200"/>
        <w:ind w:left="431"/>
        <w:jc w:val="left"/>
      </w:pPr>
      <w:r>
        <w:rPr>
          <w:rFonts w:ascii="Courier New" w:cs="Courier New" w:eastAsia="Courier New" w:hAnsi="Courier New"/>
          <w:b/>
          <w:bCs/>
          <w:color w:val="1B2A4A"/>
          <w:sz w:val="18"/>
          <w:szCs w:val="18"/>
        </w:rPr>
        <w:t xml:space="preserve">§16.3.c  </w:t>
      </w:r>
      <w:r>
        <w:rPr>
          <w:rFonts w:ascii="Garamond" w:cs="Garamond" w:eastAsia="Garamond" w:hAnsi="Garamond"/>
          <w:b/>
          <w:bCs/>
          <w:i w:val="false"/>
          <w:iCs w:val="false"/>
          <w:color w:val="1B2A4A"/>
          <w:sz w:val="22"/>
          <w:szCs w:val="22"/>
        </w:rPr>
        <w:t xml:space="preserve">Resilience and Privacy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NVS must operate in degraded conditions without compromising ballot secrecy or auditability. No information generated by the NVS — including voter participation records — may be shared with any government body, law enforcement, or foreign entity for any purpose other than administering the relevant election or referendum. Voter participation data is constitutionally protected even from the government.</w:t>
      </w:r>
    </w:p>
    <w:p>
      <w:pPr>
        <w:spacing w:after="60" w:before="200"/>
        <w:ind w:left="431"/>
        <w:jc w:val="left"/>
      </w:pPr>
      <w:r>
        <w:rPr>
          <w:rFonts w:ascii="Courier New" w:cs="Courier New" w:eastAsia="Courier New" w:hAnsi="Courier New"/>
          <w:b/>
          <w:bCs/>
          <w:color w:val="1B2A4A"/>
          <w:sz w:val="18"/>
          <w:szCs w:val="18"/>
        </w:rPr>
        <w:t xml:space="preserve">§16.4  </w:t>
      </w:r>
      <w:r>
        <w:rPr>
          <w:rFonts w:ascii="Garamond" w:cs="Garamond" w:eastAsia="Garamond" w:hAnsi="Garamond"/>
          <w:b/>
          <w:bCs/>
          <w:i w:val="false"/>
          <w:iCs w:val="false"/>
          <w:color w:val="1B2A4A"/>
          <w:sz w:val="22"/>
          <w:szCs w:val="22"/>
        </w:rPr>
        <w:t xml:space="preserve">Voting Rights and Access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citizen holds the right to vote in federal elections. The Electoral Commission administers the Citizen Voting Credential and is constitutionally obligated to maintain access to the National Voting System for every eligible citizen.</w:t>
      </w:r>
    </w:p>
    <w:p>
      <w:pPr>
        <w:spacing w:after="60" w:before="200"/>
        <w:ind w:left="431"/>
        <w:jc w:val="left"/>
      </w:pPr>
      <w:r>
        <w:rPr>
          <w:rFonts w:ascii="Courier New" w:cs="Courier New" w:eastAsia="Courier New" w:hAnsi="Courier New"/>
          <w:b/>
          <w:bCs/>
          <w:color w:val="1B2A4A"/>
          <w:sz w:val="18"/>
          <w:szCs w:val="18"/>
        </w:rPr>
        <w:t xml:space="preserve">§16.4.a  </w:t>
      </w:r>
      <w:r>
        <w:rPr>
          <w:rFonts w:ascii="Garamond" w:cs="Garamond" w:eastAsia="Garamond" w:hAnsi="Garamond"/>
          <w:b/>
          <w:bCs/>
          <w:i w:val="false"/>
          <w:iCs w:val="false"/>
          <w:color w:val="1B2A4A"/>
          <w:sz w:val="22"/>
          <w:szCs w:val="22"/>
        </w:rPr>
        <w:t xml:space="preserve">The Citizen Voting Credential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200"/>
        <w:ind w:left="431"/>
        <w:jc w:val="left"/>
      </w:pPr>
      <w:r>
        <w:rPr>
          <w:rFonts w:ascii="Courier New" w:cs="Courier New" w:eastAsia="Courier New" w:hAnsi="Courier New"/>
          <w:b/>
          <w:bCs/>
          <w:color w:val="1B2A4A"/>
          <w:sz w:val="18"/>
          <w:szCs w:val="18"/>
        </w:rPr>
        <w:t xml:space="preserve">§16.4.b  </w:t>
      </w:r>
      <w:r>
        <w:rPr>
          <w:rFonts w:ascii="Garamond" w:cs="Garamond" w:eastAsia="Garamond" w:hAnsi="Garamond"/>
          <w:b/>
          <w:bCs/>
          <w:i w:val="false"/>
          <w:iCs w:val="false"/>
          <w:color w:val="1B2A4A"/>
          <w:sz w:val="22"/>
          <w:szCs w:val="22"/>
        </w:rPr>
        <w:t xml:space="preserve">Remote Voting</w:t>
      </w:r>
    </w:p>
    <w:p>
      <w:pPr>
        <w:spacing w:after="120" w:before="0"/>
        <w:ind w:left="431"/>
        <w:jc w:val="both"/>
      </w:pPr>
      <w:r>
        <w:rPr>
          <w:rFonts w:ascii="Garamond" w:cs="Garamond" w:eastAsia="Garamond" w:hAnsi="Garamond"/>
          <w:b w:val="false"/>
          <w:bCs w:val="false"/>
          <w:i w:val="false"/>
          <w:iCs w:val="false"/>
          <w:color w:val="2a2520"/>
          <w:sz w:val="22"/>
          <w:szCs w:val="22"/>
        </w:rPr>
        <w:t xml:space="preserve">Legislature may by statute authorize authenticated remote voting through the NVS. Remote voting must meet the same cryptographic and auditability standards as in-person NVS voting. No remote voting system may reduce ballot secrecy or auditability below the in-person standard.</w:t>
      </w:r>
    </w:p>
    <w:p>
      <w:pPr>
        <w:spacing w:after="60" w:before="200"/>
        <w:ind w:left="431"/>
        <w:jc w:val="left"/>
      </w:pPr>
      <w:r>
        <w:rPr>
          <w:rFonts w:ascii="Courier New" w:cs="Courier New" w:eastAsia="Courier New" w:hAnsi="Courier New"/>
          <w:b/>
          <w:bCs/>
          <w:color w:val="1B2A4A"/>
          <w:sz w:val="18"/>
          <w:szCs w:val="18"/>
        </w:rPr>
        <w:t xml:space="preserve">§16.4.c  </w:t>
      </w:r>
      <w:r>
        <w:rPr>
          <w:rFonts w:ascii="Garamond" w:cs="Garamond" w:eastAsia="Garamond" w:hAnsi="Garamond"/>
          <w:b/>
          <w:bCs/>
          <w:i w:val="false"/>
          <w:iCs w:val="false"/>
          <w:color w:val="1B2A4A"/>
          <w:sz w:val="22"/>
          <w:szCs w:val="22"/>
        </w:rPr>
        <w:t xml:space="preserve">State Voting Method Flexibility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States may implement early voting periods, mail-in ballot options, and alternative participation methods, provided all methods connect to the NVS and meet its cryptographic and auditability standards. States may not reduce NVS access or capacity as a condition of offering alternative methods.</w:t>
      </w:r>
    </w:p>
    <w:p>
      <w:pPr>
        <w:spacing w:after="60" w:before="200"/>
        <w:ind w:left="431"/>
        <w:jc w:val="left"/>
      </w:pPr>
      <w:r>
        <w:rPr>
          <w:rFonts w:ascii="Courier New" w:cs="Courier New" w:eastAsia="Courier New" w:hAnsi="Courier New"/>
          <w:b/>
          <w:bCs/>
          <w:color w:val="1B2A4A"/>
          <w:sz w:val="18"/>
          <w:szCs w:val="18"/>
        </w:rPr>
        <w:t xml:space="preserve">§16.4.d  </w:t>
      </w:r>
      <w:r>
        <w:rPr>
          <w:rFonts w:ascii="Garamond" w:cs="Garamond" w:eastAsia="Garamond" w:hAnsi="Garamond"/>
          <w:b/>
          <w:bCs/>
          <w:i w:val="false"/>
          <w:iCs w:val="false"/>
          <w:color w:val="1B2A4A"/>
          <w:sz w:val="22"/>
          <w:szCs w:val="22"/>
        </w:rPr>
        <w:t xml:space="preserve">Federal Ballot Information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Before each federal election window opens, the Electoral Commission delivers to every eligible citizen: the list of federal races on their ballot, the NVS access procedures, and the certification timeline. Delivery must reach every eligible citizen through at least two distinct channels.</w:t>
      </w:r>
    </w:p>
    <w:p>
      <w:pPr>
        <w:spacing w:after="60" w:before="200"/>
        <w:ind w:left="431"/>
        <w:jc w:val="left"/>
      </w:pPr>
      <w:r>
        <w:rPr>
          <w:rFonts w:ascii="Courier New" w:cs="Courier New" w:eastAsia="Courier New" w:hAnsi="Courier New"/>
          <w:b/>
          <w:bCs/>
          <w:color w:val="1B2A4A"/>
          <w:sz w:val="18"/>
          <w:szCs w:val="18"/>
        </w:rPr>
        <w:t xml:space="preserve">§16.4.e  </w:t>
      </w:r>
      <w:r>
        <w:rPr>
          <w:rFonts w:ascii="Garamond" w:cs="Garamond" w:eastAsia="Garamond" w:hAnsi="Garamond"/>
          <w:b/>
          <w:bCs/>
          <w:i w:val="false"/>
          <w:iCs w:val="false"/>
          <w:color w:val="1B2A4A"/>
          <w:sz w:val="22"/>
          <w:szCs w:val="22"/>
        </w:rPr>
        <w:t xml:space="preserve">State Ballot Information on Request</w:t>
      </w:r>
    </w:p>
    <w:p>
      <w:pPr>
        <w:spacing w:after="120" w:before="0"/>
        <w:ind w:left="431"/>
        <w:jc w:val="both"/>
      </w:pPr>
      <w:r>
        <w:rPr>
          <w:rFonts w:ascii="Garamond" w:cs="Garamond" w:eastAsia="Garamond" w:hAnsi="Garamond"/>
          <w:b w:val="false"/>
          <w:bCs w:val="false"/>
          <w:i w:val="false"/>
          <w:iCs w:val="false"/>
          <w:color w:val="2a2520"/>
          <w:sz w:val="22"/>
          <w:szCs w:val="22"/>
        </w:rPr>
        <w:t xml:space="preserve">At a State's request, the Electoral Commission may extend ballot information delivery to cover State and local races. The State bears the cost. The Commission may not refuse except on operational capacity grounds.</w:t>
      </w:r>
    </w:p>
    <w:p>
      <w:pPr>
        <w:spacing w:after="60" w:before="200"/>
        <w:ind w:left="431"/>
        <w:jc w:val="left"/>
      </w:pPr>
      <w:r>
        <w:rPr>
          <w:rFonts w:ascii="Courier New" w:cs="Courier New" w:eastAsia="Courier New" w:hAnsi="Courier New"/>
          <w:b/>
          <w:bCs/>
          <w:color w:val="1B2A4A"/>
          <w:sz w:val="18"/>
          <w:szCs w:val="18"/>
        </w:rPr>
        <w:t xml:space="preserve">§16.5  </w:t>
      </w:r>
      <w:r>
        <w:rPr>
          <w:rFonts w:ascii="Garamond" w:cs="Garamond" w:eastAsia="Garamond" w:hAnsi="Garamond"/>
          <w:b/>
          <w:bCs/>
          <w:i w:val="false"/>
          <w:iCs w:val="false"/>
          <w:color w:val="1B2A4A"/>
          <w:sz w:val="22"/>
          <w:szCs w:val="22"/>
        </w:rPr>
        <w:t xml:space="preserve">Electoral Commission —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Electoral Commission's independence does not place it above accountability. This section governs its funding, Inspectorate oversight, removal of members for cause, and vacancy procedures.</w:t>
      </w:r>
    </w:p>
    <w:p>
      <w:pPr>
        <w:spacing w:after="60" w:before="200"/>
        <w:ind w:left="431"/>
        <w:jc w:val="left"/>
      </w:pPr>
      <w:r>
        <w:rPr>
          <w:rFonts w:ascii="Courier New" w:cs="Courier New" w:eastAsia="Courier New" w:hAnsi="Courier New"/>
          <w:b/>
          <w:bCs/>
          <w:color w:val="1B2A4A"/>
          <w:sz w:val="18"/>
          <w:szCs w:val="18"/>
        </w:rPr>
        <w:t xml:space="preserve">§16.5.a  </w:t>
      </w:r>
      <w:r>
        <w:rPr>
          <w:rFonts w:ascii="Garamond" w:cs="Garamond" w:eastAsia="Garamond" w:hAnsi="Garamond"/>
          <w:b/>
          <w:bCs/>
          <w:i w:val="false"/>
          <w:iCs w:val="false"/>
          <w:color w:val="1B2A4A"/>
          <w:sz w:val="22"/>
          <w:szCs w:val="22"/>
        </w:rPr>
        <w:t xml:space="preserve">Campaign Funding</w:t>
      </w:r>
    </w:p>
    <w:p>
      <w:pPr>
        <w:spacing w:after="120" w:before="0"/>
        <w:ind w:left="431"/>
        <w:jc w:val="both"/>
      </w:pPr>
      <w:r>
        <w:rPr>
          <w:rFonts w:ascii="Garamond" w:cs="Garamond" w:eastAsia="Garamond" w:hAnsi="Garamond"/>
          <w:b w:val="false"/>
          <w:bCs w:val="false"/>
          <w:i w:val="false"/>
          <w:iCs w:val="false"/>
          <w:color w:val="2a2520"/>
          <w:sz w:val="22"/>
          <w:szCs w:val="22"/>
        </w:rPr>
        <w:t xml:space="preserve">Campaigns for Electoral Commission seats are publicly funded in full. No private money may be spent on EC campaigns. The EC administers elections for all other offices — it cannot itself be captured by the interests that it would regulate in other campaigns.</w:t>
      </w:r>
    </w:p>
    <w:p>
      <w:pPr>
        <w:spacing w:after="60" w:before="200"/>
        <w:ind w:left="431"/>
        <w:jc w:val="left"/>
      </w:pPr>
      <w:r>
        <w:rPr>
          <w:rFonts w:ascii="Courier New" w:cs="Courier New" w:eastAsia="Courier New" w:hAnsi="Courier New"/>
          <w:b/>
          <w:bCs/>
          <w:color w:val="1B2A4A"/>
          <w:sz w:val="18"/>
          <w:szCs w:val="18"/>
        </w:rPr>
        <w:t xml:space="preserve">§16.5.b  </w:t>
      </w:r>
      <w:r>
        <w:rPr>
          <w:rFonts w:ascii="Garamond" w:cs="Garamond" w:eastAsia="Garamond" w:hAnsi="Garamond"/>
          <w:b/>
          <w:bCs/>
          <w:i w:val="false"/>
          <w:iCs w:val="false"/>
          <w:color w:val="1B2A4A"/>
          <w:sz w:val="22"/>
          <w:szCs w:val="22"/>
        </w:rPr>
        <w:t xml:space="preserve">JI Oversight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Judicial Inspectorate audits the Electoral Commission annually. The JI is the appropriate Inspectorate for EC oversight — it audits judicial independence, and electoral integrity has similar structural properties. JI audit findings on the EC are published to the NRS and presented to both chambers.</w:t>
      </w:r>
    </w:p>
    <w:p>
      <w:pPr>
        <w:spacing w:after="60" w:before="200"/>
        <w:ind w:left="431"/>
        <w:jc w:val="left"/>
      </w:pPr>
      <w:r>
        <w:rPr>
          <w:rFonts w:ascii="Courier New" w:cs="Courier New" w:eastAsia="Courier New" w:hAnsi="Courier New"/>
          <w:b/>
          <w:bCs/>
          <w:color w:val="1B2A4A"/>
          <w:sz w:val="18"/>
          <w:szCs w:val="18"/>
        </w:rPr>
        <w:t xml:space="preserve">§16.5.c  </w:t>
      </w:r>
      <w:r>
        <w:rPr>
          <w:rFonts w:ascii="Garamond" w:cs="Garamond" w:eastAsia="Garamond" w:hAnsi="Garamond"/>
          <w:b/>
          <w:bCs/>
          <w:i w:val="false"/>
          <w:iCs w:val="false"/>
          <w:color w:val="1B2A4A"/>
          <w:sz w:val="22"/>
          <w:szCs w:val="22"/>
        </w:rPr>
        <w:t xml:space="preserve">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For-cause only, 2/3 both chambers simultaneously, preceded by State Designee Panel verification. 180-day election proximity rule: any removal vote within 180 days of a major national election is automatically suspended pending SC review within 48 hours. Critically: the proximity restriction applies to the removal vote only — Panel-triggered suspension of duties under §16.2.a is not subject to the proximity window.</w:t>
      </w:r>
    </w:p>
    <w:p>
      <w:pPr>
        <w:spacing w:after="60" w:before="200"/>
        <w:ind w:left="431"/>
        <w:jc w:val="left"/>
      </w:pPr>
      <w:r>
        <w:rPr>
          <w:rFonts w:ascii="Courier New" w:cs="Courier New" w:eastAsia="Courier New" w:hAnsi="Courier New"/>
          <w:b/>
          <w:bCs/>
          <w:color w:val="1B2A4A"/>
          <w:sz w:val="18"/>
          <w:szCs w:val="18"/>
        </w:rPr>
        <w:t xml:space="preserve">§16.5.d  </w:t>
      </w:r>
      <w:r>
        <w:rPr>
          <w:rFonts w:ascii="Garamond" w:cs="Garamond" w:eastAsia="Garamond" w:hAnsi="Garamond"/>
          <w:b/>
          <w:bCs/>
          <w:i w:val="false"/>
          <w:iCs w:val="false"/>
          <w:color w:val="1B2A4A"/>
          <w:sz w:val="22"/>
          <w:szCs w:val="22"/>
        </w:rPr>
        <w:t xml:space="preserve">Mid-Term Vacancy</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any Electoral Commission seat becomes vacant mid-term, a special election is held within 90 days through the NVS. The replacement serves the remainder of the vacated seat's term, then may stand as a candidate at the next regular EC election for a full new non-renewable term. Where fewer than 18 months remain in the vacated seat's term, the replacement may stand for a full term at the next regular EC election without serving the remainder. The Commission operates under its active-membership threshold during the vacancy period.</w:t>
      </w:r>
    </w:p>
    <w:p>
      <w:pPr>
        <w:spacing w:after="60" w:before="200"/>
        <w:ind w:left="431"/>
        <w:jc w:val="left"/>
      </w:pPr>
      <w:r>
        <w:rPr>
          <w:rFonts w:ascii="Courier New" w:cs="Courier New" w:eastAsia="Courier New" w:hAnsi="Courier New"/>
          <w:b/>
          <w:bCs/>
          <w:color w:val="1B2A4A"/>
          <w:sz w:val="18"/>
          <w:szCs w:val="18"/>
        </w:rPr>
        <w:t xml:space="preserve">§16.6  </w:t>
      </w:r>
      <w:r>
        <w:rPr>
          <w:rFonts w:ascii="Garamond" w:cs="Garamond" w:eastAsia="Garamond" w:hAnsi="Garamond"/>
          <w:b/>
          <w:bCs/>
          <w:i w:val="false"/>
          <w:iCs w:val="false"/>
          <w:color w:val="1B2A4A"/>
          <w:sz w:val="22"/>
          <w:szCs w:val="22"/>
        </w:rPr>
        <w:t xml:space="preserve">Electoral Commission Technical Deadlock</w:t>
      </w:r>
    </w:p>
    <w:p>
      <w:pPr>
        <w:spacing w:after="120" w:before="0"/>
        <w:ind w:left="431"/>
        <w:jc w:val="both"/>
      </w:pPr>
      <w:r>
        <w:rPr>
          <w:rFonts w:ascii="Garamond" w:cs="Garamond" w:eastAsia="Garamond" w:hAnsi="Garamond"/>
          <w:b w:val="false"/>
          <w:bCs w:val="false"/>
          <w:i w:val="false"/>
          <w:iCs w:val="false"/>
          <w:color w:val="2a2520"/>
          <w:sz w:val="22"/>
          <w:szCs w:val="22"/>
        </w:rPr>
        <w:t xml:space="preserve">Legislature must establish by statute a procedure for the EC to adopt temporary technical measures in imminent security threats or system failures, bypassing the normal 3/5 decision threshold. The emergency power is narrowly constrained — it cannot change electoral rules, timelines, or candidate eligibility. A system-integrity tool only.</w:t>
      </w:r>
    </w:p>
    <w:p>
      <w:pPr>
        <w:spacing w:after="60" w:before="200"/>
        <w:ind w:left="431"/>
        <w:jc w:val="left"/>
      </w:pPr>
      <w:r>
        <w:rPr>
          <w:rFonts w:ascii="Courier New" w:cs="Courier New" w:eastAsia="Courier New" w:hAnsi="Courier New"/>
          <w:b/>
          <w:bCs/>
          <w:color w:val="1B2A4A"/>
          <w:sz w:val="18"/>
          <w:szCs w:val="18"/>
        </w:rPr>
        <w:t xml:space="preserve">§16.7  </w:t>
      </w:r>
      <w:r>
        <w:rPr>
          <w:rFonts w:ascii="Garamond" w:cs="Garamond" w:eastAsia="Garamond" w:hAnsi="Garamond"/>
          <w:b/>
          <w:bCs/>
          <w:i w:val="false"/>
          <w:iCs w:val="false"/>
          <w:color w:val="1B2A4A"/>
          <w:sz w:val="22"/>
          <w:szCs w:val="22"/>
        </w:rPr>
        <w:t xml:space="preserve">Day Zero Voting System Transition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Legislature must establish by statute the transition from any predecessor voting infrastructure to the constitutionally required NVS. The statute must ensure continuity of democratic participation — no gap between the predecessor system going offline and the NVS coming online. The ratification vote itself was conducted on the NVS (§19.1).</w:t>
      </w:r>
    </w:p>
    <w:p>
      <w:pPr>
        <w:spacing w:after="60" w:before="200"/>
        <w:jc w:val="left"/>
      </w:pPr>
      <w:r>
        <w:rPr>
          <w:rFonts w:ascii="Garamond" w:cs="Garamond" w:eastAsia="Garamond" w:hAnsi="Garamond"/>
          <w:b/>
          <w:bCs/>
          <w:i w:val="false"/>
          <w:iCs w:val="false"/>
          <w:color w:val="1B2A4A"/>
          <w:sz w:val="34"/>
          <w:szCs w:val="34"/>
        </w:rPr>
        <w:t xml:space="preserve">Article XVII — Federal Property and National Trust</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§17.1  </w:t>
      </w:r>
      <w:r>
        <w:rPr>
          <w:rFonts w:ascii="Garamond" w:cs="Garamond" w:eastAsia="Garamond" w:hAnsi="Garamond"/>
          <w:b/>
          <w:bCs/>
          <w:i w:val="false"/>
          <w:iCs w:val="false"/>
          <w:color w:val="1B2A4A"/>
          <w:sz w:val="22"/>
          <w:szCs w:val="22"/>
        </w:rPr>
        <w:t xml:space="preserve">The Use Doctrine</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on the NRS.</w:t>
      </w:r>
    </w:p>
    <w:p>
      <w:pPr>
        <w:spacing w:after="60" w:before="200"/>
        <w:ind w:left="431"/>
        <w:jc w:val="left"/>
      </w:pPr>
      <w:r>
        <w:rPr>
          <w:rFonts w:ascii="Courier New" w:cs="Courier New" w:eastAsia="Courier New" w:hAnsi="Courier New"/>
          <w:b/>
          <w:bCs/>
          <w:color w:val="1B2A4A"/>
          <w:sz w:val="18"/>
          <w:szCs w:val="18"/>
        </w:rPr>
        <w:t xml:space="preserve">§17.2  </w:t>
      </w:r>
      <w:r>
        <w:rPr>
          <w:rFonts w:ascii="Garamond" w:cs="Garamond" w:eastAsia="Garamond" w:hAnsi="Garamond"/>
          <w:b/>
          <w:bCs/>
          <w:i w:val="false"/>
          <w:iCs w:val="false"/>
          <w:color w:val="1B2A4A"/>
          <w:sz w:val="22"/>
          <w:szCs w:val="22"/>
        </w:rPr>
        <w:t xml:space="preserve">Seat of Government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holds no territorial sovereignty at its Seat of Government. The Seat is hosted by a State or Territory selected through the competitive bid process under this Article. The federal government holds only Operational Use Rights (§17.3) over the designated footprint. The host State or Territory retains full sovereignty outside that footprint.</w:t>
      </w:r>
    </w:p>
    <w:p>
      <w:pPr>
        <w:spacing w:after="60" w:before="200"/>
        <w:ind w:left="431"/>
        <w:jc w:val="left"/>
      </w:pPr>
      <w:r>
        <w:rPr>
          <w:rFonts w:ascii="Courier New" w:cs="Courier New" w:eastAsia="Courier New" w:hAnsi="Courier New"/>
          <w:b/>
          <w:bCs/>
          <w:color w:val="1B2A4A"/>
          <w:sz w:val="18"/>
          <w:szCs w:val="18"/>
        </w:rPr>
        <w:t xml:space="preserve">§17.2.a  </w:t>
      </w:r>
      <w:r>
        <w:rPr>
          <w:rFonts w:ascii="Garamond" w:cs="Garamond" w:eastAsia="Garamond" w:hAnsi="Garamond"/>
          <w:b/>
          <w:bCs/>
          <w:i w:val="false"/>
          <w:iCs w:val="false"/>
          <w:color w:val="1B2A4A"/>
          <w:sz w:val="22"/>
          <w:szCs w:val="22"/>
        </w:rPr>
        <w:t xml:space="preserve">Bid Process and Requirements Specification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Before issuing a call for bids, the PM publishes a Seat of Government Requirements Specification to the NRS defining the minimum functional, security, physical, and operational requirements any hosting bid must meet; the Legislature establishes by statute the specific standards within those categories. Any State or Territory may submit a bid specifying the proposed property, terms, and conditions of hosting. The House reviews all submitted bids and selects one by ordinary statute, subject to review by both executives under §2.4. The hosting agreement grants the federal government Operational Use Rights under §17.3. Bids that do not meet the published Requirements Specification are ineligible for selection. The PM determines and publishes to the NRS, within 14 days of the bid period closing, the eligibility status of each bid with stated grounds. A State or Territory whose bid is found ineligible may petition the Supreme Court within 30 days of that publication on the sole ground that the bid met the published Requirements Specification; the Court reviews only whether the specification was correctly applied. The hosting statute must specify the disposition of federal improvements made to the designated footprint in the event the Seat of Government relocates.</w:t>
      </w:r>
    </w:p>
    <w:p>
      <w:pPr>
        <w:spacing w:after="60" w:before="200"/>
        <w:ind w:left="431"/>
        <w:jc w:val="left"/>
      </w:pPr>
      <w:r>
        <w:rPr>
          <w:rFonts w:ascii="Courier New" w:cs="Courier New" w:eastAsia="Courier New" w:hAnsi="Courier New"/>
          <w:b/>
          <w:bCs/>
          <w:color w:val="1B2A4A"/>
          <w:sz w:val="18"/>
          <w:szCs w:val="18"/>
        </w:rPr>
        <w:t xml:space="preserve">§17.2.b  </w:t>
      </w:r>
      <w:r>
        <w:rPr>
          <w:rFonts w:ascii="Garamond" w:cs="Garamond" w:eastAsia="Garamond" w:hAnsi="Garamond"/>
          <w:b/>
          <w:bCs/>
          <w:i w:val="false"/>
          <w:iCs w:val="false"/>
          <w:color w:val="1B2A4A"/>
          <w:sz w:val="22"/>
          <w:szCs w:val="22"/>
        </w:rPr>
        <w:t xml:space="preserve">Twenty-Year Review Cycle</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twenty years from the date the current hosting statute takes effect, the federal government must issue a new call for bids under the §17.2.a process. All States and Territories, including the current host, may submit bids. If no new bids are submitted, the current arrangement continues under the existing agreement until the next review cycle. If bids are submitted, the House reviews all bids and selects one by ordinary statute.</w:t>
      </w:r>
    </w:p>
    <w:p>
      <w:pPr>
        <w:spacing w:after="60" w:before="200"/>
        <w:ind w:left="431"/>
        <w:jc w:val="left"/>
      </w:pPr>
      <w:r>
        <w:rPr>
          <w:rFonts w:ascii="Courier New" w:cs="Courier New" w:eastAsia="Courier New" w:hAnsi="Courier New"/>
          <w:b/>
          <w:bCs/>
          <w:color w:val="1B2A4A"/>
          <w:sz w:val="18"/>
          <w:szCs w:val="18"/>
        </w:rPr>
        <w:t xml:space="preserve">§17.2.c  </w:t>
      </w:r>
      <w:r>
        <w:rPr>
          <w:rFonts w:ascii="Garamond" w:cs="Garamond" w:eastAsia="Garamond" w:hAnsi="Garamond"/>
          <w:b/>
          <w:bCs/>
          <w:i w:val="false"/>
          <w:iCs w:val="false"/>
          <w:color w:val="1B2A4A"/>
          <w:sz w:val="22"/>
          <w:szCs w:val="22"/>
        </w:rPr>
        <w:t xml:space="preserve">Transition Window</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the Seat of Government moves to a new host following a bid review, a two-year transition window begins from the date the new hosting statute takes effect. During the transition window, the current host continues as the default temporary Seat. The transition statute must specify the handover timeline and conditions. The Legislature may by statute extend the transition window where both the incoming and outgoing host agree that additional time is required. If no agreement on the disposition of federal improvements is reached before the transition window closes, §17.3.b automatic reversion applies without further action — improvements revert to the departing host with the land. Upon completion of the transition window, the prior host recovers full sovereignty over all previously designated federal footprint under §17.3.b.</w:t>
      </w:r>
    </w:p>
    <w:p>
      <w:pPr>
        <w:spacing w:after="60" w:before="200"/>
        <w:ind w:left="431"/>
        <w:jc w:val="left"/>
      </w:pPr>
      <w:r>
        <w:rPr>
          <w:rFonts w:ascii="Courier New" w:cs="Courier New" w:eastAsia="Courier New" w:hAnsi="Courier New"/>
          <w:b/>
          <w:bCs/>
          <w:color w:val="1B2A4A"/>
          <w:sz w:val="18"/>
          <w:szCs w:val="18"/>
        </w:rPr>
        <w:t xml:space="preserve">§17.2.d  </w:t>
      </w:r>
      <w:r>
        <w:rPr>
          <w:rFonts w:ascii="Garamond" w:cs="Garamond" w:eastAsia="Garamond" w:hAnsi="Garamond"/>
          <w:b/>
          <w:bCs/>
          <w:i w:val="false"/>
          <w:iCs w:val="false"/>
          <w:color w:val="1B2A4A"/>
          <w:sz w:val="22"/>
          <w:szCs w:val="22"/>
        </w:rPr>
        <w:t xml:space="preserve">No-Bid Scenario</w:t>
      </w:r>
    </w:p>
    <w:p>
      <w:pPr>
        <w:spacing w:after="120" w:before="0"/>
        <w:ind w:left="431"/>
        <w:jc w:val="both"/>
      </w:pPr>
      <w:r>
        <w:rPr>
          <w:rFonts w:ascii="Garamond" w:cs="Garamond" w:eastAsia="Garamond" w:hAnsi="Garamond"/>
          <w:b w:val="false"/>
          <w:bCs w:val="false"/>
          <w:i w:val="false"/>
          <w:iCs w:val="false"/>
          <w:color w:val="2a2520"/>
          <w:sz w:val="22"/>
          <w:szCs w:val="22"/>
        </w:rPr>
        <w:t xml:space="preserve">If no State or Territory submits a bid within the call period, the Senate identifies candidate States and Territories that meet the Requirements Specification published under §17.2.a and presents options to the House within 90 days of the close of the bid period. If the Senate fails to present candidates within 90 days, either executive may petition the Supreme Court, which shall on such petition identify candidates within 30 days applying the same constitutional criteria. The House selects a temporary host by ordinary statute, subject to review by both executives. The temporary host receives fair market value rental compensation assessed by the Monetary Authority under a methodology established by statute; this is not an eminent domain taking and is compensated at fair market value, not the §1.11.b rate. The Republic must issue a new call for voluntary bids at each twenty-year review cycle until a voluntary host is confirmed through the §17.2.a process, at which point the temporary arrangement terminates under the §17.2.c transition window.</w:t>
      </w:r>
    </w:p>
    <w:p>
      <w:pPr>
        <w:spacing w:after="60" w:before="200"/>
        <w:ind w:left="431"/>
        <w:jc w:val="left"/>
      </w:pPr>
      <w:r>
        <w:rPr>
          <w:rFonts w:ascii="Courier New" w:cs="Courier New" w:eastAsia="Courier New" w:hAnsi="Courier New"/>
          <w:b/>
          <w:bCs/>
          <w:color w:val="1B2A4A"/>
          <w:sz w:val="18"/>
          <w:szCs w:val="18"/>
        </w:rPr>
        <w:t xml:space="preserve">§17.2.e  </w:t>
      </w:r>
      <w:r>
        <w:rPr>
          <w:rFonts w:ascii="Garamond" w:cs="Garamond" w:eastAsia="Garamond" w:hAnsi="Garamond"/>
          <w:b/>
          <w:bCs/>
          <w:i w:val="false"/>
          <w:iCs w:val="false"/>
          <w:color w:val="1B2A4A"/>
          <w:sz w:val="22"/>
          <w:szCs w:val="22"/>
        </w:rPr>
        <w:t xml:space="preserve">Federal Control Within Footprint</w:t>
      </w:r>
    </w:p>
    <w:p>
      <w:pPr>
        <w:spacing w:after="120" w:before="0"/>
        <w:ind w:left="431"/>
        <w:jc w:val="both"/>
      </w:pPr>
      <w:r>
        <w:rPr>
          <w:rFonts w:ascii="Garamond" w:cs="Garamond" w:eastAsia="Garamond" w:hAnsi="Garamond"/>
          <w:b w:val="false"/>
          <w:bCs w:val="false"/>
          <w:i w:val="false"/>
          <w:iCs w:val="false"/>
          <w:color w:val="2a2520"/>
          <w:sz w:val="22"/>
          <w:szCs w:val="22"/>
        </w:rPr>
        <w:t xml:space="preserve">Within the specific registered footprint, the federal government has exclusive operational control. The host State or Territory may not tax federal operations, interfere with federal functions, or apply its own law to federal operations within the footprint.</w:t>
      </w:r>
    </w:p>
    <w:p>
      <w:pPr>
        <w:spacing w:after="60" w:before="200"/>
        <w:ind w:left="431"/>
        <w:jc w:val="left"/>
      </w:pPr>
      <w:r>
        <w:rPr>
          <w:rFonts w:ascii="Courier New" w:cs="Courier New" w:eastAsia="Courier New" w:hAnsi="Courier New"/>
          <w:b/>
          <w:bCs/>
          <w:color w:val="1B2A4A"/>
          <w:sz w:val="18"/>
          <w:szCs w:val="18"/>
        </w:rPr>
        <w:t xml:space="preserve">§17.2.f  </w:t>
      </w:r>
      <w:r>
        <w:rPr>
          <w:rFonts w:ascii="Garamond" w:cs="Garamond" w:eastAsia="Garamond" w:hAnsi="Garamond"/>
          <w:b/>
          <w:bCs/>
          <w:i w:val="false"/>
          <w:iCs w:val="false"/>
          <w:color w:val="1B2A4A"/>
          <w:sz w:val="22"/>
          <w:szCs w:val="22"/>
        </w:rPr>
        <w:t xml:space="preserve">Resident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Persons residing within any area designated as the federal footprint under §17.3 retain full Article I rights enforceable in federal courts. The host State or Territory may not apply residency-based restrictions on federal footprint residents that conflict with Article I.</w:t>
      </w:r>
    </w:p>
    <w:p>
      <w:pPr>
        <w:spacing w:after="60" w:before="200"/>
        <w:ind w:left="431"/>
        <w:jc w:val="left"/>
      </w:pPr>
      <w:r>
        <w:rPr>
          <w:rFonts w:ascii="Courier New" w:cs="Courier New" w:eastAsia="Courier New" w:hAnsi="Courier New"/>
          <w:b/>
          <w:bCs/>
          <w:color w:val="1B2A4A"/>
          <w:sz w:val="18"/>
          <w:szCs w:val="18"/>
        </w:rPr>
        <w:t xml:space="preserve">§17.3  </w:t>
      </w:r>
      <w:r>
        <w:rPr>
          <w:rFonts w:ascii="Garamond" w:cs="Garamond" w:eastAsia="Garamond" w:hAnsi="Garamond"/>
          <w:b/>
          <w:bCs/>
          <w:i w:val="false"/>
          <w:iCs w:val="false"/>
          <w:color w:val="1B2A4A"/>
          <w:sz w:val="22"/>
          <w:szCs w:val="22"/>
        </w:rPr>
        <w:t xml:space="preserve">Operational Use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federal government holds property interests within States through Operational Use Rights rather than fee ownership. This section governs registration, termination, improvements, and the rights of residents within federal use footprints.</w:t>
      </w:r>
    </w:p>
    <w:p>
      <w:pPr>
        <w:spacing w:after="60" w:before="200"/>
        <w:ind w:left="431"/>
        <w:jc w:val="left"/>
      </w:pPr>
      <w:r>
        <w:rPr>
          <w:rFonts w:ascii="Courier New" w:cs="Courier New" w:eastAsia="Courier New" w:hAnsi="Courier New"/>
          <w:b/>
          <w:bCs/>
          <w:color w:val="1B2A4A"/>
          <w:sz w:val="18"/>
          <w:szCs w:val="18"/>
        </w:rPr>
        <w:t xml:space="preserve">§17.3.a  </w:t>
      </w:r>
      <w:r>
        <w:rPr>
          <w:rFonts w:ascii="Garamond" w:cs="Garamond" w:eastAsia="Garamond" w:hAnsi="Garamond"/>
          <w:b/>
          <w:bCs/>
          <w:i w:val="false"/>
          <w:iCs w:val="false"/>
          <w:color w:val="1B2A4A"/>
          <w:sz w:val="22"/>
          <w:szCs w:val="22"/>
        </w:rPr>
        <w:t xml:space="preserve">Registration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federal operational use right must be registered on the NRS with precise geographic boundaries, authorized purpose, and termination conditions. There are no unregistered federal land claims. Federal property rights are explicit, bounded, and auditable.</w:t>
      </w:r>
    </w:p>
    <w:p>
      <w:pPr>
        <w:spacing w:after="60" w:before="200"/>
        <w:ind w:left="431"/>
        <w:jc w:val="left"/>
      </w:pPr>
      <w:r>
        <w:rPr>
          <w:rFonts w:ascii="Courier New" w:cs="Courier New" w:eastAsia="Courier New" w:hAnsi="Courier New"/>
          <w:b/>
          <w:bCs/>
          <w:color w:val="1B2A4A"/>
          <w:sz w:val="18"/>
          <w:szCs w:val="18"/>
        </w:rPr>
        <w:t xml:space="preserve">§17.3.b  </w:t>
      </w:r>
      <w:r>
        <w:rPr>
          <w:rFonts w:ascii="Garamond" w:cs="Garamond" w:eastAsia="Garamond" w:hAnsi="Garamond"/>
          <w:b/>
          <w:bCs/>
          <w:i w:val="false"/>
          <w:iCs w:val="false"/>
          <w:color w:val="1B2A4A"/>
          <w:sz w:val="22"/>
          <w:szCs w:val="22"/>
        </w:rPr>
        <w:t xml:space="preserve">Termination and Reversion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a federal function ends, the Operational Use Right terminates automatically. The federal government must publish notice of termination to the NRS within 30 days. The land and all improvements revert to the host State automatically unless the federal government and host State negotiate a retention agreement within the statutory settlement window.</w:t>
      </w:r>
    </w:p>
    <w:p>
      <w:pPr>
        <w:spacing w:after="60" w:before="200"/>
        <w:ind w:left="431"/>
        <w:jc w:val="left"/>
      </w:pPr>
      <w:r>
        <w:rPr>
          <w:rFonts w:ascii="Courier New" w:cs="Courier New" w:eastAsia="Courier New" w:hAnsi="Courier New"/>
          <w:b/>
          <w:bCs/>
          <w:color w:val="1B2A4A"/>
          <w:sz w:val="18"/>
          <w:szCs w:val="18"/>
        </w:rPr>
        <w:t xml:space="preserve">§17.3.c  </w:t>
      </w:r>
      <w:r>
        <w:rPr>
          <w:rFonts w:ascii="Garamond" w:cs="Garamond" w:eastAsia="Garamond" w:hAnsi="Garamond"/>
          <w:b/>
          <w:bCs/>
          <w:i w:val="false"/>
          <w:iCs w:val="false"/>
          <w:color w:val="1B2A4A"/>
          <w:sz w:val="22"/>
          <w:szCs w:val="22"/>
        </w:rPr>
        <w:t xml:space="preserve">Improvements — Negotiated Settlement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improvements on federal Operational Use Rights default to reverting to the host State with the land. The federal government and host State may negotiate a different arrangement within the statutory reversion window. No agreement means automatic reversion at no cost. The burden is on the federal government to negotiate retention — not on the State to purchase back.</w:t>
      </w:r>
    </w:p>
    <w:p>
      <w:pPr>
        <w:spacing w:after="60" w:before="200"/>
        <w:ind w:left="431"/>
        <w:jc w:val="left"/>
      </w:pPr>
      <w:r>
        <w:rPr>
          <w:rFonts w:ascii="Courier New" w:cs="Courier New" w:eastAsia="Courier New" w:hAnsi="Courier New"/>
          <w:b/>
          <w:bCs/>
          <w:color w:val="1B2A4A"/>
          <w:sz w:val="18"/>
          <w:szCs w:val="18"/>
        </w:rPr>
        <w:t xml:space="preserve">§17.3.d  </w:t>
      </w:r>
      <w:r>
        <w:rPr>
          <w:rFonts w:ascii="Garamond" w:cs="Garamond" w:eastAsia="Garamond" w:hAnsi="Garamond"/>
          <w:b/>
          <w:bCs/>
          <w:i w:val="false"/>
          <w:iCs w:val="false"/>
          <w:color w:val="1B2A4A"/>
          <w:sz w:val="22"/>
          <w:szCs w:val="22"/>
        </w:rPr>
        <w:t xml:space="preserve">Disputes</w:t>
      </w:r>
    </w:p>
    <w:p>
      <w:pPr>
        <w:spacing w:after="120" w:before="0"/>
        <w:ind w:left="431"/>
        <w:jc w:val="both"/>
      </w:pPr>
      <w:r>
        <w:rPr>
          <w:rFonts w:ascii="Garamond" w:cs="Garamond" w:eastAsia="Garamond" w:hAnsi="Garamond"/>
          <w:b w:val="false"/>
          <w:bCs w:val="false"/>
          <w:i w:val="false"/>
          <w:iCs w:val="false"/>
          <w:color w:val="2a2520"/>
          <w:sz w:val="22"/>
          <w:szCs w:val="22"/>
        </w:rPr>
        <w:t xml:space="preserve">Disputes over use right boundaries, termination, or improvement valuation go to the SC on an expedited track. Neither party may occupy or alter disputed land during pending resolution. The expedited track ensures federal operational continuity — resolution must happen fast enough to maintain the relevant federal function.</w:t>
      </w:r>
    </w:p>
    <w:p>
      <w:pPr>
        <w:spacing w:after="60" w:before="200"/>
        <w:ind w:left="431"/>
        <w:jc w:val="left"/>
      </w:pPr>
      <w:r>
        <w:rPr>
          <w:rFonts w:ascii="Courier New" w:cs="Courier New" w:eastAsia="Courier New" w:hAnsi="Courier New"/>
          <w:b/>
          <w:bCs/>
          <w:color w:val="1B2A4A"/>
          <w:sz w:val="18"/>
          <w:szCs w:val="18"/>
        </w:rPr>
        <w:t xml:space="preserve">§17.3.e  </w:t>
      </w:r>
      <w:r>
        <w:rPr>
          <w:rFonts w:ascii="Garamond" w:cs="Garamond" w:eastAsia="Garamond" w:hAnsi="Garamond"/>
          <w:b/>
          <w:bCs/>
          <w:i w:val="false"/>
          <w:iCs w:val="false"/>
          <w:color w:val="1B2A4A"/>
          <w:sz w:val="22"/>
          <w:szCs w:val="22"/>
        </w:rPr>
        <w:t xml:space="preserve">Independence Transition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State achieves independence through a constitutional amendment under §15.4.a and a voluntary devolution agreement under §13.4, automatic reversion under §17.3.b does not immediately apply to Operational Use Rights within the departing territory. Use rights continue under the terms of the framework agreement and independence treaty negotiated under §13.4.b.</w:t>
      </w:r>
    </w:p>
    <w:p>
      <w:pPr>
        <w:spacing w:after="60" w:before="200"/>
        <w:ind w:left="431"/>
        <w:jc w:val="left"/>
      </w:pPr>
      <w:r>
        <w:rPr>
          <w:rFonts w:ascii="Courier New" w:cs="Courier New" w:eastAsia="Courier New" w:hAnsi="Courier New"/>
          <w:b/>
          <w:bCs/>
          <w:color w:val="1B2A4A"/>
          <w:sz w:val="18"/>
          <w:szCs w:val="18"/>
        </w:rPr>
        <w:t xml:space="preserve">§17.4  </w:t>
      </w:r>
      <w:r>
        <w:rPr>
          <w:rFonts w:ascii="Garamond" w:cs="Garamond" w:eastAsia="Garamond" w:hAnsi="Garamond"/>
          <w:b/>
          <w:bCs/>
          <w:i w:val="false"/>
          <w:iCs w:val="false"/>
          <w:color w:val="1B2A4A"/>
          <w:sz w:val="22"/>
          <w:szCs w:val="22"/>
        </w:rPr>
        <w:t xml:space="preserve">The National Trust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preventing privatization by executive discretion. The National Trust Administrator is independently confirmed under the §2.2.h escalation framework, insulating land management from PM pressure. The Trust is structurally distinct from the Community Land Trust: the NTA manages federal holdings; the CLT Administrator manages affordable residential land held in trust for Inhabitants.</w:t>
      </w:r>
    </w:p>
    <w:p>
      <w:pPr>
        <w:spacing w:after="60" w:before="200"/>
        <w:ind w:left="431"/>
        <w:jc w:val="left"/>
      </w:pPr>
      <w:r>
        <w:rPr>
          <w:rFonts w:ascii="Courier New" w:cs="Courier New" w:eastAsia="Courier New" w:hAnsi="Courier New"/>
          <w:b/>
          <w:bCs/>
          <w:color w:val="1B2A4A"/>
          <w:sz w:val="18"/>
          <w:szCs w:val="18"/>
        </w:rPr>
        <w:t xml:space="preserve">§17.4.a  </w:t>
      </w:r>
      <w:r>
        <w:rPr>
          <w:rFonts w:ascii="Garamond" w:cs="Garamond" w:eastAsia="Garamond" w:hAnsi="Garamond"/>
          <w:b/>
          <w:bCs/>
          <w:i w:val="false"/>
          <w:iCs w:val="false"/>
          <w:color w:val="1B2A4A"/>
          <w:sz w:val="22"/>
          <w:szCs w:val="22"/>
        </w:rPr>
        <w:t xml:space="preserve">Trust Nature</w:t>
      </w:r>
    </w:p>
    <w:p>
      <w:pPr>
        <w:spacing w:after="120" w:before="0"/>
        <w:ind w:left="431"/>
        <w:jc w:val="both"/>
      </w:pPr>
      <w:r>
        <w:rPr>
          <w:rFonts w:ascii="Garamond" w:cs="Garamond" w:eastAsia="Garamond" w:hAnsi="Garamond"/>
          <w:b w:val="false"/>
          <w:bCs w:val="false"/>
          <w:i w:val="false"/>
          <w:iCs w:val="false"/>
          <w:color w:val="2a2520"/>
          <w:sz w:val="22"/>
          <w:szCs w:val="22"/>
        </w:rPr>
        <w:t xml:space="preserve">National Trust lands are designated as permanent heritage, ecological, or public recreation resources. Trust designation requires a 2/3 vote of both chambers with host State consent. Trust lands are not subject to Operational Use Right termination. The stewardship obligation (§17.4.b) applies from the date of designation.</w:t>
      </w:r>
    </w:p>
    <w:p>
      <w:pPr>
        <w:spacing w:after="60" w:before="200"/>
        <w:ind w:left="431"/>
        <w:jc w:val="left"/>
      </w:pPr>
      <w:r>
        <w:rPr>
          <w:rFonts w:ascii="Courier New" w:cs="Courier New" w:eastAsia="Courier New" w:hAnsi="Courier New"/>
          <w:b/>
          <w:bCs/>
          <w:color w:val="1B2A4A"/>
          <w:sz w:val="18"/>
          <w:szCs w:val="18"/>
        </w:rPr>
        <w:t xml:space="preserve">§17.4.b  </w:t>
      </w:r>
      <w:r>
        <w:rPr>
          <w:rFonts w:ascii="Garamond" w:cs="Garamond" w:eastAsia="Garamond" w:hAnsi="Garamond"/>
          <w:b/>
          <w:bCs/>
          <w:i w:val="false"/>
          <w:iCs w:val="false"/>
          <w:color w:val="1B2A4A"/>
          <w:sz w:val="22"/>
          <w:szCs w:val="22"/>
        </w:rPr>
        <w:t xml:space="preserve">Stewardship Obligation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federal government has an active, enforceable obligation to maintain ecological integrity and public accessibility of National Trust lands. EI monitors stewardship compliance annually, cross-referenced with §1.23 (Right to a Healthy Environment). Failure triggers a mandatory remediation plan reported to the NRS. The Trust carries active obligations — not passive title.</w:t>
      </w:r>
    </w:p>
    <w:p>
      <w:pPr>
        <w:spacing w:after="60" w:before="200"/>
        <w:ind w:left="431"/>
        <w:jc w:val="left"/>
      </w:pPr>
      <w:r>
        <w:rPr>
          <w:rFonts w:ascii="Courier New" w:cs="Courier New" w:eastAsia="Courier New" w:hAnsi="Courier New"/>
          <w:b/>
          <w:bCs/>
          <w:color w:val="1B2A4A"/>
          <w:sz w:val="18"/>
          <w:szCs w:val="18"/>
        </w:rPr>
        <w:t xml:space="preserve">§17.4.c  </w:t>
      </w:r>
      <w:r>
        <w:rPr>
          <w:rFonts w:ascii="Garamond" w:cs="Garamond" w:eastAsia="Garamond" w:hAnsi="Garamond"/>
          <w:b/>
          <w:bCs/>
          <w:i w:val="false"/>
          <w:iCs w:val="false"/>
          <w:color w:val="1B2A4A"/>
          <w:sz w:val="22"/>
          <w:szCs w:val="22"/>
        </w:rPr>
        <w:t xml:space="preserve">Co-Management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States and indigenous nations may enter co-management agreements with the Domestic Affairs Council for National Trust lands within their borders or ancestral territories. Co-management does not transfer Trust ownership or alter the constitutional Trust status. Indigenous nations' participation reflects the §14.3 government-to-government relationship for lands within their ancestral territories.</w:t>
      </w:r>
    </w:p>
    <w:p>
      <w:pPr>
        <w:spacing w:after="60" w:before="200"/>
        <w:ind w:left="431"/>
        <w:jc w:val="left"/>
      </w:pPr>
      <w:r>
        <w:rPr>
          <w:rFonts w:ascii="Courier New" w:cs="Courier New" w:eastAsia="Courier New" w:hAnsi="Courier New"/>
          <w:b/>
          <w:bCs/>
          <w:color w:val="1B2A4A"/>
          <w:sz w:val="18"/>
          <w:szCs w:val="18"/>
        </w:rPr>
        <w:t xml:space="preserve">§17.4.d  </w:t>
      </w:r>
      <w:r>
        <w:rPr>
          <w:rFonts w:ascii="Garamond" w:cs="Garamond" w:eastAsia="Garamond" w:hAnsi="Garamond"/>
          <w:b/>
          <w:bCs/>
          <w:i w:val="false"/>
          <w:iCs w:val="false"/>
          <w:color w:val="1B2A4A"/>
          <w:sz w:val="22"/>
          <w:szCs w:val="22"/>
        </w:rPr>
        <w:t xml:space="preserve">Reclassification Threshold</w:t>
      </w:r>
    </w:p>
    <w:p>
      <w:pPr>
        <w:spacing w:after="120" w:before="0"/>
        <w:ind w:left="431"/>
        <w:jc w:val="both"/>
      </w:pPr>
      <w:r>
        <w:rPr>
          <w:rFonts w:ascii="Garamond" w:cs="Garamond" w:eastAsia="Garamond" w:hAnsi="Garamond"/>
          <w:b w:val="false"/>
          <w:bCs w:val="false"/>
          <w:i w:val="false"/>
          <w:iCs w:val="false"/>
          <w:color w:val="2a2520"/>
          <w:sz w:val="22"/>
          <w:szCs w:val="22"/>
        </w:rPr>
        <w:t xml:space="preserve">Land may be removed from National Trust designation only by a 2/3 vote of both chambers with host State consent, followed by SC review within 60 days. The SC reviews whether the removal complies with any applicable international obligations. Removal is permanent — land removed from Trust does not automatically revert to Trust status.</w:t>
      </w:r>
    </w:p>
    <w:p>
      <w:pPr>
        <w:spacing w:after="60" w:before="200"/>
        <w:ind w:left="431"/>
        <w:jc w:val="left"/>
      </w:pPr>
      <w:r>
        <w:rPr>
          <w:rFonts w:ascii="Courier New" w:cs="Courier New" w:eastAsia="Courier New" w:hAnsi="Courier New"/>
          <w:b/>
          <w:bCs/>
          <w:color w:val="1B2A4A"/>
          <w:sz w:val="18"/>
          <w:szCs w:val="18"/>
        </w:rPr>
        <w:t xml:space="preserve">§17.4.e  </w:t>
      </w:r>
      <w:r>
        <w:rPr>
          <w:rFonts w:ascii="Garamond" w:cs="Garamond" w:eastAsia="Garamond" w:hAnsi="Garamond"/>
          <w:b/>
          <w:bCs/>
          <w:i w:val="false"/>
          <w:iCs w:val="false"/>
          <w:color w:val="1B2A4A"/>
          <w:sz w:val="22"/>
          <w:szCs w:val="22"/>
        </w:rPr>
        <w:t xml:space="preserve">International Sites</w:t>
      </w:r>
    </w:p>
    <w:p>
      <w:pPr>
        <w:spacing w:after="120" w:before="0"/>
        <w:ind w:left="431"/>
        <w:jc w:val="both"/>
      </w:pPr>
      <w:r>
        <w:rPr>
          <w:rFonts w:ascii="Garamond" w:cs="Garamond" w:eastAsia="Garamond" w:hAnsi="Garamond"/>
          <w:b w:val="false"/>
          <w:bCs w:val="false"/>
          <w:i w:val="false"/>
          <w:iCs w:val="false"/>
          <w:color w:val="2a2520"/>
          <w:sz w:val="22"/>
          <w:szCs w:val="22"/>
        </w:rPr>
        <w:t xml:space="preserve">National Trust lands recognized under international conservation agreements require a 2/3 Senate vote to withdraw from the relevant international obligation before the national removal process begins. The Republic cannot quietly delist internationally recognized sites without formal democratic action.</w:t>
      </w:r>
    </w:p>
    <w:p>
      <w:pPr>
        <w:spacing w:after="60" w:before="200"/>
        <w:ind w:left="431"/>
        <w:jc w:val="left"/>
      </w:pPr>
      <w:r>
        <w:rPr>
          <w:rFonts w:ascii="Courier New" w:cs="Courier New" w:eastAsia="Courier New" w:hAnsi="Courier New"/>
          <w:b/>
          <w:bCs/>
          <w:color w:val="1B2A4A"/>
          <w:sz w:val="18"/>
          <w:szCs w:val="18"/>
        </w:rPr>
        <w:t xml:space="preserve">§17.4.f  </w:t>
      </w:r>
      <w:r>
        <w:rPr>
          <w:rFonts w:ascii="Garamond" w:cs="Garamond" w:eastAsia="Garamond" w:hAnsi="Garamond"/>
          <w:b/>
          <w:bCs/>
          <w:i w:val="false"/>
          <w:iCs w:val="false"/>
          <w:color w:val="1B2A4A"/>
          <w:sz w:val="22"/>
          <w:szCs w:val="22"/>
        </w:rPr>
        <w:t xml:space="preserve">Admission of New Trust Lands</w:t>
      </w:r>
    </w:p>
    <w:p>
      <w:pPr>
        <w:spacing w:after="120" w:before="0"/>
        <w:ind w:left="431"/>
        <w:jc w:val="both"/>
      </w:pPr>
      <w:r>
        <w:rPr>
          <w:rFonts w:ascii="Garamond" w:cs="Garamond" w:eastAsia="Garamond" w:hAnsi="Garamond"/>
          <w:b w:val="false"/>
          <w:bCs w:val="false"/>
          <w:i w:val="false"/>
          <w:iCs w:val="false"/>
          <w:color w:val="2a2520"/>
          <w:sz w:val="22"/>
          <w:szCs w:val="22"/>
        </w:rPr>
        <w:t xml:space="preserve">Land may be designated National Trust by a 2/3 vote of both chambers with host State consent (land in Territories: 2/3 vote alone). No executive action may designate Trust lands — designation is a legislative act. Prevents executive land grabs under Trust designation and executive stripping of Trust status.</w:t>
      </w:r>
    </w:p>
    <w:p>
      <w:pPr>
        <w:spacing w:after="60" w:before="200"/>
        <w:ind w:left="431"/>
        <w:jc w:val="left"/>
      </w:pPr>
      <w:r>
        <w:rPr>
          <w:rFonts w:ascii="Courier New" w:cs="Courier New" w:eastAsia="Courier New" w:hAnsi="Courier New"/>
          <w:b/>
          <w:bCs/>
          <w:color w:val="1B2A4A"/>
          <w:sz w:val="18"/>
          <w:szCs w:val="18"/>
        </w:rPr>
        <w:t xml:space="preserve">§17.4.g  </w:t>
      </w:r>
      <w:r>
        <w:rPr>
          <w:rFonts w:ascii="Garamond" w:cs="Garamond" w:eastAsia="Garamond" w:hAnsi="Garamond"/>
          <w:b/>
          <w:bCs/>
          <w:i w:val="false"/>
          <w:iCs w:val="false"/>
          <w:color w:val="1B2A4A"/>
          <w:sz w:val="22"/>
          <w:szCs w:val="22"/>
        </w:rPr>
        <w:t xml:space="preserve">National Trust Administrator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Trust Administrator is a statutory independent officer under §3.7. The Legislature creates the office by statute and establishes the Administrator's independence, term, and removal grounds through the enabling statute. The enabling statute may not reduce the stewardship obligations established in §17.4.a–f or diminish the EI's annual monitoring authority.</w:t>
      </w:r>
    </w:p>
    <w:p>
      <w:pPr>
        <w:spacing w:after="60" w:before="200"/>
        <w:ind w:left="431"/>
        <w:jc w:val="left"/>
      </w:pPr>
      <w:r>
        <w:rPr>
          <w:rFonts w:ascii="Courier New" w:cs="Courier New" w:eastAsia="Courier New" w:hAnsi="Courier New"/>
          <w:b/>
          <w:bCs/>
          <w:color w:val="1B2A4A"/>
          <w:sz w:val="18"/>
          <w:szCs w:val="18"/>
        </w:rPr>
        <w:t xml:space="preserve">§17.5  </w:t>
      </w:r>
      <w:r>
        <w:rPr>
          <w:rFonts w:ascii="Garamond" w:cs="Garamond" w:eastAsia="Garamond" w:hAnsi="Garamond"/>
          <w:b/>
          <w:bCs/>
          <w:i w:val="false"/>
          <w:iCs w:val="false"/>
          <w:color w:val="1B2A4A"/>
          <w:sz w:val="22"/>
          <w:szCs w:val="22"/>
        </w:rPr>
        <w:t xml:space="preserve">Federal Property in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operational use rights in Territories follow the same framework as in States under §17.3 and §17.4. Host State legislative consent is not required because Territories have no State legislature; the Territory's representative body and the LI are consulted before any use right is registered. The same constitutional principles and obligations apply.</w:t>
      </w:r>
    </w:p>
    <w:p>
      <w:pPr>
        <w:spacing w:after="60" w:before="200"/>
        <w:jc w:val="left"/>
      </w:pPr>
      <w:r>
        <w:rPr>
          <w:rFonts w:ascii="Garamond" w:cs="Garamond" w:eastAsia="Garamond" w:hAnsi="Garamond"/>
          <w:b/>
          <w:bCs/>
          <w:i w:val="false"/>
          <w:iCs w:val="false"/>
          <w:color w:val="1B2A4A"/>
          <w:sz w:val="34"/>
          <w:szCs w:val="34"/>
        </w:rPr>
        <w:t xml:space="preserve">Article XVIII — Electoral Finance and Campaign Conduct</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§18.1  </w:t>
      </w:r>
      <w:r>
        <w:rPr>
          <w:rFonts w:ascii="Garamond" w:cs="Garamond" w:eastAsia="Garamond" w:hAnsi="Garamond"/>
          <w:b/>
          <w:bCs/>
          <w:i w:val="false"/>
          <w:iCs w:val="false"/>
          <w:color w:val="1B2A4A"/>
          <w:sz w:val="22"/>
          <w:szCs w:val="22"/>
        </w:rPr>
        <w:t xml:space="preserve">Electoral Finance</w:t>
      </w:r>
    </w:p>
    <w:p>
      <w:pPr>
        <w:spacing w:after="120" w:before="0"/>
        <w:ind w:left="431"/>
        <w:jc w:val="both"/>
      </w:pPr>
      <w:r>
        <w:rPr>
          <w:rFonts w:ascii="Garamond" w:cs="Garamond" w:eastAsia="Garamond" w:hAnsi="Garamond"/>
          <w:b w:val="false"/>
          <w:bCs w:val="false"/>
          <w:i w:val="false"/>
          <w:iCs w:val="false"/>
          <w:color w:val="2a2520"/>
          <w:sz w:val="22"/>
          <w:szCs w:val="22"/>
        </w:rPr>
        <w:t xml:space="preserve">Electoral finance is regulated to prevent the structural distortion of democratic accountability through concentrated financial influence. The provisions of this section govern contributions, disclosure, and independent expenditures.</w:t>
      </w:r>
    </w:p>
    <w:p>
      <w:pPr>
        <w:spacing w:after="60" w:before="200"/>
        <w:ind w:left="431"/>
        <w:jc w:val="left"/>
      </w:pPr>
      <w:r>
        <w:rPr>
          <w:rFonts w:ascii="Courier New" w:cs="Courier New" w:eastAsia="Courier New" w:hAnsi="Courier New"/>
          <w:b/>
          <w:bCs/>
          <w:color w:val="1B2A4A"/>
          <w:sz w:val="18"/>
          <w:szCs w:val="18"/>
        </w:rPr>
        <w:t xml:space="preserve">§18.1.a  </w:t>
      </w:r>
      <w:r>
        <w:rPr>
          <w:rFonts w:ascii="Garamond" w:cs="Garamond" w:eastAsia="Garamond" w:hAnsi="Garamond"/>
          <w:b/>
          <w:bCs/>
          <w:i w:val="false"/>
          <w:iCs w:val="false"/>
          <w:color w:val="1B2A4A"/>
          <w:sz w:val="22"/>
          <w:szCs w:val="22"/>
        </w:rPr>
        <w:t xml:space="preserve">Financial Contributions as Electoral Acts</w:t>
      </w:r>
    </w:p>
    <w:p>
      <w:pPr>
        <w:spacing w:after="120" w:before="0"/>
        <w:ind w:left="431"/>
        <w:jc w:val="both"/>
      </w:pPr>
      <w:r>
        <w:rPr>
          <w:rFonts w:ascii="Garamond" w:cs="Garamond" w:eastAsia="Garamond" w:hAnsi="Garamond"/>
          <w:b w:val="false"/>
          <w:bCs w:val="false"/>
          <w:i w:val="false"/>
          <w:iCs w:val="false"/>
          <w:color w:val="2a2520"/>
          <w:sz w:val="22"/>
          <w:szCs w:val="22"/>
        </w:rPr>
        <w:t xml:space="preserve">Electoral Finance Disclosure — all contributions above the de minimis threshold must be publicly disclosed to the Electoral Commission and published to the NRS. Anonymity in electoral finance is prohibited. The de minimis threshold may not be set so high that it effectively permits anonymous large-scale contributions.</w:t>
      </w:r>
    </w:p>
    <w:p>
      <w:pPr>
        <w:spacing w:after="60" w:before="200"/>
        <w:ind w:left="431"/>
        <w:jc w:val="left"/>
      </w:pPr>
      <w:r>
        <w:rPr>
          <w:rFonts w:ascii="Courier New" w:cs="Courier New" w:eastAsia="Courier New" w:hAnsi="Courier New"/>
          <w:b/>
          <w:bCs/>
          <w:color w:val="1B2A4A"/>
          <w:sz w:val="18"/>
          <w:szCs w:val="18"/>
        </w:rPr>
        <w:t xml:space="preserve">§18.1.b  </w:t>
      </w:r>
      <w:r>
        <w:rPr>
          <w:rFonts w:ascii="Garamond" w:cs="Garamond" w:eastAsia="Garamond" w:hAnsi="Garamond"/>
          <w:b/>
          <w:bCs/>
          <w:i w:val="false"/>
          <w:iCs w:val="false"/>
          <w:color w:val="1B2A4A"/>
          <w:sz w:val="22"/>
          <w:szCs w:val="22"/>
        </w:rPr>
        <w:t xml:space="preserve">Natural Persons Only</w:t>
      </w:r>
    </w:p>
    <w:p>
      <w:pPr>
        <w:spacing w:after="120" w:before="0"/>
        <w:ind w:left="431"/>
        <w:jc w:val="both"/>
      </w:pPr>
      <w:r>
        <w:rPr>
          <w:rFonts w:ascii="Garamond" w:cs="Garamond" w:eastAsia="Garamond" w:hAnsi="Garamond"/>
          <w:b w:val="false"/>
          <w:bCs w:val="false"/>
          <w:i w:val="false"/>
          <w:iCs w:val="false"/>
          <w:color w:val="2a2520"/>
          <w:sz w:val="22"/>
          <w:szCs w:val="22"/>
        </w:rPr>
        <w:t xml:space="preserve">Contribution Limits — individual contributions to electoral campaigns are capped at a level defined by statute. Corporate, organizational, and foreign contributions are prohibited. The prohibition on foreign contributions applies to any person or entity that is not a Republic citizen or resident.</w:t>
      </w:r>
    </w:p>
    <w:p>
      <w:pPr>
        <w:spacing w:after="60" w:before="200"/>
        <w:ind w:left="431"/>
        <w:jc w:val="left"/>
      </w:pPr>
      <w:r>
        <w:rPr>
          <w:rFonts w:ascii="Courier New" w:cs="Courier New" w:eastAsia="Courier New" w:hAnsi="Courier New"/>
          <w:b/>
          <w:bCs/>
          <w:color w:val="1B2A4A"/>
          <w:sz w:val="18"/>
          <w:szCs w:val="18"/>
        </w:rPr>
        <w:t xml:space="preserve">§18.1.c  </w:t>
      </w:r>
      <w:r>
        <w:rPr>
          <w:rFonts w:ascii="Garamond" w:cs="Garamond" w:eastAsia="Garamond" w:hAnsi="Garamond"/>
          <w:b/>
          <w:bCs/>
          <w:i w:val="false"/>
          <w:iCs w:val="false"/>
          <w:color w:val="1B2A4A"/>
          <w:sz w:val="22"/>
          <w:szCs w:val="22"/>
        </w:rPr>
        <w:t xml:space="preserve">Voter-Donor Parity</w:t>
      </w:r>
    </w:p>
    <w:p>
      <w:pPr>
        <w:spacing w:after="120" w:before="0"/>
        <w:ind w:left="431"/>
        <w:jc w:val="both"/>
      </w:pPr>
      <w:r>
        <w:rPr>
          <w:rFonts w:ascii="Garamond" w:cs="Garamond" w:eastAsia="Garamond" w:hAnsi="Garamond"/>
          <w:b w:val="false"/>
          <w:bCs w:val="false"/>
          <w:i w:val="false"/>
          <w:iCs w:val="false"/>
          <w:color w:val="2a2520"/>
          <w:sz w:val="22"/>
          <w:szCs w:val="22"/>
        </w:rPr>
        <w:t xml:space="preserve">Independent Expenditure Disclosure — expenditures made independently of but in support of a campaign must also be disclosed. Independent expenditures are not subject to the same contribution limits as direct contributions, but are subject to the same disclosure requirements. Coordinated expenditures are treated as direct contributions.</w:t>
      </w:r>
    </w:p>
    <w:p>
      <w:pPr>
        <w:spacing w:after="60" w:before="200"/>
        <w:ind w:left="431"/>
        <w:jc w:val="left"/>
      </w:pPr>
      <w:r>
        <w:rPr>
          <w:rFonts w:ascii="Courier New" w:cs="Courier New" w:eastAsia="Courier New" w:hAnsi="Courier New"/>
          <w:b/>
          <w:bCs/>
          <w:color w:val="1B2A4A"/>
          <w:sz w:val="18"/>
          <w:szCs w:val="18"/>
        </w:rPr>
        <w:t xml:space="preserve">§18.1.d  </w:t>
      </w:r>
      <w:r>
        <w:rPr>
          <w:rFonts w:ascii="Garamond" w:cs="Garamond" w:eastAsia="Garamond" w:hAnsi="Garamond"/>
          <w:b/>
          <w:bCs/>
          <w:i w:val="false"/>
          <w:iCs w:val="false"/>
          <w:color w:val="1B2A4A"/>
          <w:sz w:val="22"/>
          <w:szCs w:val="22"/>
        </w:rPr>
        <w:t xml:space="preserve">Full Disclosure</w:t>
      </w:r>
    </w:p>
    <w:p>
      <w:pPr>
        <w:spacing w:after="120" w:before="0"/>
        <w:ind w:left="431"/>
        <w:jc w:val="both"/>
      </w:pPr>
      <w:r>
        <w:rPr>
          <w:rFonts w:ascii="Garamond" w:cs="Garamond" w:eastAsia="Garamond" w:hAnsi="Garamond"/>
          <w:b w:val="false"/>
          <w:bCs w:val="false"/>
          <w:i w:val="false"/>
          <w:iCs w:val="false"/>
          <w:color w:val="2a2520"/>
          <w:sz w:val="22"/>
          <w:szCs w:val="22"/>
        </w:rPr>
        <w:t xml:space="preserve">EC Administration — the Electoral Commission administers all electoral finance rules, reviews all disclosed contributions, publishes all disclosures to the NRS, and investigates suspected violations. The EI audits EC administration annually. Candidates who receive impermissible contributions must report them within 10 days and either return them or have them treated as undisclosed.</w:t>
      </w:r>
    </w:p>
    <w:p>
      <w:pPr>
        <w:spacing w:after="60" w:before="200"/>
        <w:ind w:left="431"/>
        <w:jc w:val="left"/>
      </w:pPr>
      <w:r>
        <w:rPr>
          <w:rFonts w:ascii="Courier New" w:cs="Courier New" w:eastAsia="Courier New" w:hAnsi="Courier New"/>
          <w:b/>
          <w:bCs/>
          <w:color w:val="1B2A4A"/>
          <w:sz w:val="18"/>
          <w:szCs w:val="18"/>
        </w:rPr>
        <w:t xml:space="preserve">§18.2  </w:t>
      </w:r>
      <w:r>
        <w:rPr>
          <w:rFonts w:ascii="Garamond" w:cs="Garamond" w:eastAsia="Garamond" w:hAnsi="Garamond"/>
          <w:b/>
          <w:bCs/>
          <w:i w:val="false"/>
          <w:iCs w:val="false"/>
          <w:color w:val="1B2A4A"/>
          <w:sz w:val="22"/>
          <w:szCs w:val="22"/>
        </w:rPr>
        <w:t xml:space="preserve">Campaign Conduct</w:t>
      </w:r>
    </w:p>
    <w:p>
      <w:pPr>
        <w:spacing w:after="120" w:before="0"/>
        <w:ind w:left="431"/>
        <w:jc w:val="both"/>
      </w:pPr>
      <w:r>
        <w:rPr>
          <w:rFonts w:ascii="Garamond" w:cs="Garamond" w:eastAsia="Garamond" w:hAnsi="Garamond"/>
          <w:b w:val="false"/>
          <w:bCs w:val="false"/>
          <w:i w:val="false"/>
          <w:iCs w:val="false"/>
          <w:color w:val="2a2520"/>
          <w:sz w:val="22"/>
          <w:szCs w:val="22"/>
        </w:rPr>
        <w:t xml:space="preserve">Candidates for constitutional office are subject to conduct standards administered by the Electoral Commission. These standards govern factual accuracy, media access, and foreign interference — not political content or viewpoint.</w:t>
      </w:r>
    </w:p>
    <w:p>
      <w:pPr>
        <w:spacing w:after="60" w:before="200"/>
        <w:ind w:left="431"/>
        <w:jc w:val="left"/>
      </w:pPr>
      <w:r>
        <w:rPr>
          <w:rFonts w:ascii="Courier New" w:cs="Courier New" w:eastAsia="Courier New" w:hAnsi="Courier New"/>
          <w:b/>
          <w:bCs/>
          <w:color w:val="1B2A4A"/>
          <w:sz w:val="18"/>
          <w:szCs w:val="18"/>
        </w:rPr>
        <w:t xml:space="preserve">§18.2.a  </w:t>
      </w:r>
      <w:r>
        <w:rPr>
          <w:rFonts w:ascii="Garamond" w:cs="Garamond" w:eastAsia="Garamond" w:hAnsi="Garamond"/>
          <w:b/>
          <w:bCs/>
          <w:i w:val="false"/>
          <w:iCs w:val="false"/>
          <w:color w:val="1B2A4A"/>
          <w:sz w:val="22"/>
          <w:szCs w:val="22"/>
        </w:rPr>
        <w:t xml:space="preserve">Campaign Conduct Standards</w:t>
      </w:r>
    </w:p>
    <w:p>
      <w:pPr>
        <w:spacing w:after="120" w:before="0"/>
        <w:ind w:left="431"/>
        <w:jc w:val="both"/>
      </w:pPr>
      <w:r>
        <w:rPr>
          <w:rFonts w:ascii="Garamond" w:cs="Garamond" w:eastAsia="Garamond" w:hAnsi="Garamond"/>
          <w:b w:val="false"/>
          <w:bCs w:val="false"/>
          <w:i w:val="false"/>
          <w:iCs w:val="false"/>
          <w:color w:val="2a2520"/>
          <w:sz w:val="22"/>
          <w:szCs w:val="22"/>
        </w:rPr>
        <w:t xml:space="preserve">Candidates for constitutional office must campaign in compliance with published EC conduct standards: prohibition on demonstrably false statements of material fact about a candidate's recorded votes — specifically, claiming a vote was cast when it was not, or was not cast when it was; characterization, emphasis, and contextual framing of voting records are protected expression and are not subject to EC conduct review, prohibition on impersonating other candidates, prohibition on vote suppression activities, and prohibition on interference with the electoral administration process.</w:t>
      </w:r>
    </w:p>
    <w:p>
      <w:pPr>
        <w:spacing w:after="60" w:before="200"/>
        <w:ind w:left="431"/>
        <w:jc w:val="left"/>
      </w:pPr>
      <w:r>
        <w:rPr>
          <w:rFonts w:ascii="Courier New" w:cs="Courier New" w:eastAsia="Courier New" w:hAnsi="Courier New"/>
          <w:b/>
          <w:bCs/>
          <w:color w:val="1B2A4A"/>
          <w:sz w:val="18"/>
          <w:szCs w:val="18"/>
        </w:rPr>
        <w:t xml:space="preserve">§18.2.b  </w:t>
      </w:r>
      <w:r>
        <w:rPr>
          <w:rFonts w:ascii="Garamond" w:cs="Garamond" w:eastAsia="Garamond" w:hAnsi="Garamond"/>
          <w:b/>
          <w:bCs/>
          <w:i w:val="false"/>
          <w:iCs w:val="false"/>
          <w:color w:val="1B2A4A"/>
          <w:sz w:val="22"/>
          <w:szCs w:val="22"/>
        </w:rPr>
        <w:t xml:space="preserve">Media and Communication Standards</w:t>
      </w:r>
    </w:p>
    <w:p>
      <w:pPr>
        <w:spacing w:after="120" w:before="0"/>
        <w:ind w:left="431"/>
        <w:jc w:val="both"/>
      </w:pPr>
      <w:r>
        <w:rPr>
          <w:rFonts w:ascii="Garamond" w:cs="Garamond" w:eastAsia="Garamond" w:hAnsi="Garamond"/>
          <w:b w:val="false"/>
          <w:bCs w:val="false"/>
          <w:i w:val="false"/>
          <w:iCs w:val="false"/>
          <w:color w:val="2a2520"/>
          <w:sz w:val="22"/>
          <w:szCs w:val="22"/>
        </w:rPr>
        <w:t xml:space="preserve">Campaign communications must clearly identify their sponsor. Fabricated or deceptively edited communications about other candidates are a constitutional violation, not merely a campaign conduct infraction. The EC may require advance disclosure of paid media buys above a threshold defined by statute.</w:t>
      </w:r>
    </w:p>
    <w:p>
      <w:pPr>
        <w:spacing w:after="60" w:before="200"/>
        <w:ind w:left="431"/>
        <w:jc w:val="left"/>
      </w:pPr>
      <w:r>
        <w:rPr>
          <w:rFonts w:ascii="Courier New" w:cs="Courier New" w:eastAsia="Courier New" w:hAnsi="Courier New"/>
          <w:b/>
          <w:bCs/>
          <w:color w:val="1B2A4A"/>
          <w:sz w:val="18"/>
          <w:szCs w:val="18"/>
        </w:rPr>
        <w:t xml:space="preserve">§18.2.c  </w:t>
      </w:r>
      <w:r>
        <w:rPr>
          <w:rFonts w:ascii="Garamond" w:cs="Garamond" w:eastAsia="Garamond" w:hAnsi="Garamond"/>
          <w:b/>
          <w:bCs/>
          <w:i w:val="false"/>
          <w:iCs w:val="false"/>
          <w:color w:val="1B2A4A"/>
          <w:sz w:val="22"/>
          <w:szCs w:val="22"/>
        </w:rPr>
        <w:t xml:space="preserve">Foreign Interference Prohibition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Any attempt by a foreign government, foreign national, or foreign-controlled entity to influence a Republic election is a constitutional violation. The EI investigates and publishes findings. Candidates who knowingly accept foreign assistance — financial or operational — are disqualified from the election cycle in which the violation occurred.</w:t>
      </w:r>
    </w:p>
    <w:p>
      <w:pPr>
        <w:spacing w:after="60" w:before="200"/>
        <w:ind w:left="431"/>
        <w:jc w:val="left"/>
      </w:pPr>
      <w:r>
        <w:rPr>
          <w:rFonts w:ascii="Courier New" w:cs="Courier New" w:eastAsia="Courier New" w:hAnsi="Courier New"/>
          <w:b/>
          <w:bCs/>
          <w:color w:val="1B2A4A"/>
          <w:sz w:val="18"/>
          <w:szCs w:val="18"/>
        </w:rPr>
        <w:t xml:space="preserve">§18.2.d  </w:t>
      </w:r>
      <w:r>
        <w:rPr>
          <w:rFonts w:ascii="Garamond" w:cs="Garamond" w:eastAsia="Garamond" w:hAnsi="Garamond"/>
          <w:b/>
          <w:bCs/>
          <w:i w:val="false"/>
          <w:iCs w:val="false"/>
          <w:color w:val="1B2A4A"/>
          <w:sz w:val="22"/>
          <w:szCs w:val="22"/>
        </w:rPr>
        <w:t xml:space="preserve">Incumbent Advantage Rules</w:t>
      </w:r>
    </w:p>
    <w:p>
      <w:pPr>
        <w:spacing w:after="120" w:before="0"/>
        <w:ind w:left="431"/>
        <w:jc w:val="both"/>
      </w:pPr>
      <w:r>
        <w:rPr>
          <w:rFonts w:ascii="Garamond" w:cs="Garamond" w:eastAsia="Garamond" w:hAnsi="Garamond"/>
          <w:b w:val="false"/>
          <w:bCs w:val="false"/>
          <w:i w:val="false"/>
          <w:iCs w:val="false"/>
          <w:color w:val="2a2520"/>
          <w:sz w:val="22"/>
          <w:szCs w:val="22"/>
        </w:rPr>
        <w:t xml:space="preserve">Constitutional officeholders standing for election in a different race must observe strict separation between their official functions and their campaign. Official resources — staff, communications infrastructure, government platforms — may not be used for campaign purposes. The EI monitors compliance and publishes findings.</w:t>
      </w:r>
    </w:p>
    <w:p>
      <w:pPr>
        <w:spacing w:after="60" w:before="200"/>
        <w:ind w:left="431"/>
        <w:jc w:val="left"/>
      </w:pPr>
      <w:r>
        <w:rPr>
          <w:rFonts w:ascii="Courier New" w:cs="Courier New" w:eastAsia="Courier New" w:hAnsi="Courier New"/>
          <w:b/>
          <w:bCs/>
          <w:color w:val="1B2A4A"/>
          <w:sz w:val="18"/>
          <w:szCs w:val="18"/>
        </w:rPr>
        <w:t xml:space="preserve">§18.3  </w:t>
      </w:r>
      <w:r>
        <w:rPr>
          <w:rFonts w:ascii="Garamond" w:cs="Garamond" w:eastAsia="Garamond" w:hAnsi="Garamond"/>
          <w:b/>
          <w:bCs/>
          <w:i w:val="false"/>
          <w:iCs w:val="false"/>
          <w:color w:val="1B2A4A"/>
          <w:sz w:val="22"/>
          <w:szCs w:val="22"/>
        </w:rPr>
        <w:t xml:space="preserve">Public Campaign Financing</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maintains a publicly funded campaign financing system as an alternative to private fundraising. Participation is voluntary; the system is structured to ensure candidates who participate can mount effective campaigns.</w:t>
      </w:r>
    </w:p>
    <w:p>
      <w:pPr>
        <w:spacing w:after="60" w:before="200"/>
        <w:ind w:left="431"/>
        <w:jc w:val="left"/>
      </w:pPr>
      <w:r>
        <w:rPr>
          <w:rFonts w:ascii="Courier New" w:cs="Courier New" w:eastAsia="Courier New" w:hAnsi="Courier New"/>
          <w:b/>
          <w:bCs/>
          <w:color w:val="1B2A4A"/>
          <w:sz w:val="18"/>
          <w:szCs w:val="18"/>
        </w:rPr>
        <w:t xml:space="preserve">§18.3.a  </w:t>
      </w:r>
      <w:r>
        <w:rPr>
          <w:rFonts w:ascii="Garamond" w:cs="Garamond" w:eastAsia="Garamond" w:hAnsi="Garamond"/>
          <w:b/>
          <w:bCs/>
          <w:i w:val="false"/>
          <w:iCs w:val="false"/>
          <w:color w:val="1B2A4A"/>
          <w:sz w:val="22"/>
          <w:szCs w:val="22"/>
        </w:rPr>
        <w:t xml:space="preserve">Public Financing Structure</w:t>
      </w:r>
    </w:p>
    <w:p>
      <w:pPr>
        <w:spacing w:after="120" w:before="0"/>
        <w:ind w:left="431"/>
        <w:jc w:val="both"/>
      </w:pPr>
      <w:r>
        <w:rPr>
          <w:rFonts w:ascii="Garamond" w:cs="Garamond" w:eastAsia="Garamond" w:hAnsi="Garamond"/>
          <w:b w:val="false"/>
          <w:bCs w:val="false"/>
          <w:i w:val="false"/>
          <w:iCs w:val="false"/>
          <w:color w:val="2a2520"/>
          <w:sz w:val="22"/>
          <w:szCs w:val="22"/>
        </w:rPr>
        <w:t xml:space="preserve">Consistent with §10.3.a, the public financing system provides all registered candidates with equal baseline funding. Candidates who accept public financing are subject to spending limits defined by statute. The EC administers disbursement; no allocation may advantage incumbents or established parties.</w:t>
      </w:r>
    </w:p>
    <w:p>
      <w:pPr>
        <w:spacing w:after="60" w:before="200"/>
        <w:ind w:left="431"/>
        <w:jc w:val="left"/>
      </w:pPr>
      <w:r>
        <w:rPr>
          <w:rFonts w:ascii="Courier New" w:cs="Courier New" w:eastAsia="Courier New" w:hAnsi="Courier New"/>
          <w:b/>
          <w:bCs/>
          <w:color w:val="1B2A4A"/>
          <w:sz w:val="18"/>
          <w:szCs w:val="18"/>
        </w:rPr>
        <w:t xml:space="preserve">§18.3.b  </w:t>
      </w:r>
      <w:r>
        <w:rPr>
          <w:rFonts w:ascii="Garamond" w:cs="Garamond" w:eastAsia="Garamond" w:hAnsi="Garamond"/>
          <w:b/>
          <w:bCs/>
          <w:i w:val="false"/>
          <w:iCs w:val="false"/>
          <w:color w:val="1B2A4A"/>
          <w:sz w:val="22"/>
          <w:szCs w:val="22"/>
        </w:rPr>
        <w:t xml:space="preserve">Matching Funds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may by statute create a matching funds component providing additional public funds that match small contributions from citizens — amplifying the influence of small donors relative to large ones. Matching thresholds, caps, and ratios are defined by statute and must apply equally to all participating candidates.</w:t>
      </w:r>
    </w:p>
    <w:p>
      <w:pPr>
        <w:spacing w:after="60" w:before="200"/>
        <w:ind w:left="431"/>
        <w:jc w:val="left"/>
      </w:pPr>
      <w:r>
        <w:rPr>
          <w:rFonts w:ascii="Courier New" w:cs="Courier New" w:eastAsia="Courier New" w:hAnsi="Courier New"/>
          <w:b/>
          <w:bCs/>
          <w:color w:val="1B2A4A"/>
          <w:sz w:val="18"/>
          <w:szCs w:val="18"/>
        </w:rPr>
        <w:t xml:space="preserve">§18.3.c  </w:t>
      </w:r>
      <w:r>
        <w:rPr>
          <w:rFonts w:ascii="Garamond" w:cs="Garamond" w:eastAsia="Garamond" w:hAnsi="Garamond"/>
          <w:b/>
          <w:bCs/>
          <w:i w:val="false"/>
          <w:iCs w:val="false"/>
          <w:color w:val="1B2A4A"/>
          <w:sz w:val="22"/>
          <w:szCs w:val="22"/>
        </w:rPr>
        <w:t xml:space="preserve">EC Allocation of Public Funds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EC allocates public campaign funds based on objective criteria published before each election cycle. Allocation criteria may include: number of qualifying signatures, prior election performance, demonstrated candidacy viability. No criterion may favor incumbents or penalize first-time candidates on the basis of their outsider status.</w:t>
      </w:r>
    </w:p>
    <w:p>
      <w:pPr>
        <w:spacing w:after="60" w:before="200"/>
        <w:ind w:left="431"/>
        <w:jc w:val="left"/>
      </w:pPr>
      <w:r>
        <w:rPr>
          <w:rFonts w:ascii="Courier New" w:cs="Courier New" w:eastAsia="Courier New" w:hAnsi="Courier New"/>
          <w:b/>
          <w:bCs/>
          <w:color w:val="1B2A4A"/>
          <w:sz w:val="18"/>
          <w:szCs w:val="18"/>
        </w:rPr>
        <w:t xml:space="preserve">§18.3.d  </w:t>
      </w:r>
      <w:r>
        <w:rPr>
          <w:rFonts w:ascii="Garamond" w:cs="Garamond" w:eastAsia="Garamond" w:hAnsi="Garamond"/>
          <w:b/>
          <w:bCs/>
          <w:i w:val="false"/>
          <w:iCs w:val="false"/>
          <w:color w:val="1B2A4A"/>
          <w:sz w:val="22"/>
          <w:szCs w:val="22"/>
        </w:rPr>
        <w:t xml:space="preserve">Electoral Finance — Not Protected Speech</w:t>
      </w:r>
    </w:p>
    <w:p>
      <w:pPr>
        <w:spacing w:after="120" w:before="0"/>
        <w:ind w:left="431"/>
        <w:jc w:val="both"/>
      </w:pPr>
      <w:r>
        <w:rPr>
          <w:rFonts w:ascii="Garamond" w:cs="Garamond" w:eastAsia="Garamond" w:hAnsi="Garamond"/>
          <w:b w:val="false"/>
          <w:bCs w:val="false"/>
          <w:i w:val="false"/>
          <w:iCs w:val="false"/>
          <w:color w:val="2a2520"/>
          <w:sz w:val="22"/>
          <w:szCs w:val="22"/>
        </w:rPr>
        <w:t xml:space="preserve">Financial contributions to electoral campaigns are not constitutionally protected speech under §1.5, and are not protected as associational activity under §1.8. The regulation of electoral finance is a matter of democratic integrity explicitly reserved from both speech and associational protection.</w:t>
      </w:r>
    </w:p>
    <w:p>
      <w:pPr>
        <w:spacing w:after="60" w:before="200"/>
        <w:jc w:val="left"/>
      </w:pPr>
      <w:r>
        <w:rPr>
          <w:rFonts w:ascii="Garamond" w:cs="Garamond" w:eastAsia="Garamond" w:hAnsi="Garamond"/>
          <w:b/>
          <w:bCs/>
          <w:i w:val="false"/>
          <w:iCs w:val="false"/>
          <w:color w:val="1B2A4A"/>
          <w:sz w:val="34"/>
          <w:szCs w:val="34"/>
        </w:rPr>
        <w:t xml:space="preserve">Article XIX — Transition and Ratification</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§19.1  </w:t>
      </w:r>
      <w:r>
        <w:rPr>
          <w:rFonts w:ascii="Garamond" w:cs="Garamond" w:eastAsia="Garamond" w:hAnsi="Garamond"/>
          <w:b/>
          <w:bCs/>
          <w:i w:val="false"/>
          <w:iCs w:val="false"/>
          <w:color w:val="1B2A4A"/>
          <w:sz w:val="22"/>
          <w:szCs w:val="22"/>
        </w:rPr>
        <w:t xml:space="preserve">The Activation Threshold</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takes effect upon ratification by the required threshold established in §19.1.a. Ratification creates binding constitutional obligations on all governmental actors, existing institutions, and successor entities within the Republic's jurisdiction from Day Zero. The ratification process, institutional accommodation, and multi-founder formation procedures are governed by §19.1.a, §19.1.b, and §19.1.c respectively.</w:t>
      </w:r>
    </w:p>
    <w:p>
      <w:pPr>
        <w:spacing w:after="60" w:before="200"/>
        <w:ind w:left="431"/>
        <w:jc w:val="left"/>
      </w:pPr>
      <w:r>
        <w:rPr>
          <w:rFonts w:ascii="Courier New" w:cs="Courier New" w:eastAsia="Courier New" w:hAnsi="Courier New"/>
          <w:b/>
          <w:bCs/>
          <w:color w:val="1B2A4A"/>
          <w:sz w:val="18"/>
          <w:szCs w:val="18"/>
        </w:rPr>
        <w:t xml:space="preserve">§19.1.a  </w:t>
      </w:r>
      <w:r>
        <w:rPr>
          <w:rFonts w:ascii="Garamond" w:cs="Garamond" w:eastAsia="Garamond" w:hAnsi="Garamond"/>
          <w:b/>
          <w:bCs/>
          <w:i w:val="false"/>
          <w:iCs w:val="false"/>
          <w:color w:val="1B2A4A"/>
          <w:sz w:val="22"/>
          <w:szCs w:val="22"/>
        </w:rPr>
        <w:t xml:space="preserve">Activation Threshold</w:t>
      </w:r>
    </w:p>
    <w:p>
      <w:pPr>
        <w:spacing w:after="120" w:before="0"/>
        <w:ind w:left="431"/>
        <w:jc w:val="both"/>
      </w:pPr>
      <w:r>
        <w:rPr>
          <w:rFonts w:ascii="Garamond" w:cs="Garamond" w:eastAsia="Garamond" w:hAnsi="Garamond"/>
          <w:b w:val="false"/>
          <w:bCs w:val="false"/>
          <w:i w:val="false"/>
          <w:iCs w:val="false"/>
          <w:color w:val="2a2520"/>
          <w:sz w:val="22"/>
          <w:szCs w:val="22"/>
        </w:rPr>
        <w:t xml:space="preserve">Activated upon: (1) interim EC certification that the NVS is operational and meets §16.3; and (2) a national ratification vote achieving 60% affirmative support with at least 50% participation. The NVS certification requirement ensures the system that conducts the ratification vote meets constitutional standards before the vote itself. The ratification threshold is intentionally set lower than the amendment thresholds of §15.1 — founding requires achievability. An impractically high founding threshold would prevent the constitutional order from being established at all. Once established, the higher amendment thresholds reflect the greater burden of changing a working system.</w:t>
      </w:r>
    </w:p>
    <w:p>
      <w:pPr>
        <w:spacing w:after="60" w:before="200"/>
        <w:ind w:left="431"/>
        <w:jc w:val="left"/>
      </w:pPr>
      <w:r>
        <w:rPr>
          <w:rFonts w:ascii="Courier New" w:cs="Courier New" w:eastAsia="Courier New" w:hAnsi="Courier New"/>
          <w:b/>
          <w:bCs/>
          <w:color w:val="1B2A4A"/>
          <w:sz w:val="18"/>
          <w:szCs w:val="18"/>
        </w:rPr>
        <w:t xml:space="preserve">§19.1.b  </w:t>
      </w:r>
      <w:r>
        <w:rPr>
          <w:rFonts w:ascii="Garamond" w:cs="Garamond" w:eastAsia="Garamond" w:hAnsi="Garamond"/>
          <w:b/>
          <w:bCs/>
          <w:i w:val="false"/>
          <w:iCs w:val="false"/>
          <w:color w:val="1B2A4A"/>
          <w:sz w:val="22"/>
          <w:szCs w:val="22"/>
        </w:rPr>
        <w:t xml:space="preserve">Institutional Accommodation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ratifying polity maintains existing institutions overlapping with constitutional mechanisms, the Legislature must by statute within two years of Phase 4 define their relationship with the constitutional framework. Non-diminishment: accommodation statutes may not reduce legal standing of pre-existing governance structures below their pre-Phase 4 status. 2/3 of both chambers required to amend.</w:t>
      </w:r>
    </w:p>
    <w:p>
      <w:pPr>
        <w:spacing w:after="60" w:before="200"/>
        <w:ind w:left="431"/>
        <w:jc w:val="left"/>
      </w:pPr>
      <w:r>
        <w:rPr>
          <w:rFonts w:ascii="Courier New" w:cs="Courier New" w:eastAsia="Courier New" w:hAnsi="Courier New"/>
          <w:b/>
          <w:bCs/>
          <w:color w:val="1B2A4A"/>
          <w:sz w:val="18"/>
          <w:szCs w:val="18"/>
        </w:rPr>
        <w:t xml:space="preserve">§19.1.c  </w:t>
      </w:r>
      <w:r>
        <w:rPr>
          <w:rFonts w:ascii="Garamond" w:cs="Garamond" w:eastAsia="Garamond" w:hAnsi="Garamond"/>
          <w:b/>
          <w:bCs/>
          <w:i w:val="false"/>
          <w:iCs w:val="false"/>
          <w:color w:val="1B2A4A"/>
          <w:sz w:val="22"/>
          <w:szCs w:val="22"/>
        </w:rPr>
        <w:t xml:space="preserve">Multi-Founder Formation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multiple sovereign nations simultaneously pool sovereignty through a treaty of union, transition provisions adapt: joint Phase 0/1 certification, consolidated debt assumption, combined Day Zero NRS publication of all founding sovereigns' records, and proportional obligation assumption per treaty terms.</w:t>
      </w:r>
    </w:p>
    <w:p>
      <w:pPr>
        <w:spacing w:after="60" w:before="200"/>
        <w:ind w:left="431"/>
        <w:jc w:val="left"/>
      </w:pPr>
      <w:r>
        <w:rPr>
          <w:rFonts w:ascii="Courier New" w:cs="Courier New" w:eastAsia="Courier New" w:hAnsi="Courier New"/>
          <w:b/>
          <w:bCs/>
          <w:color w:val="1B2A4A"/>
          <w:sz w:val="18"/>
          <w:szCs w:val="18"/>
        </w:rPr>
        <w:t xml:space="preserve">§19.2  </w:t>
      </w:r>
      <w:r>
        <w:rPr>
          <w:rFonts w:ascii="Garamond" w:cs="Garamond" w:eastAsia="Garamond" w:hAnsi="Garamond"/>
          <w:b/>
          <w:bCs/>
          <w:i w:val="false"/>
          <w:iCs w:val="false"/>
          <w:color w:val="1B2A4A"/>
          <w:sz w:val="22"/>
          <w:szCs w:val="22"/>
        </w:rPr>
        <w:t xml:space="preserve">Day Zero</w:t>
      </w:r>
    </w:p>
    <w:p>
      <w:pPr>
        <w:spacing w:after="120" w:before="0"/>
        <w:ind w:left="431"/>
        <w:jc w:val="both"/>
      </w:pPr>
      <w:r>
        <w:rPr>
          <w:rFonts w:ascii="Garamond" w:cs="Garamond" w:eastAsia="Garamond" w:hAnsi="Garamond"/>
          <w:b w:val="false"/>
          <w:bCs w:val="false"/>
          <w:i w:val="false"/>
          <w:iCs w:val="false"/>
          <w:color w:val="2a2520"/>
          <w:sz w:val="22"/>
          <w:szCs w:val="22"/>
        </w:rPr>
        <w:t xml:space="preserve">Day Zero is the date the ratification threshold is certified as achieved by the interim EC. Upon ratification: all laws conflicting with the Individual Sovereignty Floor are immediately null and void; all public assets transfer to the NRS; the 24-month Transition Window begins. The Republic exists the moment the EC certifies the threshold. The Transition Window is the outer legal boundary for transition-related authorities. Phase 4 activates when the phases are complete, which will ordinarily precede the window's expiry; the remaining window provides a defined period for outstanding transition administration, legal continuity, and institutional stabilization.</w:t>
      </w:r>
    </w:p>
    <w:p>
      <w:pPr>
        <w:spacing w:after="60" w:before="200"/>
        <w:ind w:left="431"/>
        <w:jc w:val="left"/>
      </w:pPr>
      <w:r>
        <w:rPr>
          <w:rFonts w:ascii="Courier New" w:cs="Courier New" w:eastAsia="Courier New" w:hAnsi="Courier New"/>
          <w:b/>
          <w:bCs/>
          <w:color w:val="1B2A4A"/>
          <w:sz w:val="18"/>
          <w:szCs w:val="18"/>
        </w:rPr>
        <w:t xml:space="preserve">§19.3  </w:t>
      </w:r>
      <w:r>
        <w:rPr>
          <w:rFonts w:ascii="Garamond" w:cs="Garamond" w:eastAsia="Garamond" w:hAnsi="Garamond"/>
          <w:b/>
          <w:bCs/>
          <w:i w:val="false"/>
          <w:iCs w:val="false"/>
          <w:color w:val="1B2A4A"/>
          <w:sz w:val="22"/>
          <w:szCs w:val="22"/>
        </w:rPr>
        <w:t xml:space="preserve">The Four-Phase Transition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constitution is implemented through a 24-month, four-phase transition process. Phase 0 (pre-ratification preparation) is governed by §19.3.a. Phase 1 (emergency stabilization, Days 1–90) is governed by §19.3.b. Phase 2 (institutional construction, Days 91–270) is governed by §19.3.c. Phase 3 (first elections, Days 271–450) is governed by §19.3.d. Phase 4 (full constitutional operation) is governed by §19.3.e.</w:t>
      </w:r>
    </w:p>
    <w:p>
      <w:pPr>
        <w:spacing w:after="60" w:before="200"/>
        <w:ind w:left="431"/>
        <w:jc w:val="left"/>
      </w:pPr>
      <w:r>
        <w:rPr>
          <w:rFonts w:ascii="Courier New" w:cs="Courier New" w:eastAsia="Courier New" w:hAnsi="Courier New"/>
          <w:b/>
          <w:bCs/>
          <w:color w:val="1B2A4A"/>
          <w:sz w:val="18"/>
          <w:szCs w:val="18"/>
        </w:rPr>
        <w:t xml:space="preserve">§19.3.a  </w:t>
      </w:r>
      <w:r>
        <w:rPr>
          <w:rFonts w:ascii="Garamond" w:cs="Garamond" w:eastAsia="Garamond" w:hAnsi="Garamond"/>
          <w:b/>
          <w:bCs/>
          <w:i w:val="false"/>
          <w:iCs w:val="false"/>
          <w:color w:val="1B2A4A"/>
          <w:sz w:val="22"/>
          <w:szCs w:val="22"/>
        </w:rPr>
        <w:t xml:space="preserve">Phase 0 — Pre-Ratification Preparation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Phase 0 is the pre-ratification preparation period. The interim Electoral Commission is constituted, the National Voting System is certified operational, and the joint Inspectorate panel is formed — all before any ratification vote occurs. The Republic's constitutional infrastructure must exist before it can be activated.</w:t>
      </w:r>
    </w:p>
    <w:p>
      <w:pPr>
        <w:spacing w:after="60" w:before="200"/>
        <w:ind w:left="431"/>
        <w:jc w:val="left"/>
      </w:pPr>
      <w:r>
        <w:rPr>
          <w:rFonts w:ascii="Courier New" w:cs="Courier New" w:eastAsia="Courier New" w:hAnsi="Courier New"/>
          <w:b/>
          <w:bCs/>
          <w:color w:val="1B2A4A"/>
          <w:sz w:val="18"/>
          <w:szCs w:val="18"/>
        </w:rPr>
        <w:t xml:space="preserve">§19.3.b  </w:t>
      </w:r>
      <w:r>
        <w:rPr>
          <w:rFonts w:ascii="Garamond" w:cs="Garamond" w:eastAsia="Garamond" w:hAnsi="Garamond"/>
          <w:b/>
          <w:bCs/>
          <w:i w:val="false"/>
          <w:iCs w:val="false"/>
          <w:color w:val="1B2A4A"/>
          <w:sz w:val="22"/>
          <w:szCs w:val="22"/>
        </w:rPr>
        <w:t xml:space="preserve">Phase 1 — Emergency Stabilization (Days 1–90)</w:t>
      </w:r>
    </w:p>
    <w:p>
      <w:pPr>
        <w:spacing w:after="120" w:before="0"/>
        <w:ind w:left="431"/>
        <w:jc w:val="both"/>
      </w:pPr>
      <w:r>
        <w:rPr>
          <w:rFonts w:ascii="Garamond" w:cs="Garamond" w:eastAsia="Garamond" w:hAnsi="Garamond"/>
          <w:b w:val="false"/>
          <w:bCs w:val="false"/>
          <w:i w:val="false"/>
          <w:iCs w:val="false"/>
          <w:color w:val="2a2520"/>
          <w:sz w:val="22"/>
          <w:szCs w:val="22"/>
        </w:rPr>
        <w:t xml:space="preserve">Existing government officials serve as caretakers under §19.4. The joint Inspectorate panel assumes oversight. The NRS begins recording all government acts. Priority functions: Basic Needs Floor delivery continuity, public safety, and essential services. No new permanent legislation. This phase is explicitly temporary — its only mandate is stability while Phase 2 institutional construction begins.</w:t>
      </w:r>
    </w:p>
    <w:p>
      <w:pPr>
        <w:spacing w:after="60" w:before="200"/>
        <w:ind w:left="431"/>
        <w:jc w:val="left"/>
      </w:pPr>
      <w:r>
        <w:rPr>
          <w:rFonts w:ascii="Courier New" w:cs="Courier New" w:eastAsia="Courier New" w:hAnsi="Courier New"/>
          <w:b/>
          <w:bCs/>
          <w:color w:val="1B2A4A"/>
          <w:sz w:val="18"/>
          <w:szCs w:val="18"/>
        </w:rPr>
        <w:t xml:space="preserve">§19.3.c  </w:t>
      </w:r>
      <w:r>
        <w:rPr>
          <w:rFonts w:ascii="Garamond" w:cs="Garamond" w:eastAsia="Garamond" w:hAnsi="Garamond"/>
          <w:b/>
          <w:bCs/>
          <w:i w:val="false"/>
          <w:iCs w:val="false"/>
          <w:color w:val="1B2A4A"/>
          <w:sz w:val="22"/>
          <w:szCs w:val="22"/>
        </w:rPr>
        <w:t xml:space="preserve">Phase 2 — Institutional Construction (Days 91–270)</w:t>
      </w:r>
    </w:p>
    <w:p>
      <w:pPr>
        <w:spacing w:after="120" w:before="0"/>
        <w:ind w:left="431"/>
        <w:jc w:val="both"/>
      </w:pPr>
      <w:r>
        <w:rPr>
          <w:rFonts w:ascii="Garamond" w:cs="Garamond" w:eastAsia="Garamond" w:hAnsi="Garamond"/>
          <w:b w:val="false"/>
          <w:bCs w:val="false"/>
          <w:i w:val="false"/>
          <w:iCs w:val="false"/>
          <w:color w:val="2a2520"/>
          <w:sz w:val="22"/>
          <w:szCs w:val="22"/>
        </w:rPr>
        <w:t xml:space="preserve">Phase 2 (Days 91–270) is Institutional Construction. Statehood Audits are conducted for all entering territories. Inspectorates are formally constituted. The Candidate Register for MA board members and the RSA Director is assembled. Electoral Commission is certified as operational. The National Voting System is fully deployed for citizen registration. Phase 2 ends at Day 270.</w:t>
      </w:r>
    </w:p>
    <w:p>
      <w:pPr>
        <w:spacing w:after="60" w:before="200"/>
        <w:ind w:left="431"/>
        <w:jc w:val="left"/>
      </w:pPr>
      <w:r>
        <w:rPr>
          <w:rFonts w:ascii="Courier New" w:cs="Courier New" w:eastAsia="Courier New" w:hAnsi="Courier New"/>
          <w:b/>
          <w:bCs/>
          <w:color w:val="1B2A4A"/>
          <w:sz w:val="18"/>
          <w:szCs w:val="18"/>
        </w:rPr>
        <w:t xml:space="preserve">§19.3.d  </w:t>
      </w:r>
      <w:r>
        <w:rPr>
          <w:rFonts w:ascii="Garamond" w:cs="Garamond" w:eastAsia="Garamond" w:hAnsi="Garamond"/>
          <w:b/>
          <w:bCs/>
          <w:i w:val="false"/>
          <w:iCs w:val="false"/>
          <w:color w:val="1B2A4A"/>
          <w:sz w:val="22"/>
          <w:szCs w:val="22"/>
        </w:rPr>
        <w:t xml:space="preserve">Phase 3 — First Elections (Days 271–450)</w:t>
      </w:r>
    </w:p>
    <w:p>
      <w:pPr>
        <w:spacing w:after="120" w:before="0"/>
        <w:ind w:left="431"/>
        <w:jc w:val="both"/>
      </w:pPr>
      <w:r>
        <w:rPr>
          <w:rFonts w:ascii="Garamond" w:cs="Garamond" w:eastAsia="Garamond" w:hAnsi="Garamond"/>
          <w:b w:val="false"/>
          <w:bCs w:val="false"/>
          <w:i w:val="false"/>
          <w:iCs w:val="false"/>
          <w:color w:val="2a2520"/>
          <w:sz w:val="22"/>
          <w:szCs w:val="22"/>
        </w:rPr>
        <w:t xml:space="preserve">Phase 3 (Days 271-450) is First Elections. The first National Election Day. Supreme Court justices elected through the open-candidacy judicial selection process. Electoral Commission inaugural elections. Phase 3 ends when the first the Legislature is sworn in and the first executives take office — the moment at which the Republic's constitutional design becomes self-sustaining.</w:t>
      </w:r>
    </w:p>
    <w:p>
      <w:pPr>
        <w:spacing w:after="60" w:before="200"/>
        <w:ind w:left="431"/>
        <w:jc w:val="left"/>
      </w:pPr>
      <w:r>
        <w:rPr>
          <w:rFonts w:ascii="Courier New" w:cs="Courier New" w:eastAsia="Courier New" w:hAnsi="Courier New"/>
          <w:b/>
          <w:bCs/>
          <w:color w:val="1B2A4A"/>
          <w:sz w:val="18"/>
          <w:szCs w:val="18"/>
        </w:rPr>
        <w:t xml:space="preserve">§19.3.e  </w:t>
      </w:r>
      <w:r>
        <w:rPr>
          <w:rFonts w:ascii="Garamond" w:cs="Garamond" w:eastAsia="Garamond" w:hAnsi="Garamond"/>
          <w:b/>
          <w:bCs/>
          <w:i w:val="false"/>
          <w:iCs w:val="false"/>
          <w:color w:val="1B2A4A"/>
          <w:sz w:val="22"/>
          <w:szCs w:val="22"/>
        </w:rPr>
        <w:t xml:space="preserve">Phase 4 — Full Constitutional Operation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Beginning the day the first Legislature convenes and the first executives take the constitutional oath. From Phase 4, all constitutional provisions are fully operative. The 24-month Transition Window concludes at the end of Phase 4.</w:t>
      </w:r>
    </w:p>
    <w:p>
      <w:pPr>
        <w:spacing w:after="60" w:before="200"/>
        <w:ind w:left="431"/>
        <w:jc w:val="left"/>
      </w:pPr>
      <w:r>
        <w:rPr>
          <w:rFonts w:ascii="Courier New" w:cs="Courier New" w:eastAsia="Courier New" w:hAnsi="Courier New"/>
          <w:b/>
          <w:bCs/>
          <w:color w:val="1B2A4A"/>
          <w:sz w:val="18"/>
          <w:szCs w:val="18"/>
        </w:rPr>
        <w:t xml:space="preserve">§19.4  </w:t>
      </w:r>
      <w:r>
        <w:rPr>
          <w:rFonts w:ascii="Garamond" w:cs="Garamond" w:eastAsia="Garamond" w:hAnsi="Garamond"/>
          <w:b/>
          <w:bCs/>
          <w:i w:val="false"/>
          <w:iCs w:val="false"/>
          <w:color w:val="1B2A4A"/>
          <w:sz w:val="22"/>
          <w:szCs w:val="22"/>
        </w:rPr>
        <w:t xml:space="preserve">Caretaker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All existing government officials serve as caretakers during the Transition Window — restricted to maintaining existing services only. No new permanent legislation. Transition supervised by joint Inspectorate panel: one representative per Inspectorate, appointed by their respective IGs. The panel dissolves automatically at the Transition Window's conclusion. Caretaker status prevents the predecessor government from entrenching itself during transition.</w:t>
      </w:r>
    </w:p>
    <w:p>
      <w:pPr>
        <w:spacing w:after="60" w:before="200"/>
        <w:ind w:left="431"/>
        <w:jc w:val="left"/>
      </w:pPr>
      <w:r>
        <w:rPr>
          <w:rFonts w:ascii="Courier New" w:cs="Courier New" w:eastAsia="Courier New" w:hAnsi="Courier New"/>
          <w:b/>
          <w:bCs/>
          <w:color w:val="1B2A4A"/>
          <w:sz w:val="18"/>
          <w:szCs w:val="18"/>
        </w:rPr>
        <w:t xml:space="preserve">§19.5  </w:t>
      </w:r>
      <w:r>
        <w:rPr>
          <w:rFonts w:ascii="Garamond" w:cs="Garamond" w:eastAsia="Garamond" w:hAnsi="Garamond"/>
          <w:b/>
          <w:bCs/>
          <w:i w:val="false"/>
          <w:iCs w:val="false"/>
          <w:color w:val="1B2A4A"/>
          <w:sz w:val="22"/>
          <w:szCs w:val="22"/>
        </w:rPr>
        <w:t xml:space="preserve">Pre-Constitutional Classified Documents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Legislature must establish a Classification Review Commission within 90 days of Phase 4 activation. Commission applies §9.5 criteria to predecessor classified material: legitimately classified material enters the §9.5 duration framework from Day Zero; improperly classified material (concealing violations or policy decisions) is immediately declassified and published to the NRS. Any person may challenge a Commission determination before the SC.</w:t>
      </w:r>
    </w:p>
    <w:p>
      <w:pPr>
        <w:spacing w:after="60" w:before="200"/>
        <w:ind w:left="431"/>
        <w:jc w:val="left"/>
      </w:pPr>
      <w:r>
        <w:rPr>
          <w:rFonts w:ascii="Courier New" w:cs="Courier New" w:eastAsia="Courier New" w:hAnsi="Courier New"/>
          <w:b/>
          <w:bCs/>
          <w:color w:val="1B2A4A"/>
          <w:sz w:val="18"/>
          <w:szCs w:val="18"/>
        </w:rPr>
        <w:t xml:space="preserve">§19.6  </w:t>
      </w:r>
      <w:r>
        <w:rPr>
          <w:rFonts w:ascii="Garamond" w:cs="Garamond" w:eastAsia="Garamond" w:hAnsi="Garamond"/>
          <w:b/>
          <w:bCs/>
          <w:i w:val="false"/>
          <w:iCs w:val="false"/>
          <w:color w:val="1B2A4A"/>
          <w:sz w:val="22"/>
          <w:szCs w:val="22"/>
        </w:rPr>
        <w:t xml:space="preserve">Pre-Existing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assumes the public debt obligations of its predecessor government as a constitutional matter, not a discretionary choice.</w:t>
      </w:r>
    </w:p>
    <w:p>
      <w:pPr>
        <w:spacing w:after="60" w:before="200"/>
        <w:ind w:left="431"/>
        <w:jc w:val="left"/>
      </w:pPr>
      <w:r>
        <w:rPr>
          <w:rFonts w:ascii="Courier New" w:cs="Courier New" w:eastAsia="Courier New" w:hAnsi="Courier New"/>
          <w:b/>
          <w:bCs/>
          <w:color w:val="1B2A4A"/>
          <w:sz w:val="18"/>
          <w:szCs w:val="18"/>
        </w:rPr>
        <w:t xml:space="preserve">§19.6.a  </w:t>
      </w:r>
      <w:r>
        <w:rPr>
          <w:rFonts w:ascii="Garamond" w:cs="Garamond" w:eastAsia="Garamond" w:hAnsi="Garamond"/>
          <w:b/>
          <w:bCs/>
          <w:i w:val="false"/>
          <w:iCs w:val="false"/>
          <w:color w:val="1B2A4A"/>
          <w:sz w:val="22"/>
          <w:szCs w:val="22"/>
        </w:rPr>
        <w:t xml:space="preserve">Debt Assumption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assumes all legally recognized debts of the prior government. The Republic does not inherit a clean slate — it inherits what was borrowed. Selective repudiation of prior obligations is not available as a founding act.</w:t>
      </w:r>
    </w:p>
    <w:p>
      <w:pPr>
        <w:spacing w:after="60" w:before="200"/>
        <w:ind w:left="431"/>
        <w:jc w:val="left"/>
      </w:pPr>
      <w:r>
        <w:rPr>
          <w:rFonts w:ascii="Courier New" w:cs="Courier New" w:eastAsia="Courier New" w:hAnsi="Courier New"/>
          <w:b/>
          <w:bCs/>
          <w:color w:val="1B2A4A"/>
          <w:sz w:val="18"/>
          <w:szCs w:val="18"/>
        </w:rPr>
        <w:t xml:space="preserve">§19.6.b  </w:t>
      </w:r>
      <w:r>
        <w:rPr>
          <w:rFonts w:ascii="Garamond" w:cs="Garamond" w:eastAsia="Garamond" w:hAnsi="Garamond"/>
          <w:b/>
          <w:bCs/>
          <w:i w:val="false"/>
          <w:iCs w:val="false"/>
          <w:color w:val="1B2A4A"/>
          <w:sz w:val="22"/>
          <w:szCs w:val="22"/>
        </w:rPr>
        <w:t xml:space="preserve">Active Military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Active military operations of the prior government continue under existing authorization until the §12.2 Tier framework can apply. The President, once inaugurated, must certify each active operation under the appropriate Tier within 14 days or begin orderly cessation. Operations not certified within 60 days of inauguration cease unless the Legislature grants a one-time extension. No indefinite continuation of predecessor-authorized military action.</w:t>
      </w:r>
    </w:p>
    <w:p>
      <w:pPr>
        <w:spacing w:after="60" w:before="200"/>
        <w:ind w:left="431"/>
        <w:jc w:val="left"/>
      </w:pPr>
      <w:r>
        <w:rPr>
          <w:rFonts w:ascii="Courier New" w:cs="Courier New" w:eastAsia="Courier New" w:hAnsi="Courier New"/>
          <w:b/>
          <w:bCs/>
          <w:color w:val="1B2A4A"/>
          <w:sz w:val="18"/>
          <w:szCs w:val="18"/>
        </w:rPr>
        <w:t xml:space="preserve">§19.6.c  </w:t>
      </w:r>
      <w:r>
        <w:rPr>
          <w:rFonts w:ascii="Garamond" w:cs="Garamond" w:eastAsia="Garamond" w:hAnsi="Garamond"/>
          <w:b/>
          <w:bCs/>
          <w:i w:val="false"/>
          <w:iCs w:val="false"/>
          <w:color w:val="1B2A4A"/>
          <w:sz w:val="22"/>
          <w:szCs w:val="22"/>
        </w:rPr>
        <w:t xml:space="preserve">Social Insurance Programs</w:t>
      </w:r>
    </w:p>
    <w:p>
      <w:pPr>
        <w:spacing w:after="120" w:before="0"/>
        <w:ind w:left="431"/>
        <w:jc w:val="both"/>
      </w:pPr>
      <w:r>
        <w:rPr>
          <w:rFonts w:ascii="Garamond" w:cs="Garamond" w:eastAsia="Garamond" w:hAnsi="Garamond"/>
          <w:b w:val="false"/>
          <w:bCs w:val="false"/>
          <w:i w:val="false"/>
          <w:iCs w:val="false"/>
          <w:color w:val="2a2520"/>
          <w:sz w:val="22"/>
          <w:szCs w:val="22"/>
        </w:rPr>
        <w:t xml:space="preserve">Retirement pensions, disability benefits, health coverage — of the prior government continue uninterrupted during the Transition Window. The Republic does not create a gap in social protection as part of its founding.</w:t>
      </w:r>
    </w:p>
    <w:p>
      <w:pPr>
        <w:spacing w:after="60" w:before="200"/>
        <w:ind w:left="431"/>
        <w:jc w:val="left"/>
      </w:pPr>
      <w:r>
        <w:rPr>
          <w:rFonts w:ascii="Courier New" w:cs="Courier New" w:eastAsia="Courier New" w:hAnsi="Courier New"/>
          <w:b/>
          <w:bCs/>
          <w:color w:val="1B2A4A"/>
          <w:sz w:val="18"/>
          <w:szCs w:val="18"/>
        </w:rPr>
        <w:t xml:space="preserve">§19.6.d  </w:t>
      </w:r>
      <w:r>
        <w:rPr>
          <w:rFonts w:ascii="Garamond" w:cs="Garamond" w:eastAsia="Garamond" w:hAnsi="Garamond"/>
          <w:b/>
          <w:bCs/>
          <w:i w:val="false"/>
          <w:iCs w:val="false"/>
          <w:color w:val="1B2A4A"/>
          <w:sz w:val="22"/>
          <w:szCs w:val="22"/>
        </w:rPr>
        <w:t xml:space="preserve">Veterans and National Service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inherits and honors all benefit obligations to persons who served in military or national service roles under the prior government. These are existing contractual commitments of the sovereign that survive transition as continuity-of-state. Legislature must pass a Veterans and National Service Benefits Act within the first budget cycle following Phase 4 activation.</w:t>
      </w:r>
    </w:p>
    <w:p>
      <w:pPr>
        <w:spacing w:after="60" w:before="200"/>
        <w:ind w:left="431"/>
        <w:jc w:val="left"/>
      </w:pPr>
      <w:r>
        <w:rPr>
          <w:rFonts w:ascii="Courier New" w:cs="Courier New" w:eastAsia="Courier New" w:hAnsi="Courier New"/>
          <w:b/>
          <w:bCs/>
          <w:color w:val="1B2A4A"/>
          <w:sz w:val="18"/>
          <w:szCs w:val="18"/>
        </w:rPr>
        <w:t xml:space="preserve">§19.6.e  </w:t>
      </w:r>
      <w:r>
        <w:rPr>
          <w:rFonts w:ascii="Garamond" w:cs="Garamond" w:eastAsia="Garamond" w:hAnsi="Garamond"/>
          <w:b/>
          <w:bCs/>
          <w:i w:val="false"/>
          <w:iCs w:val="false"/>
          <w:color w:val="1B2A4A"/>
          <w:sz w:val="22"/>
          <w:szCs w:val="22"/>
        </w:rPr>
        <w:t xml:space="preserve">Constitutional Claims Court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immediate nullification of laws conflicting with the Individual Sovereignty Floor creates constitutional disputes that existing courts may not have capacity to absorb. The Legislature must by statute establish an interim Constitutional Claims Court within Phase 2, with jurisdiction over all Article I claims arising from Day Zero nullification.</w:t>
      </w:r>
    </w:p>
    <w:p>
      <w:pPr>
        <w:spacing w:after="60" w:before="200"/>
        <w:ind w:left="431"/>
        <w:jc w:val="left"/>
      </w:pPr>
      <w:r>
        <w:rPr>
          <w:rFonts w:ascii="Courier New" w:cs="Courier New" w:eastAsia="Courier New" w:hAnsi="Courier New"/>
          <w:b/>
          <w:bCs/>
          <w:color w:val="1B2A4A"/>
          <w:sz w:val="18"/>
          <w:szCs w:val="18"/>
        </w:rPr>
        <w:t xml:space="preserve">§19.6.f  </w:t>
      </w:r>
      <w:r>
        <w:rPr>
          <w:rFonts w:ascii="Garamond" w:cs="Garamond" w:eastAsia="Garamond" w:hAnsi="Garamond"/>
          <w:b/>
          <w:bCs/>
          <w:i w:val="false"/>
          <w:iCs w:val="false"/>
          <w:color w:val="1B2A4A"/>
          <w:sz w:val="22"/>
          <w:szCs w:val="22"/>
        </w:rPr>
        <w:t xml:space="preserve">Legal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Federated Republic is the legal continuation of the prior government as a matter of international law. All international obligations, financial commitments, treaty relationships, and contractual obligations of the prior government as of Day Zero are assumed by the Republic as its successor sovereign.</w:t>
      </w:r>
    </w:p>
    <w:p>
      <w:pPr>
        <w:spacing w:after="60" w:before="200"/>
        <w:ind w:left="431"/>
        <w:jc w:val="left"/>
      </w:pPr>
      <w:r>
        <w:rPr>
          <w:rFonts w:ascii="Courier New" w:cs="Courier New" w:eastAsia="Courier New" w:hAnsi="Courier New"/>
          <w:b/>
          <w:bCs/>
          <w:color w:val="1B2A4A"/>
          <w:sz w:val="18"/>
          <w:szCs w:val="18"/>
        </w:rPr>
        <w:t xml:space="preserve">§19.7  </w:t>
      </w:r>
      <w:r>
        <w:rPr>
          <w:rFonts w:ascii="Garamond" w:cs="Garamond" w:eastAsia="Garamond" w:hAnsi="Garamond"/>
          <w:b/>
          <w:bCs/>
          <w:i w:val="false"/>
          <w:iCs w:val="false"/>
          <w:color w:val="1B2A4A"/>
          <w:sz w:val="22"/>
          <w:szCs w:val="22"/>
        </w:rPr>
        <w:t xml:space="preserve">Transition-Period Territory and Subdivision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transition period provides specific mechanisms for territories seeking statehood and for prior-government states seeking subdivision. These mechanisms operate alongside the standard Phase structure and do not delay Phase activation.</w:t>
      </w:r>
    </w:p>
    <w:p>
      <w:pPr>
        <w:spacing w:after="60" w:before="200"/>
        <w:ind w:left="431"/>
        <w:jc w:val="left"/>
      </w:pPr>
      <w:r>
        <w:rPr>
          <w:rFonts w:ascii="Courier New" w:cs="Courier New" w:eastAsia="Courier New" w:hAnsi="Courier New"/>
          <w:b/>
          <w:bCs/>
          <w:color w:val="1B2A4A"/>
          <w:sz w:val="18"/>
          <w:szCs w:val="18"/>
        </w:rPr>
        <w:t xml:space="preserve">§19.7.a  </w:t>
      </w:r>
      <w:r>
        <w:rPr>
          <w:rFonts w:ascii="Garamond" w:cs="Garamond" w:eastAsia="Garamond" w:hAnsi="Garamond"/>
          <w:b/>
          <w:bCs/>
          <w:i w:val="false"/>
          <w:iCs w:val="false"/>
          <w:color w:val="1B2A4A"/>
          <w:sz w:val="22"/>
          <w:szCs w:val="22"/>
        </w:rPr>
        <w:t xml:space="preserve">Transition-Period Territorial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Territories or subdivisions meeting the §13.2 Competency Baseline by Phase 2 end may petition to enter as State or Territory. Those failing the Baseline enter as Territory under §13.1 and may begin the Statehood Audit immediately. Any territory may choose Territory status by simple legislative vote regardless of whether it meets the Statehood Baseline.</w:t>
      </w:r>
    </w:p>
    <w:p>
      <w:pPr>
        <w:spacing w:after="60" w:before="200"/>
        <w:ind w:left="431"/>
        <w:jc w:val="left"/>
      </w:pPr>
      <w:r>
        <w:rPr>
          <w:rFonts w:ascii="Courier New" w:cs="Courier New" w:eastAsia="Courier New" w:hAnsi="Courier New"/>
          <w:b/>
          <w:bCs/>
          <w:color w:val="1B2A4A"/>
          <w:sz w:val="18"/>
          <w:szCs w:val="18"/>
        </w:rPr>
        <w:t xml:space="preserve">§19.7.b  </w:t>
      </w:r>
      <w:r>
        <w:rPr>
          <w:rFonts w:ascii="Garamond" w:cs="Garamond" w:eastAsia="Garamond" w:hAnsi="Garamond"/>
          <w:b/>
          <w:bCs/>
          <w:i w:val="false"/>
          <w:iCs w:val="false"/>
          <w:color w:val="1B2A4A"/>
          <w:sz w:val="22"/>
          <w:szCs w:val="22"/>
        </w:rPr>
        <w:t xml:space="preserve">Subdivision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Prior government states or territories may voluntarily subdivide during the Transition Window by vote of their existing legislative body. New subdivisions are treated as separate petitioning entities for §19.7.a purposes. Legislature must establish by statute the subdivision recognition process.</w:t>
      </w:r>
    </w:p>
    <w:p>
      <w:pPr>
        <w:spacing w:after="60" w:before="200"/>
        <w:ind w:left="431"/>
        <w:jc w:val="left"/>
      </w:pPr>
      <w:r>
        <w:rPr>
          <w:rFonts w:ascii="Courier New" w:cs="Courier New" w:eastAsia="Courier New" w:hAnsi="Courier New"/>
          <w:b/>
          <w:bCs/>
          <w:color w:val="1B2A4A"/>
          <w:sz w:val="18"/>
          <w:szCs w:val="18"/>
        </w:rPr>
        <w:t xml:space="preserve">§19.7.c  </w:t>
      </w:r>
      <w:r>
        <w:rPr>
          <w:rFonts w:ascii="Garamond" w:cs="Garamond" w:eastAsia="Garamond" w:hAnsi="Garamond"/>
          <w:b/>
          <w:bCs/>
          <w:i w:val="false"/>
          <w:iCs w:val="false"/>
          <w:color w:val="1B2A4A"/>
          <w:sz w:val="22"/>
          <w:szCs w:val="22"/>
        </w:rPr>
        <w:t xml:space="preserve">Phase 2 Statehood Audit Failures</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state fails the Phase 2 Statehood Audit, it enters as a Territory under §13.1 rather than a State. Its population retains all Article I rights. Territory residents from failed-audit states participate in first House elections proportionally. Audit failure does not disenfranchise the population.</w:t>
      </w:r>
    </w:p>
    <w:p>
      <w:pPr>
        <w:spacing w:after="60" w:before="200"/>
        <w:ind w:left="431"/>
        <w:jc w:val="left"/>
      </w:pPr>
      <w:r>
        <w:rPr>
          <w:rFonts w:ascii="Courier New" w:cs="Courier New" w:eastAsia="Courier New" w:hAnsi="Courier New"/>
          <w:b/>
          <w:bCs/>
          <w:color w:val="1B2A4A"/>
          <w:sz w:val="18"/>
          <w:szCs w:val="18"/>
        </w:rPr>
        <w:t xml:space="preserve">§19.7.d  </w:t>
      </w:r>
      <w:r>
        <w:rPr>
          <w:rFonts w:ascii="Garamond" w:cs="Garamond" w:eastAsia="Garamond" w:hAnsi="Garamond"/>
          <w:b/>
          <w:bCs/>
          <w:i w:val="false"/>
          <w:iCs w:val="false"/>
          <w:color w:val="1B2A4A"/>
          <w:sz w:val="22"/>
          <w:szCs w:val="22"/>
        </w:rPr>
        <w:t xml:space="preserve">Pre-Existing Territories and the District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prior government territories that have not achieved statehood by Day Zero enter as Territories from Phase 4 activation — without undergoing Phase 2 Statehood Audits, beginning the standard §13.2 Statehood Audit process after Phase 4. Any capital district or special administrative region that was neither a state nor standard territory is assigned Territory status and follows the §13.2 path.</w:t>
      </w:r>
    </w:p>
    <w:p>
      <w:pPr>
        <w:spacing w:after="60" w:before="200"/>
        <w:ind w:left="431"/>
        <w:jc w:val="left"/>
      </w:pPr>
      <w:r>
        <w:rPr>
          <w:rFonts w:ascii="Courier New" w:cs="Courier New" w:eastAsia="Courier New" w:hAnsi="Courier New"/>
          <w:b/>
          <w:bCs/>
          <w:color w:val="1B2A4A"/>
          <w:sz w:val="18"/>
          <w:szCs w:val="18"/>
        </w:rPr>
        <w:t xml:space="preserve">§19.8  </w:t>
      </w:r>
      <w:r>
        <w:rPr>
          <w:rFonts w:ascii="Garamond" w:cs="Garamond" w:eastAsia="Garamond" w:hAnsi="Garamond"/>
          <w:b/>
          <w:bCs/>
          <w:i w:val="false"/>
          <w:iCs w:val="false"/>
          <w:color w:val="1B2A4A"/>
          <w:sz w:val="22"/>
          <w:szCs w:val="22"/>
        </w:rPr>
        <w:t xml:space="preserve">Transition Candidate Registers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joint Inspectorate panel assembles the initial Candidate Registers for all constitutionally established positions before Phase 3 elections can occur. Without populated registers, the elections cannot proceed — the Registers are a constitutional prerequisite for the democratic machinery to activate. The panel's role here is transitional: it performs the register-assembly and vetting function that the permanent Inspectorates will assume after Phase 4. Registers assembled by the panel carry full constitutional validity; the Legislature ratifies and continues them through the first budget cycle after Phase 4 activation.</w:t>
      </w:r>
    </w:p>
    <w:p>
      <w:pPr>
        <w:spacing w:after="60" w:before="200"/>
        <w:ind w:left="431"/>
        <w:jc w:val="left"/>
      </w:pPr>
      <w:r>
        <w:rPr>
          <w:rFonts w:ascii="Courier New" w:cs="Courier New" w:eastAsia="Courier New" w:hAnsi="Courier New"/>
          <w:b/>
          <w:bCs/>
          <w:color w:val="1B2A4A"/>
          <w:sz w:val="18"/>
          <w:szCs w:val="18"/>
        </w:rPr>
        <w:t xml:space="preserve">§19.8.a  </w:t>
      </w:r>
      <w:r>
        <w:rPr>
          <w:rFonts w:ascii="Garamond" w:cs="Garamond" w:eastAsia="Garamond" w:hAnsi="Garamond"/>
          <w:b/>
          <w:bCs/>
          <w:i w:val="false"/>
          <w:iCs w:val="false"/>
          <w:color w:val="1B2A4A"/>
          <w:sz w:val="22"/>
          <w:szCs w:val="22"/>
        </w:rPr>
        <w:t xml:space="preserve">Initial Register Assembly</w:t>
      </w:r>
    </w:p>
    <w:p>
      <w:pPr>
        <w:spacing w:after="120" w:before="0"/>
        <w:ind w:left="431"/>
        <w:jc w:val="both"/>
      </w:pPr>
      <w:r>
        <w:rPr>
          <w:rFonts w:ascii="Garamond" w:cs="Garamond" w:eastAsia="Garamond" w:hAnsi="Garamond"/>
          <w:b w:val="false"/>
          <w:bCs w:val="false"/>
          <w:i w:val="false"/>
          <w:iCs w:val="false"/>
          <w:color w:val="2a2520"/>
          <w:sz w:val="22"/>
          <w:szCs w:val="22"/>
        </w:rPr>
        <w:t xml:space="preserve">During Phase 2, the joint Inspectorate panel assembles an initial Candidate Register for the MA board members and RSA Director. Panel receives disclosure records, reviews factual accuracy, applies constitutional eligibility criteria, and publishes with recommendations to NRS. May draw on prior government, international, and diaspora expertise where domestic expertise is unavailable or compromised.</w:t>
      </w:r>
    </w:p>
    <w:p>
      <w:pPr>
        <w:spacing w:after="60" w:before="200"/>
        <w:ind w:left="431"/>
        <w:jc w:val="left"/>
      </w:pPr>
      <w:r>
        <w:rPr>
          <w:rFonts w:ascii="Courier New" w:cs="Courier New" w:eastAsia="Courier New" w:hAnsi="Courier New"/>
          <w:b/>
          <w:bCs/>
          <w:color w:val="1B2A4A"/>
          <w:sz w:val="18"/>
          <w:szCs w:val="18"/>
        </w:rPr>
        <w:t xml:space="preserve">§19.8.b  </w:t>
      </w:r>
      <w:r>
        <w:rPr>
          <w:rFonts w:ascii="Garamond" w:cs="Garamond" w:eastAsia="Garamond" w:hAnsi="Garamond"/>
          <w:b/>
          <w:bCs/>
          <w:i w:val="false"/>
          <w:iCs w:val="false"/>
          <w:color w:val="1B2A4A"/>
          <w:sz w:val="22"/>
          <w:szCs w:val="22"/>
        </w:rPr>
        <w:t xml:space="preserve">Interim Functions and First Nomination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joint Inspectorate panel performs interim MA fiscal certification functions from Phase 4 activation until the first MA Director takes office following the Phase 3 election. These interim certifications carry full constitutional weight. The first PM must nominate MA board members within 90 days of Phase 4 activation and an RSA Director within 180 days.</w:t>
      </w:r>
    </w:p>
    <w:p>
      <w:pPr>
        <w:spacing w:after="60" w:before="200"/>
        <w:ind w:left="431"/>
        <w:jc w:val="left"/>
      </w:pPr>
      <w:r>
        <w:rPr>
          <w:rFonts w:ascii="Courier New" w:cs="Courier New" w:eastAsia="Courier New" w:hAnsi="Courier New"/>
          <w:b/>
          <w:bCs/>
          <w:color w:val="1B2A4A"/>
          <w:sz w:val="18"/>
          <w:szCs w:val="18"/>
        </w:rPr>
        <w:t xml:space="preserve">§19.9  </w:t>
      </w:r>
      <w:r>
        <w:rPr>
          <w:rFonts w:ascii="Garamond" w:cs="Garamond" w:eastAsia="Garamond" w:hAnsi="Garamond"/>
          <w:b/>
          <w:bCs/>
          <w:i w:val="false"/>
          <w:iCs w:val="false"/>
          <w:color w:val="1B2A4A"/>
          <w:sz w:val="22"/>
          <w:szCs w:val="22"/>
        </w:rPr>
        <w:t xml:space="preserve">Transitional Accountability Mechanism</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ratifying polity's predecessor government has documented constitutional violations — systematic rights abuses, documented atrocities — the Republic may establish a Transitional Accountability Mechanism by statute. The TAM is time-limited, non-criminal (it cannot impose criminal sentences), and subject to NRS publication. It is the constitutional answer to how a new Republic deals with the wrongs of what it replaced.</w:t>
      </w:r>
    </w:p>
    <w:p>
      <w:pPr>
        <w:spacing w:after="60" w:before="200"/>
        <w:ind w:left="431"/>
        <w:jc w:val="left"/>
      </w:pPr>
      <w:r>
        <w:rPr>
          <w:rFonts w:ascii="Courier New" w:cs="Courier New" w:eastAsia="Courier New" w:hAnsi="Courier New"/>
          <w:b/>
          <w:bCs/>
          <w:color w:val="1B2A4A"/>
          <w:sz w:val="18"/>
          <w:szCs w:val="18"/>
        </w:rPr>
        <w:t xml:space="preserve">§19.9.a  </w:t>
      </w:r>
      <w:r>
        <w:rPr>
          <w:rFonts w:ascii="Garamond" w:cs="Garamond" w:eastAsia="Garamond" w:hAnsi="Garamond"/>
          <w:b/>
          <w:bCs/>
          <w:i w:val="false"/>
          <w:iCs w:val="false"/>
          <w:color w:val="1B2A4A"/>
          <w:sz w:val="22"/>
          <w:szCs w:val="22"/>
        </w:rPr>
        <w:t xml:space="preserve">TAM Establishment and Scope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Transitional Accountability Mechanism investigates, documents, and recommends remedies for serious violations committed by predecessor government entities during the period before ratification. Its jurisdiction is bounded to predecessor-era conduct — it does not adjudicate Republic-era acts, which fall to ordinary courts. Findings are published to the NRS and may recommend criminal referrals, institutional restructuring, or reparative measures, but carry no binding force.</w:t>
      </w:r>
    </w:p>
    <w:p>
      <w:pPr>
        <w:spacing w:after="60" w:before="200"/>
        <w:ind w:left="431"/>
        <w:jc w:val="left"/>
      </w:pPr>
      <w:r>
        <w:rPr>
          <w:rFonts w:ascii="Courier New" w:cs="Courier New" w:eastAsia="Courier New" w:hAnsi="Courier New"/>
          <w:b/>
          <w:bCs/>
          <w:color w:val="1B2A4A"/>
          <w:sz w:val="18"/>
          <w:szCs w:val="18"/>
        </w:rPr>
        <w:t xml:space="preserve">§19.9.b  </w:t>
      </w:r>
      <w:r>
        <w:rPr>
          <w:rFonts w:ascii="Garamond" w:cs="Garamond" w:eastAsia="Garamond" w:hAnsi="Garamond"/>
          <w:b/>
          <w:bCs/>
          <w:i w:val="false"/>
          <w:iCs w:val="false"/>
          <w:color w:val="1B2A4A"/>
          <w:sz w:val="22"/>
          <w:szCs w:val="22"/>
        </w:rPr>
        <w:t xml:space="preserve">TAM Amendment and Successor Bar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w:t>
      </w:r>
    </w:p>
    <w:p>
      <w:pPr>
        <w:spacing w:after="60" w:before="200"/>
        <w:ind w:left="431"/>
        <w:jc w:val="left"/>
      </w:pPr>
      <w:r>
        <w:rPr>
          <w:rFonts w:ascii="Courier New" w:cs="Courier New" w:eastAsia="Courier New" w:hAnsi="Courier New"/>
          <w:b/>
          <w:bCs/>
          <w:color w:val="1B2A4A"/>
          <w:sz w:val="18"/>
          <w:szCs w:val="18"/>
        </w:rPr>
        <w:t xml:space="preserve">§19.9.c  </w:t>
      </w:r>
      <w:r>
        <w:rPr>
          <w:rFonts w:ascii="Garamond" w:cs="Garamond" w:eastAsia="Garamond" w:hAnsi="Garamond"/>
          <w:b/>
          <w:bCs/>
          <w:i w:val="false"/>
          <w:iCs w:val="false"/>
          <w:color w:val="1B2A4A"/>
          <w:sz w:val="22"/>
          <w:szCs w:val="22"/>
        </w:rPr>
        <w:t xml:space="preserve">TAM Jurisdiction and Publication Limits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200"/>
        <w:ind w:left="431"/>
        <w:jc w:val="left"/>
      </w:pPr>
      <w:r>
        <w:rPr>
          <w:rFonts w:ascii="Courier New" w:cs="Courier New" w:eastAsia="Courier New" w:hAnsi="Courier New"/>
          <w:b/>
          <w:bCs/>
          <w:color w:val="1B2A4A"/>
          <w:sz w:val="18"/>
          <w:szCs w:val="18"/>
        </w:rPr>
        <w:t xml:space="preserve">§19.9.d  </w:t>
      </w:r>
      <w:r>
        <w:rPr>
          <w:rFonts w:ascii="Garamond" w:cs="Garamond" w:eastAsia="Garamond" w:hAnsi="Garamond"/>
          <w:b/>
          <w:bCs/>
          <w:i w:val="false"/>
          <w:iCs w:val="false"/>
          <w:color w:val="1B2A4A"/>
          <w:sz w:val="22"/>
          <w:szCs w:val="22"/>
        </w:rPr>
        <w:t xml:space="preserve">TAM Sunset and Rationale</w:t>
      </w:r>
    </w:p>
    <w:p>
      <w:pPr>
        <w:spacing w:after="120" w:before="0"/>
        <w:ind w:left="431"/>
        <w:jc w:val="both"/>
      </w:pPr>
      <w:r>
        <w:rPr>
          <w:rFonts w:ascii="Garamond" w:cs="Garamond" w:eastAsia="Garamond" w:hAnsi="Garamond"/>
          <w:b w:val="false"/>
          <w:bCs w:val="false"/>
          <w:i w:val="false"/>
          <w:iCs w:val="false"/>
          <w:color w:val="2a252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account for what was done in the name of that predecessor state.</w:t>
      </w:r>
    </w:p>
    <w:p>
      <w:pPr>
        <w:spacing w:after="60" w:before="200"/>
        <w:jc w:val="left"/>
      </w:pPr>
      <w:r>
        <w:rPr>
          <w:rFonts w:ascii="Garamond" w:cs="Garamond" w:eastAsia="Garamond" w:hAnsi="Garamond"/>
          <w:b/>
          <w:bCs/>
          <w:i w:val="false"/>
          <w:iCs w:val="false"/>
          <w:color w:val="1B2A4A"/>
          <w:sz w:val="34"/>
          <w:szCs w:val="34"/>
        </w:rPr>
        <w:t xml:space="preserve">Article XX — Associated Communities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§20.1  </w:t>
      </w:r>
      <w:r>
        <w:rPr>
          <w:rFonts w:ascii="Garamond" w:cs="Garamond" w:eastAsia="Garamond" w:hAnsi="Garamond"/>
          <w:b/>
          <w:bCs/>
          <w:i w:val="false"/>
          <w:iCs w:val="false"/>
          <w:color w:val="1B2A4A"/>
          <w:sz w:val="22"/>
          <w:szCs w:val="22"/>
        </w:rPr>
        <w:t xml:space="preserve">Associated Community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Exclusively for sovereign entities — not a form of State or Territory status, not transitional, not incorporation. Available to nations that have completed the independence process under §15.4.a and §13.4, to independent nations outside the Republic seeking a defined relationship, or to nations recognised as pre-existing sovereigns under Article XIV.</w:t>
      </w:r>
    </w:p>
    <w:p>
      <w:pPr>
        <w:spacing w:after="60" w:before="200"/>
        <w:ind w:left="431"/>
        <w:jc w:val="left"/>
      </w:pPr>
      <w:r>
        <w:rPr>
          <w:rFonts w:ascii="Courier New" w:cs="Courier New" w:eastAsia="Courier New" w:hAnsi="Courier New"/>
          <w:b/>
          <w:bCs/>
          <w:color w:val="1B2A4A"/>
          <w:sz w:val="18"/>
          <w:szCs w:val="18"/>
        </w:rPr>
        <w:t xml:space="preserve">§20.2  </w:t>
      </w:r>
      <w:r>
        <w:rPr>
          <w:rFonts w:ascii="Garamond" w:cs="Garamond" w:eastAsia="Garamond" w:hAnsi="Garamond"/>
          <w:b/>
          <w:bCs/>
          <w:i w:val="false"/>
          <w:iCs w:val="false"/>
          <w:color w:val="1B2A4A"/>
          <w:sz w:val="22"/>
          <w:szCs w:val="22"/>
        </w:rPr>
        <w:t xml:space="preserve">Compact Terms and Equal Sovereignty</w:t>
      </w:r>
    </w:p>
    <w:p>
      <w:pPr>
        <w:spacing w:after="120" w:before="0"/>
        <w:ind w:left="431"/>
        <w:jc w:val="both"/>
      </w:pPr>
      <w:r>
        <w:rPr>
          <w:rFonts w:ascii="Garamond" w:cs="Garamond" w:eastAsia="Garamond" w:hAnsi="Garamond"/>
          <w:b w:val="false"/>
          <w:bCs w:val="false"/>
          <w:i w:val="false"/>
          <w:iCs w:val="false"/>
          <w:color w:val="2a2520"/>
          <w:sz w:val="22"/>
          <w:szCs w:val="22"/>
        </w:rPr>
        <w:t xml:space="preserve">Equal parties; neither constitutionally superior. Observing delegates attend House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jc w:val="left"/>
      </w:pPr>
      <w:r>
        <w:rPr>
          <w:rFonts w:ascii="Courier New" w:cs="Courier New" w:eastAsia="Courier New" w:hAnsi="Courier New"/>
          <w:b/>
          <w:bCs/>
          <w:color w:val="1B2A4A"/>
          <w:sz w:val="18"/>
          <w:szCs w:val="18"/>
        </w:rPr>
        <w:t xml:space="preserve">§20.3  </w:t>
      </w:r>
      <w:r>
        <w:rPr>
          <w:rFonts w:ascii="Garamond" w:cs="Garamond" w:eastAsia="Garamond" w:hAnsi="Garamond"/>
          <w:b/>
          <w:bCs/>
          <w:i w:val="false"/>
          <w:iCs w:val="false"/>
          <w:color w:val="1B2A4A"/>
          <w:sz w:val="22"/>
          <w:szCs w:val="22"/>
        </w:rPr>
        <w:t xml:space="preserve">Compact Conditions and Compliance</w:t>
      </w:r>
    </w:p>
    <w:p>
      <w:pPr>
        <w:spacing w:after="120" w:before="0"/>
        <w:ind w:left="431"/>
        <w:jc w:val="both"/>
      </w:pPr>
      <w:r>
        <w:rPr>
          <w:rFonts w:ascii="Garamond" w:cs="Garamond" w:eastAsia="Garamond" w:hAnsi="Garamond"/>
          <w:b w:val="false"/>
          <w:bCs w:val="false"/>
          <w:i w:val="false"/>
          <w:iCs w:val="false"/>
          <w:color w:val="2a2520"/>
          <w:sz w:val="22"/>
          <w:szCs w:val="22"/>
        </w:rPr>
        <w:t xml:space="preserve">No compact may be entered or ratified with any entity whose governance practices include, authorise, or systematically permit violations of any of the six non-derogable rights established in §1.26.b to any person within its jurisdiction. The Judicial Inspectorate certifies compliance with this condition before parliamentary ratification of any compact; a compact negotiated with a non-compliant entity is void regardless of parliamentary ratification. The JI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period the Legislature defines by statute.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During suspension, both parties' obligations under the compact continue in effect pending the SC's determination; the Associated Community's observer delegate rights are suspended for the duration of the review.</w:t>
      </w:r>
    </w:p>
    <w:p>
      <w:pPr>
        <w:spacing w:after="60" w:before="200"/>
        <w:ind w:left="431"/>
        <w:jc w:val="left"/>
      </w:pPr>
      <w:r>
        <w:rPr>
          <w:rFonts w:ascii="Courier New" w:cs="Courier New" w:eastAsia="Courier New" w:hAnsi="Courier New"/>
          <w:b/>
          <w:bCs/>
          <w:color w:val="1B2A4A"/>
          <w:sz w:val="18"/>
          <w:szCs w:val="18"/>
        </w:rPr>
        <w:t xml:space="preserve">§20.4  </w:t>
      </w:r>
      <w:r>
        <w:rPr>
          <w:rFonts w:ascii="Garamond" w:cs="Garamond" w:eastAsia="Garamond" w:hAnsi="Garamond"/>
          <w:b/>
          <w:bCs/>
          <w:i w:val="false"/>
          <w:iCs w:val="false"/>
          <w:color w:val="1B2A4A"/>
          <w:sz w:val="22"/>
          <w:szCs w:val="22"/>
        </w:rPr>
        <w:t xml:space="preserve">Sovereign Mobility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Republic receives written notice of termination,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pPr>
        <w:spacing w:after="60" w:before="200"/>
        <w:ind w:left="431"/>
        <w:jc w:val="left"/>
      </w:pPr>
      <w:r>
        <w:rPr>
          <w:rFonts w:ascii="Courier New" w:cs="Courier New" w:eastAsia="Courier New" w:hAnsi="Courier New"/>
          <w:b/>
          <w:bCs/>
          <w:color w:val="1B2A4A"/>
          <w:sz w:val="18"/>
          <w:szCs w:val="18"/>
        </w:rPr>
        <w:t xml:space="preserve">§20.5  </w:t>
      </w:r>
      <w:r>
        <w:rPr>
          <w:rFonts w:ascii="Garamond" w:cs="Garamond" w:eastAsia="Garamond" w:hAnsi="Garamond"/>
          <w:b/>
          <w:bCs/>
          <w:i w:val="false"/>
          <w:iCs w:val="false"/>
          <w:color w:val="1B2A4A"/>
          <w:sz w:val="22"/>
          <w:szCs w:val="22"/>
        </w:rPr>
        <w:t xml:space="preserve">Reciprocal Obligations and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p>
      <w:pPr>
        <w:spacing w:after="60" w:before="200"/>
        <w:ind w:left="431"/>
        <w:jc w:val="left"/>
      </w:pPr>
      <w:r>
        <w:rPr>
          <w:rFonts w:ascii="Courier New" w:cs="Courier New" w:eastAsia="Courier New" w:hAnsi="Courier New"/>
          <w:b/>
          <w:bCs/>
          <w:color w:val="1B2A4A"/>
          <w:sz w:val="18"/>
          <w:szCs w:val="18"/>
        </w:rPr>
        <w:t xml:space="preserve">§20.6  </w:t>
      </w:r>
      <w:r>
        <w:rPr>
          <w:rFonts w:ascii="Garamond" w:cs="Garamond" w:eastAsia="Garamond" w:hAnsi="Garamond"/>
          <w:b/>
          <w:bCs/>
          <w:i w:val="false"/>
          <w:iCs w:val="false"/>
          <w:color w:val="1B2A4A"/>
          <w:sz w:val="22"/>
          <w:szCs w:val="22"/>
        </w:rPr>
        <w:t xml:space="preserve">Compact Ratification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compact with an Associated Community requires Senate ratification by 2/3 of full seated membership, consistent with the treaty ratification threshold under §3.2.e. Both executives must transmit the proposed compact to the Senate simultaneously with a joint assessment of its consistency with this Article. The JI certification under §20.3 must be published to the NRS before the Senate may hold a ratification vote.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pPr>
        <w:spacing w:after="60" w:before="200"/>
        <w:ind w:left="431"/>
        <w:jc w:val="left"/>
      </w:pPr>
      <w:r>
        <w:rPr>
          <w:rFonts w:ascii="Courier New" w:cs="Courier New" w:eastAsia="Courier New" w:hAnsi="Courier New"/>
          <w:b/>
          <w:bCs/>
          <w:color w:val="1B2A4A"/>
          <w:sz w:val="18"/>
          <w:szCs w:val="18"/>
        </w:rPr>
        <w:t xml:space="preserve">§20.7  </w:t>
      </w:r>
      <w:r>
        <w:rPr>
          <w:rFonts w:ascii="Garamond" w:cs="Garamond" w:eastAsia="Garamond" w:hAnsi="Garamond"/>
          <w:b/>
          <w:bCs/>
          <w:i w:val="false"/>
          <w:iCs w:val="false"/>
          <w:color w:val="1B2A4A"/>
          <w:sz w:val="22"/>
          <w:szCs w:val="22"/>
        </w:rPr>
        <w:t xml:space="preserve">Compact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6"/>
      </w:pBdr>
      <w:tabs>
        <w:tab w:val="right" w:pos="9026"/>
      </w:tabs>
      <w:spacing w:before="120"/>
    </w:pPr>
    <w:r>
      <w:rPr>
        <w:rFonts w:ascii="Courier New" w:cs="Courier New" w:eastAsia="Courier New" w:hAnsi="Courier New"/>
        <w:b w:val="false"/>
        <w:bCs w:val="false"/>
        <w:color w:val="7a7060"/>
        <w:sz w:val="16"/>
        <w:szCs w:val="16"/>
      </w:rPr>
      <w:t xml:space="preserve">thefederatedrepublic.org</w:t>
    </w:r>
    <w:r>
      <w:rPr>
        <w:rFonts w:ascii="Courier New" w:cs="Courier New" w:eastAsia="Courier New" w:hAnsi="Courier New"/>
        <w:sz w:val="16"/>
        <w:szCs w:val="16"/>
      </w:rPr>
      <w:t xml:space="preserve">	</w:t>
    </w:r>
    <w:r>
      <w:rPr>
        <w:rFonts w:ascii="Courier New" w:cs="Courier New" w:eastAsia="Courier New" w:hAnsi="Courier New"/>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6"/>
      </w:pBdr>
      <w:spacing w:after="120"/>
    </w:pPr>
    <w:r>
      <w:rPr>
        <w:rFonts w:ascii="Courier New" w:cs="Courier New" w:eastAsia="Courier New" w:hAnsi="Courier New"/>
        <w:b w:val="false"/>
        <w:bCs w:val="false"/>
        <w:color w:val="7a7060"/>
        <w:sz w:val="16"/>
        <w:szCs w:val="16"/>
      </w:rPr>
      <w:t xml:space="preserve">THE FEDERATED REPUBLIC — CONSTITUTION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94051c31ef06174dbc68ab8e9916156b6af92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2026-05-21T11:40:39.328Z</dcterms:created>
  <dcterms:modified xsi:type="dcterms:W3CDTF">2026-05-21T11:40:39.328Z</dcterms:modified>
</cp:coreProperties>
</file>

<file path=docProps/custom.xml><?xml version="1.0" encoding="utf-8"?>
<Properties xmlns="http://schemas.openxmlformats.org/officeDocument/2006/custom-properties" xmlns:vt="http://schemas.openxmlformats.org/officeDocument/2006/docPropsVTypes"/>
</file>