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capital sentence imposed by a unanimous jury following conviction for the most serious crimes as defined by House statute. No executive may order the deliberate killing of any Inhabitant outside of active armed conflict governed by Article XII. This right admits no emergency derogation. A capital sentence lawfully imposed and carried out under this section does not constitute cruel, degrading, or inhumane punishment within the meaning of §1.2.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2.1.i Presidential Officer Appointments and Removal: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CLT Administrator (§5.4.b), the RSA Director (§9.3), the National Trust Administrator (§17.4.g), and Monetary Authority board members (§10.4.a).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000000"/>
          <w:sz w:val="22"/>
          <w:szCs w:val="22"/>
        </w:rPr>
        <w:t xml:space="preserve">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dissolution, and post-dissolution election bar provisions of §2.3 operate independently of this term limit. A member who reaches the 6-term limit and whose cooling-off period coincides with a caretaker period serves the term-limit cooling-off from the later start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Supreme Court's most senior justice — defined as the justice who has served longest on the current Court, with the eldest by age as the tiebreaker — presides over the Senate trial, unless that justice is the subject of the proceedings, in which case the Senate Speaker presides.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scheduled vote on a bill or resolution that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commissions all confirmed judges. If the House fails to vote on any nomination within the Legislature-defined confirmation period, the nominee is Deemed Confirmed and the Supreme Court commissions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4.1.d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§4.1.c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4.1.c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One seat is elected every two years on the National Election Day to ensure staggered renewal.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the judgment is facially contrary to a fundamental right guaranteed by Article I; or enforcement would require an act the Legislature has defined by statute as categorically unenforceable. These grounds are exhaustive — a State or Territory court may not create additional bases for non-recognition.</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the Legislature must by statute define what constitutes a final judgment for each category of judicial proceeding covered by §4.4.a. Until the Legislature acts on any category, a judgment is final for purposes of §4.4.a if it is not subject to an automatic stay under the issuing State or Territory's procedural law, regardless of whether an appeal is pending. the Legislature must also by statute define the permissible scope of State supplementary requirements under §4.4.c, establishing: a presumption against any supplementary requirement; a permitted category of State-specific regulatory orientation that does not duplicate competency already certified by the issuing State; a maximum cumulative burden on the recognizing professional; and an expedited challenge mechanism for professionals whose license recognition is contested. the Legislature must enact both statutes within three years of this section's ratification. the Legislature must also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Any change that raises the standard requires a simple majority of the Senate. Any change that lowers the standard — reducing the knowledge required or the passing threshold — requires a 2/3 supermajority of the Senate. This asymmetry ensures that degradation of the standard is structurally harder than improvement. The Senate may not lower the CLT below the minimum civic knowledge required to understand the structure, powers, limits, and rights of this Constitution. Before any Senate statute that lowers the CLT standard takes effect, the CLT Administrator must publish a certification to the National Record System assessing whether the proposed change meets the constitutional floor — the minimum civic knowledge required to understand the structure, powers, limits, and rights of this Constitution. If the Administrator certifies non-compliance, the statute does not take effect until the Supreme Court reviews the Administrator's finding and either confirms it or determines the proposed standard meets the constitutional floor. The Administrator certifies; the Court reviews the certification for constitutional consistency. The Court does not define the specific content categories of the CLT — that determination belongs to the Administrator. A pre-enactment certification issued by an acting CLT Administrator carries full constitutional weight. The Senate may file an expedited constitutional challenge to the certification within 30 days of its publication to the NRS; the Supreme Court must rule within 14 days of such a challenge. The proposed standard does not take effect until either the 30-day challenge period expires without a Senate challenge or the Court upholds the certification on expedited review.</w:t>
      </w:r>
    </w:p>
    <w:p>
      <w:pPr>
        <w:spacing w:after="60" w:before="60" w:line="280" w:lineRule="auto"/>
        <w:jc w:val="both"/>
      </w:pPr>
      <w:r>
        <w:rPr>
          <w:rFonts w:ascii="Times New Roman" w:cs="Times New Roman" w:eastAsia="Times New Roman" w:hAnsi="Times New Roman"/>
          <w:b/>
          <w:bCs/>
          <w:color w:val="1B2A4A"/>
          <w:sz w:val="22"/>
          <w:szCs w:val="22"/>
        </w:rPr>
        <w:t xml:space="preserve">5.4.b CLT Administrator: </w:t>
      </w:r>
      <w:r>
        <w:rPr>
          <w:rFonts w:ascii="Times New Roman" w:cs="Times New Roman" w:eastAsia="Times New Roman" w:hAnsi="Times New Roman"/>
          <w:color w:val="000000"/>
          <w:sz w:val="22"/>
          <w:szCs w:val="22"/>
        </w:rPr>
        <w:t xml:space="preserve">The Constitutional Logic Test is administered by a CLT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w:t>
      </w:r>
    </w:p>
    <w:p>
      <w:pPr>
        <w:spacing w:after="60" w:before="60" w:line="280" w:lineRule="auto"/>
        <w:jc w:val="both"/>
      </w:pPr>
      <w:r>
        <w:rPr>
          <w:rFonts w:ascii="Times New Roman" w:cs="Times New Roman" w:eastAsia="Times New Roman" w:hAnsi="Times New Roman"/>
          <w:b/>
          <w:bCs/>
          <w:color w:val="1B2A4A"/>
          <w:sz w:val="22"/>
          <w:szCs w:val="22"/>
        </w:rPr>
        <w:t xml:space="preserve">Eligibility Criteria: </w:t>
      </w:r>
      <w:r>
        <w:rPr>
          <w:rFonts w:ascii="Times New Roman" w:cs="Times New Roman" w:eastAsia="Times New Roman" w:hAnsi="Times New Roman"/>
          <w:color w:val="000000"/>
          <w:sz w:val="22"/>
          <w:szCs w:val="22"/>
        </w:rPr>
        <w:t xml:space="preserve">CLT Administrator eligibility criteria — candidates must meet all three requirements: (1) no elected or appointed government position in the prior 5 years; (2) no current financial interest in any entity administering educational testing, citizenship assessment, or civic credentialing services; (3) demonstrated expertise in at least one of: psychometrics and assessment design, constitutional law, educational policy, or civic literacy research. These criteria are the constitutional eligibility floor; the Legislature may by statute establish additional qualification requirements consistent with this floor.</w:t>
      </w:r>
    </w:p>
    <w:p>
      <w:pPr>
        <w:spacing w:after="60" w:before="60" w:line="280" w:lineRule="auto"/>
        <w:jc w:val="both"/>
      </w:pPr>
      <w:r>
        <w:rPr>
          <w:rFonts w:ascii="Times New Roman" w:cs="Times New Roman" w:eastAsia="Times New Roman" w:hAnsi="Times New Roman"/>
          <w:b/>
          <w:bCs/>
          <w:color w:val="1B2A4A"/>
          <w:sz w:val="22"/>
          <w:szCs w:val="22"/>
        </w:rPr>
        <w:t xml:space="preserve">EI Disclosure Review: </w:t>
      </w:r>
      <w:r>
        <w:rPr>
          <w:rFonts w:ascii="Times New Roman" w:cs="Times New Roman" w:eastAsia="Times New Roman" w:hAnsi="Times New Roman"/>
          <w:color w:val="000000"/>
          <w:sz w:val="22"/>
          <w:szCs w:val="22"/>
        </w:rPr>
        <w:t xml:space="preserve">The Executive Inspectorate reviews the submitted record for factual accuracy, applies these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w:t>
      </w:r>
    </w:p>
    <w:p>
      <w:pPr>
        <w:spacing w:after="60" w:before="60" w:line="280" w:lineRule="auto"/>
        <w:jc w:val="both"/>
      </w:pPr>
      <w:r>
        <w:rPr>
          <w:rFonts w:ascii="Times New Roman" w:cs="Times New Roman" w:eastAsia="Times New Roman" w:hAnsi="Times New Roman"/>
          <w:b/>
          <w:bCs/>
          <w:color w:val="1B2A4A"/>
          <w:sz w:val="22"/>
          <w:szCs w:val="22"/>
        </w:rPr>
        <w:t xml:space="preserve">Confirmation and Term: </w:t>
      </w:r>
      <w:r>
        <w:rPr>
          <w:rFonts w:ascii="Times New Roman" w:cs="Times New Roman" w:eastAsia="Times New Roman" w:hAnsi="Times New Roman"/>
          <w:color w:val="000000"/>
          <w:sz w:val="22"/>
          <w:szCs w:val="22"/>
        </w:rPr>
        <w:t xml:space="preserve">The CLT Administrator is confirmed by the Senate and serves a single non-renewable 5-year term. The Administrator may not hold any other government position during their term. The Legislative Inspectorate audits CLT administration annually and publishes findings to the National Record System.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w:t>
      </w:r>
    </w:p>
    <w:p>
      <w:pPr>
        <w:spacing w:after="60" w:before="60" w:line="280" w:lineRule="auto"/>
        <w:jc w:val="both"/>
      </w:pPr>
      <w:r>
        <w:rPr>
          <w:rFonts w:ascii="Times New Roman" w:cs="Times New Roman" w:eastAsia="Times New Roman" w:hAnsi="Times New Roman"/>
          <w:b/>
          <w:bCs/>
          <w:color w:val="1B2A4A"/>
          <w:sz w:val="22"/>
          <w:szCs w:val="22"/>
        </w:rPr>
        <w:t xml:space="preserve">Removal: </w:t>
      </w:r>
      <w:r>
        <w:rPr>
          <w:rFonts w:ascii="Times New Roman" w:cs="Times New Roman" w:eastAsia="Times New Roman" w:hAnsi="Times New Roman"/>
          <w:color w:val="000000"/>
          <w:sz w:val="22"/>
          <w:szCs w:val="22"/>
        </w:rPr>
        <w:t xml:space="preserve">Removal of a permanently confirmed CLT Administrator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Mid-Term Vacancy: </w:t>
      </w:r>
      <w:r>
        <w:rPr>
          <w:rFonts w:ascii="Times New Roman" w:cs="Times New Roman" w:eastAsia="Times New Roman" w:hAnsi="Times New Roman"/>
          <w:color w:val="000000"/>
          <w:sz w:val="22"/>
          <w:szCs w:val="22"/>
        </w:rPr>
        <w:t xml:space="preserve">Upon any mid-term vacancy in the confirmed Administrator role — through death, resignation, or removal — the most senior CLT administrative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5-year non-renewable term from the date of confirmation, not merely the remainder of the departed Administrator's term.</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Electoral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State discrimination on §1.8 grounds remains reviewable by the courts on the affected applicant's petition.</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Legislative Inspectorate using the same criteria hierarchy and prohibited inputs that govern House redistricting under §3.4.a and §3.4.b, applied at the regional scale. The LI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reviews State-drawn federal House district maps for compliance (§3.4), and draws presidential election regions (§7.2.c).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000000"/>
          <w:sz w:val="22"/>
          <w:szCs w:val="22"/>
        </w:rPr>
        <w:t xml:space="preserve">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Qualified Jurist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mandate is price stability and fiscal solvency.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15.1.c Citizen-Led Path: </w:t>
      </w:r>
      <w:r>
        <w:rPr>
          <w:rFonts w:ascii="Times New Roman" w:cs="Times New Roman" w:eastAsia="Times New Roman" w:hAnsi="Times New Roman"/>
          <w:color w:val="000000"/>
          <w:sz w:val="22"/>
          <w:szCs w:val="22"/>
        </w:rPr>
        <w:t xml:space="preserve">A national vote conducted through the National Voting System achieving 70% affirmative support with at least 65% citizen participation. If participation exceeds 60% but falls short of 65% and the affirmative vote exceeds 75%, the Judicial Inspectorate may certify the amendment as presumptively valid subject to Supreme Court review within 30 days. The Electoral Commission certifies the result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 xml:space="preserve">The National Trust is administered by a National Trust Administrator nominated by the Prime Minister from a Candidate Register.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