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where the Senate does not affirm within that period, the notice is void and the Legat Consul must resubmit.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The Civic Consul may not nominate a serving Temporary Associate Justice for the seat they are temporarily filling through the ordinary appointment process under this section; this bar does not affect placement on a public confirmation ballot under §4.4.a.</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§16.5;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judicial review by the court with active jurisdiction over the case.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appeal to the courts within 30 days of NRS publication on the sole ground that stated grounds do not correspond to an established eligibility criterion; the applicable court and process are defined by statute.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the Acting member may exercise all authorities of a full member during that period and the appointment does not affect the ordinary process for filling the vacancy permanently.</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courts on the sole ground that the audit findings are factually insufficient to establish three consecutive failures; the court reviews only the factual basis; process and timeline are defined by statute.</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The compact’s arbitration mechanism is the final forum for disputes between the Republic and the Nation arising from compact administration, including constitutional questions of compact interpretation; neither party may seek review of an arbitration determination in the Republic’s courts.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under its original jurisdiction in §4.5; the extension and interim protective order provisions of §4.5 apply.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