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The Legat Consul's veto may be used only once on any bill; a bill reintroduced and passed by both chambers in a subsequent session proceeds without Legat Consul interference. Either Speaker may petition the SC for an expedited domain determination of any disputed veto; the SC must rule within 14 days of such petition; where the SC does not rule within 14 days, the veto is void and the bill proceeds to ordinary enactment without Legat Consul assent.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Senate may override by 2/3 supermajority;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longest-serving Assembly member who otherwise meets the requirements for Civic Consul assumes the role by constitutional operation, published to the NRS; this appointee holds full Civic Consul authority and is subject to removal under §2.6.</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Civic Consul withholds assent from a bill passed by both chambers, the Civic Consul exercises a suspensive veto by returning the bill to the Legislature within 10 business days of final passage with a written statement of objection specifying constitutional, fiscal, or operational grounds, published to the NRS. The bill is tabled for one month from the date of return regardless of any change in the office of Civic Consul. The Senate may override the suspensive veto by 2/3 supermajority during that month; a successfully overridden bill takes effect without Civic Consul assent. Where no Senate override occurs within that month, the bill lapses for that session. The suspensive veto may be used only once on any bill within a session; a bill reintroduced and passed again by both chambers in the same session is not subject to the suspensive veto and returns to the Civic Consul with only the fiscal veto, approval, or automatic enactment by silence available. The Civic Consul may also object on specific solvency grounds — the bill would cause or materially worsen a structural deficit; the Assembly may override a solvency objection by simple majority. If the Civic Consul neither signs nor objects within 10 business days of final passage, the bill is enacted. Silence is not a veto. The suspensive veto may not be used on the annual budget, bills implementing a constitutional obligation, or emergency legislation. Both executives review legislation concurrently from the date of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§13.3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