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§1.5.b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BNF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Administrative Acting Officer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 These are tools of constitutional dialogue, not obstruction; the Legislature retains final authority in both cases.</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 The periods and their interaction are governed by this section.</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pardon power is constitutionally divided and constrained. 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 Both tracks are governed by this section.</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Treaty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through the process established in this section. The default passage standard is an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Redistricting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§3.4.d  </w:t>
      </w:r>
      <w:r>
        <w:rPr>
          <w:rFonts w:ascii="Garamond" w:cs="Garamond" w:eastAsia="Garamond" w:hAnsi="Garamond"/>
          <w:b/>
          <w:bCs/>
          <w:i w:val="false"/>
          <w:iCs w:val="false"/>
          <w:color w:val="1B2A4A"/>
          <w:sz w:val="22"/>
          <w:szCs w:val="22"/>
        </w:rPr>
        <w:t xml:space="preserve">Drawing Authority — Federal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Seats are allocated by the Webster method under §3.1.a, with a minimum of one seat per State. All members serve 2-year terms. The House originates all legislation and fiscal measures and elects the Prime Minister.</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§3.5.c  </w:t>
      </w:r>
      <w:r>
        <w:rPr>
          <w:rFonts w:ascii="Garamond" w:cs="Garamond" w:eastAsia="Garamond" w:hAnsi="Garamond"/>
          <w:b/>
          <w:bCs/>
          <w:i w:val="false"/>
          <w:iCs w:val="false"/>
          <w:color w:val="1B2A4A"/>
          <w:sz w:val="22"/>
          <w:szCs w:val="22"/>
        </w:rPr>
        <w:t xml:space="preserve">House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and is subject to the transparency obligations of this section. Oversight is informational only — the Inspectorates publish findings; they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No statute may lower the CLT below the constitutional literacy floor established by this provision regardless of the majority used; any such statute is void and enforceable by any citizen in court.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circumstances of ratification require a transitional citizenship grant for those who held voting rights at the moment of founding.</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JI Mandate —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selection mechanisms for each Inspector General are detailed in §8.3.a (Legislative IG), §8.3.b (Executive IG), and §8.3.c (term and staggering). The cross-nomination principles are established in §8.2.</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RSA Technical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System Administrator operates the NRS under the oversight of the Legislative Inspectorate. The RSA Director is a statutory independent officer whose independence is protected by §9.5.a. A decennial Technical Integrity Commission reviews whether the NRS architecture continues to meet the constitutional requirements for distributed custody, cryptographic verification, and public accessibility under §9.1.</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RSA Technical Integrity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The Commission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If the LI's annual audit under §9.1.e identifies a critical architectural failure — defined as a finding that the NRS no longer meets the constitutional requirements for tamper-evident operation or distributed custody — the LI may declare an emergency review, triggering an extraordinary Commission draw from the current confirmed pool under §9.3.d. An emergency Commission draw does not reset the decennial clock.</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RSA Technical Pool —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Commission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Commission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Commission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 Where an Emergency RSA Commission has been constituted under §9.3.h since the prior decennial review, the next regularly scheduled decennial Commission must include in its scope a review of the emergency findings — assessing whether the remediation was adequate and making architectural recommendations to prevent recurrence. These findings are published as a dedicated section of the decennial report.</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Emergency RSA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declared an emergency review under §9.3.a, the LI formally alerts the PM and publishes the emergency finding to the NRS. The PM requests each State to nominate one qualified person to an Emergency Technical Pool within 14 days. The LI certifies each nominee's qualifications against the statutory standard established under §9.3.b. All three Inspectorates then conduct a public lottery draw of five members from the certified nominees using the procedure under §9.3.d — the draw is published to the NRS before the session closes. The Emergency Commission's scope is limited to the specific architectural failure identified in the LI's emergency finding; it may not expand its mandate beyond that scope. Findings are published jointly by all three Inspectorates to the NRS upon completion. Senate confirmation is not required for Emergency Commission members; the mandatory Senate accountability session under §9.3.i provides accountability in lieu of confirmation. The Emergency Commission does not trigger a pool reset; the regular decennial pool and clock are unaffected. The Emergency Technical Pool dissolves upon conclusion of the Senate accountability session.</w:t>
      </w:r>
    </w:p>
    <w:p>
      <w:pPr>
        <w:spacing w:after="60" w:before="200"/>
        <w:ind w:left="431"/>
        <w:jc w:val="left"/>
      </w:pPr>
      <w:r>
        <w:rPr>
          <w:rFonts w:ascii="Courier New" w:cs="Courier New" w:eastAsia="Courier New" w:hAnsi="Courier New"/>
          <w:b/>
          <w:bCs/>
          <w:color w:val="1B2A4A"/>
          <w:sz w:val="18"/>
          <w:szCs w:val="18"/>
        </w:rPr>
        <w:t xml:space="preserve">§9.3.i  </w:t>
      </w:r>
      <w:r>
        <w:rPr>
          <w:rFonts w:ascii="Garamond" w:cs="Garamond" w:eastAsia="Garamond" w:hAnsi="Garamond"/>
          <w:b/>
          <w:bCs/>
          <w:i w:val="false"/>
          <w:iCs w:val="false"/>
          <w:color w:val="1B2A4A"/>
          <w:sz w:val="22"/>
          <w:szCs w:val="22"/>
        </w:rPr>
        <w:t xml:space="preserve">Emergency Commission Senate Accountability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Emergency Commission's appointment under §9.3.h, the Senate must schedule a mandatory public accountability session. The session must occur within 90 days of the Emergency Commission's appointment. Emergency Commission members appear before the Senate, present their findings, and respond to questions from senators. The session is published in full to the NRS. Failure to schedule the session within 30 days of appointment is a constitutional compliance breach certified by the LI and published to the NRS. The Senate accountability session provides the legitimacy in lieu of Senate confirmation — the Commission's findings carry full constitutional weight upon NRS publication regardless of whether the session has yet occurred.</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NRS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administered by a technically independent office under LI oversight.</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i w:val="false"/>
          <w:iCs w:val="false"/>
          <w:color w:val="1B2A4A"/>
          <w:sz w:val="22"/>
          <w:szCs w:val="22"/>
        </w:rPr>
        <w:t xml:space="preserve">NRS Staffing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Basic Needs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BNF Funding Reserve</w:t>
      </w:r>
    </w:p>
    <w:p>
      <w:pPr>
        <w:spacing w:after="120" w:before="0"/>
        <w:ind w:left="431"/>
        <w:jc w:val="both"/>
      </w:pPr>
      <w:r>
        <w:rPr>
          <w:rFonts w:ascii="Garamond" w:cs="Garamond" w:eastAsia="Garamond" w:hAnsi="Garamond"/>
          <w:b w:val="false"/>
          <w:bCs w:val="false"/>
          <w:i w:val="false"/>
          <w:iCs w:val="false"/>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BNF Adequacy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BNF Coverage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BNF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BNF Administration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431"/>
        <w:jc w:val="left"/>
      </w:pPr>
      <w:r>
        <w:rPr>
          <w:rFonts w:ascii="Courier New" w:cs="Courier New" w:eastAsia="Courier New" w:hAnsi="Courier New"/>
          <w:b/>
          <w:bCs/>
          <w:color w:val="1B2A4A"/>
          <w:sz w:val="18"/>
          <w:szCs w:val="18"/>
        </w:rPr>
        <w:t xml:space="preserve">§10.1.f  </w:t>
      </w:r>
      <w:r>
        <w:rPr>
          <w:rFonts w:ascii="Garamond" w:cs="Garamond" w:eastAsia="Garamond" w:hAnsi="Garamond"/>
          <w:b/>
          <w:bCs/>
          <w:i w:val="false"/>
          <w:iCs w:val="false"/>
          <w:color w:val="1B2A4A"/>
          <w:sz w:val="22"/>
          <w:szCs w:val="22"/>
        </w:rPr>
        <w:t xml:space="preserve">Severe Revenue Contraction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431"/>
        <w:jc w:val="left"/>
      </w:pPr>
      <w:r>
        <w:rPr>
          <w:rFonts w:ascii="Courier New" w:cs="Courier New" w:eastAsia="Courier New" w:hAnsi="Courier New"/>
          <w:b/>
          <w:bCs/>
          <w:color w:val="1B2A4A"/>
          <w:sz w:val="18"/>
          <w:szCs w:val="18"/>
        </w:rPr>
        <w:t xml:space="preserve">§10.1.g  </w:t>
      </w:r>
      <w:r>
        <w:rPr>
          <w:rFonts w:ascii="Garamond" w:cs="Garamond" w:eastAsia="Garamond" w:hAnsi="Garamond"/>
          <w:b/>
          <w:bCs/>
          <w:i w:val="false"/>
          <w:iCs w:val="false"/>
          <w:color w:val="1B2A4A"/>
          <w:sz w:val="22"/>
          <w:szCs w:val="22"/>
        </w:rPr>
        <w:t xml:space="preserve">BNF and Emergency Declarations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Electoral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Electoral Commission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Electoral Commission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Electoral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Campaign Funding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431"/>
        <w:jc w:val="left"/>
      </w:pPr>
      <w:r>
        <w:rPr>
          <w:rFonts w:ascii="Courier New" w:cs="Courier New" w:eastAsia="Courier New" w:hAnsi="Courier New"/>
          <w:b/>
          <w:bCs/>
          <w:color w:val="1B2A4A"/>
          <w:sz w:val="18"/>
          <w:szCs w:val="18"/>
        </w:rPr>
        <w:t xml:space="preserve">§16.5.b  </w:t>
      </w:r>
      <w:r>
        <w:rPr>
          <w:rFonts w:ascii="Garamond" w:cs="Garamond" w:eastAsia="Garamond" w:hAnsi="Garamond"/>
          <w:b/>
          <w:bCs/>
          <w:i w:val="false"/>
          <w:iCs w:val="false"/>
          <w:color w:val="1B2A4A"/>
          <w:sz w:val="22"/>
          <w:szCs w:val="22"/>
        </w:rPr>
        <w:t xml:space="preserve">JI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431"/>
        <w:jc w:val="left"/>
      </w:pPr>
      <w:r>
        <w:rPr>
          <w:rFonts w:ascii="Courier New" w:cs="Courier New" w:eastAsia="Courier New" w:hAnsi="Courier New"/>
          <w:b/>
          <w:bCs/>
          <w:color w:val="1B2A4A"/>
          <w:sz w:val="18"/>
          <w:szCs w:val="18"/>
        </w:rPr>
        <w:t xml:space="preserve">§16.5.c  </w:t>
      </w:r>
      <w:r>
        <w:rPr>
          <w:rFonts w:ascii="Garamond" w:cs="Garamond" w:eastAsia="Garamond" w:hAnsi="Garamond"/>
          <w:b/>
          <w:bCs/>
          <w:i w:val="false"/>
          <w:iCs w:val="false"/>
          <w:color w:val="1B2A4A"/>
          <w:sz w:val="22"/>
          <w:szCs w:val="22"/>
        </w:rPr>
        <w:t xml:space="preserve">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431"/>
        <w:jc w:val="left"/>
      </w:pPr>
      <w:r>
        <w:rPr>
          <w:rFonts w:ascii="Courier New" w:cs="Courier New" w:eastAsia="Courier New" w:hAnsi="Courier New"/>
          <w:b/>
          <w:bCs/>
          <w:color w:val="1B2A4A"/>
          <w:sz w:val="18"/>
          <w:szCs w:val="18"/>
        </w:rPr>
        <w:t xml:space="preserve">§16.5.d  </w:t>
      </w:r>
      <w:r>
        <w:rPr>
          <w:rFonts w:ascii="Garamond" w:cs="Garamond" w:eastAsia="Garamond" w:hAnsi="Garamond"/>
          <w:b/>
          <w:bCs/>
          <w:i w:val="false"/>
          <w:iCs w:val="false"/>
          <w:color w:val="1B2A4A"/>
          <w:sz w:val="22"/>
          <w:szCs w:val="22"/>
        </w:rPr>
        <w:t xml:space="preserve">Mid-Term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Electoral Commission Technical Deadlock</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2026-05-21T04:36:04.268Z</dcterms:created>
  <dcterms:modified xsi:type="dcterms:W3CDTF">2026-05-21T04:36:04.278Z</dcterms:modified>
</cp:coreProperties>
</file>

<file path=docProps/custom.xml><?xml version="1.0" encoding="utf-8"?>
<Properties xmlns="http://schemas.openxmlformats.org/officeDocument/2006/custom-properties" xmlns:vt="http://schemas.openxmlformats.org/officeDocument/2006/docPropsVTypes"/>
</file>