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§1.5.b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circumstances of ratification require a transitional citizenship grant for those who held voting rights at the moment of founding.</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2026-05-21T11:28:23.700Z</dcterms:created>
  <dcterms:modified xsi:type="dcterms:W3CDTF">2026-05-21T11:28:23.711Z</dcterms:modified>
</cp:coreProperties>
</file>

<file path=docProps/custom.xml><?xml version="1.0" encoding="utf-8"?>
<Properties xmlns="http://schemas.openxmlformats.org/officeDocument/2006/custom-properties" xmlns:vt="http://schemas.openxmlformats.org/officeDocument/2006/docPropsVTypes"/>
</file>