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and treaty negotiation;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request an EM assessment of whether the veto falls within the Legat Consul's defined domain; the EM publishes its finding to the NRS within 48 hours. Where the EM publishes a finding that the veto falls outside the Legat Consul's defined domain, either Speaker may petition the SC for an expedited domain determination; the SC must rule within 48 hours of such petition.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 certifies candidates meeting those standards and maintains the pool as a public NRS record. The Civic Consul nominates the agency director from the certified pool only; a nomination outside the certified pool is constitutionally void. The Senate confirms by 2/3 supermajority within 90 days of the JM publishing the nominee’s pool certification to the NRS; failure to act within that period is a constitutional compliance breach reported by the LM. Where the Senate has not acted within 30 days of the LM compliance breach report, the Senate may select a nominee directly from the certified pool by 2/3 vote of full seated membership; a Senate selection under this provision requires no further Civic Consul nomination and proceeds directly to confirmation.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with eligibility certified by the JM under §9.4.b — any eligible citizen who applies and meets the qualification criteria is entered. The Civic Consul nominates within the period defined by statute following a vacancy (not to exceed 90 days for anticipated vacancies, 60 days for unanticipated vacancies). The JM confirms registry status and publishes the nominee's full record. The Senate must vote within the period defined by statute following JM publication of the nominee's record (not to exceed 120 days);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Legat Consul must ministerially issue residency credentials; Interference with credential issuance by the Legat Consul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Only the Elections Panel may certify that conditions have normalized sufficiently for elections to proceed; the postponement lapses and elections must be held immediately upon that certification. No further postponement may be granted without a new Elections Panel certification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 Failure of a Monitor to act does not extinguish constitutional authority or suspend any constitutional obligation, unless this Constitution explicitly provides otherwise.</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mandate is procedural neutrality: ensuring that all functions requiring independence from political bias are conducted under an impartial constitutional authority.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JM certifies the eligibility of each applicant against the stated criteria and publishes its certification to the NRS as part of the registry entry. The EM reviews each applicant's financial disclosure for factual accuracy and publishes findings to the NRS alongside the JM certification. The Elections Panel includes an applicant in the registry upon JM certification; it may not exclude a JM-certified applicant. Registry inclusion does not expire unless the JM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Monitor. The appropriate Monitor reviews each applicant against the qualification requirements for that registry or pool and publishes a certification to the NRS. Where an office involves significant financial authority, the EM reviews financial disclosure concurrently.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60 days.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neither panel holds legislative, executive, judicial, or policy authority.</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and maintain the public campaign financing system under §8.3 within the period defined by statute following the first Legislature convening; failure to do so is a constitutional compliance breach reported by the LM.</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determines whether a post-service engagement falls within this restriction and the officer bears the burden of demonstrating it does not.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The Endowment operates independently of the annual budget process. The Legislature must establish an Endowment Administrator as an independent agency under §3.9; failure to do so is a constitutional compliance breach reported by the LM. The Administrator’s sole mandate is to preserve and grow the Endowment for social state backstop purposes; it may not be directed to any other goal. Disbursements are activated on Monetary Authority certification of Severe Revenue Contraction and continue until the Monetary Authority certifies the contraction has ended. The EM audits the Administrator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LM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Legat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60 days.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the Monetary Authority under §12.1, within 180 days; the Endowment Administrator under §12.5, within 12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