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Consul, a person must have been a citizen for at least 7 years at the time of taking office and must hold no federal felony conviction. No other eligibility requirement applies. The Consul holds enumerated authority over: military command and force employment; foreign affairs and treaty negotiation; intelligence; trade agreements subject to §2.4; and appointments within the presidential domain.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Consul's domain governs operational decisions; either executive may petition the SC for an expedited domain determination. The Consul serves a single non-renewable term of four years. Upon expiration of the term, all authority transfers immediately to the incoming Consul. The outgoing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may use military force in immediate response to an active or imminent attack on Republic territory, citizens abroad, or treaty allies. Beyond immediate response, all use of military force requires legislative authorization. The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directs foreign intelligence. No intelligence operation may be conducted against Republic citizens within Republic territory on the Consul's authority; such operations require independent judicial authorization. The EM reports any order authorizing domestic intelligence operations without judicial authorization to the NRS. The Consul may veto legislation that raises a genuine constitutional concern within the Consul's security domain — military operations, intelligence, treaty obligations, or border security. A general or speculative security connection is insufficient. Either Speaker may request an EM assessment of whether the veto falls within the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Consul's sole authority. Where Civic Consul concurrence is withheld on a specific provision, that provision may be transmitted to the Assembly as ordinary legislation while the remaining agreement proceeds to Senate ratification independently. The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presidential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House approval at intervals defined by statute. The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House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No person may serve more than 8 consecutive years as Civic Consul, and no more than 12 years in total across all periods of service. Both limits operate simultaneously; the stricter governs at any given moment. The House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PM’s designated Caretaker Civic Consul serves with authority limited to maintaining existing policy and emergency functions; Caretaker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Consul after that moment is constitutionally void. A successor serves the remainder of the current presidential term; service by succession does not consume the successor's own eligibility to stand at the next election. Where the Consul is temporarily unable to exercise authority, the EM and LM jointly assess capacity and, on joint assessment published to the NRS, Acting Consular Authority transfers to the Senate Speaker without vacating the Speaker's Senate seat by constitutional operation from the moment of joint certification published to the NRS. Acting authority ends when the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Consul is removed if the referendum achieves 60% of votes cast under §13.4 with a minimum 55% citizen participation. A failed referendum may not be re-initiated within the same presidential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Consul's domain officers and the Civic Consul's ministers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of Representatives and the Senate. All legislation originates in the Assembly.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Consul is removed exclusively under §2.13; the Civic Consul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Consul must ministerially issue residency credentials; Consul's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(LI), Executive (EI), and Judicial (JI)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an IG is certified incapacitated by the other two Monitors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Senate 2/3 supermajority — the Legislature is entirely excluded. The Assembly Speaker and Senate Speaker jointly nominate the EM Monitor General, confirmed by Senate 2/3 supermajority with JM vetting — the executives are excluded, neither Speaker can act alone, and the 2/3 confirmation threshold requires broad Senate consensus for confirmation.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IG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IG authority at the precise moment the incumbent’s term concludes under §3.13. If the confirmation vote fails, the §9.1.d acting mechanism activates and the SC initiates a new nomination from the pool within 60 days. The EM IG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IG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JI-certified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IG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IG assumes all constitutional functions of the compromised Monitor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LM.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EM and LI; the JMC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EM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authorize continued operations for up to 60 days total in two 30-day extensions, each requiring Civic Consul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Consul's domestic affairs office,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Consul's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