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PREAMBLE</w:t>
      </w:r>
    </w:p>
    <w:p>
      <w:pPr>
        <w:spacing w:after="60" w:before="60"/>
      </w:pPr>
      <w:r>
        <w:rPr>
          <w:rFonts w:ascii="Arial" w:cs="Arial" w:eastAsia="Arial" w:hAnsi="Arial"/>
          <w:color w:val="000000"/>
          <w:sz w:val="22"/>
          <w:szCs w:val="22"/>
        </w:rPr>
        <w:t>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 — THE INDIVIDUAL SOVEREIGNTY FLOOR</w:t>
      </w:r>
    </w:p>
    <w:p>
      <w:pPr>
        <w:spacing w:after="60" w:before="60"/>
      </w:pPr>
      <w:r>
        <w:rPr>
          <w:rFonts w:ascii="Arial" w:cs="Arial" w:eastAsia="Arial" w:hAnsi="Arial"/>
          <w:color w:val="000000"/>
          <w:sz w:val="22"/>
          <w:szCs w:val="22"/>
        </w:rPr>
        <w:t>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A — Personal Integrity (§§ 1.0 – 1.3)  —</w:t>
      </w:r>
    </w:p>
    <w:p>
      <w:pPr>
        <w:pStyle w:val="Heading2"/>
      </w:pPr>
      <w:r>
        <w:rPr>
          <w:b/>
        </w:rPr>
        <w:t>Section 1.0 — Right of Access to Courts</w:t>
      </w:r>
    </w:p>
    <w:p>
      <w:pPr>
        <w:spacing w:after="60" w:before="60"/>
      </w:pPr>
      <w:r>
        <w:rPr>
          <w:rFonts w:ascii="Arial" w:cs="Arial" w:eastAsia="Arial" w:hAnsi="Arial"/>
          <w:color w:val="000000"/>
          <w:sz w:val="22"/>
          <w:szCs w:val="22"/>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Section 1.1 — Right to Life</w:t>
      </w:r>
    </w:p>
    <w:p>
      <w:pPr>
        <w:spacing w:after="60" w:before="60"/>
      </w:pPr>
      <w:r>
        <w:rPr>
          <w:rFonts w:ascii="Arial" w:cs="Arial" w:eastAsia="Arial" w:hAnsi="Arial"/>
          <w:color w:val="000000"/>
          <w:sz w:val="22"/>
          <w:szCs w:val="22"/>
        </w:rPr>
        <w:t>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Section 1.2 — Prohibition of Torture and Cruel Treatment</w:t>
      </w:r>
    </w:p>
    <w:p>
      <w:pPr>
        <w:spacing w:after="60" w:before="60"/>
      </w:pPr>
      <w:r>
        <w:rPr>
          <w:rFonts w:ascii="Arial" w:cs="Arial" w:eastAsia="Arial" w:hAnsi="Arial"/>
          <w:color w:val="000000"/>
          <w:sz w:val="22"/>
          <w:szCs w:val="22"/>
        </w:rPr>
        <w:t>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and may trigger Rule Violation proceedings under §2.7 — a constitutional mechanism that triggers automatic suspension from duties and a Senate trial, defined fully at §2.7.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Section 1.3 — Prohibition of Slavery and Forced Labor</w:t>
      </w:r>
    </w:p>
    <w:p>
      <w:pPr>
        <w:spacing w:after="60" w:before="60"/>
      </w:pPr>
      <w:r>
        <w:rPr>
          <w:rFonts w:ascii="Arial" w:cs="Arial" w:eastAsia="Arial" w:hAnsi="Arial"/>
          <w:color w:val="000000"/>
          <w:sz w:val="22"/>
          <w:szCs w:val="22"/>
        </w:rPr>
        <w:t>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B — Civil and Political Liberties (§§ 1.4 – 1.7)  —</w:t>
      </w:r>
    </w:p>
    <w:p>
      <w:pPr>
        <w:pStyle w:val="Heading2"/>
        <w:spacing w:after="80" w:before="200"/>
      </w:pPr>
      <w:r>
        <w:rPr>
          <w:rFonts w:ascii="Arial" w:cs="Arial" w:eastAsia="Arial" w:hAnsi="Arial"/>
          <w:b/>
          <w:bCs/>
          <w:color w:val="4A6FA5"/>
          <w:sz w:val="24"/>
          <w:szCs w:val="24"/>
        </w:rPr>
        <w:t>Section 1.4 — Freedom of Expression</w:t>
      </w:r>
    </w:p>
    <w:p>
      <w:pPr>
        <w:spacing w:after="60" w:before="60"/>
      </w:pPr>
      <w:r>
        <w:rPr>
          <w:rFonts w:ascii="Arial" w:cs="Arial" w:eastAsia="Arial" w:hAnsi="Arial"/>
          <w:color w:val="000000"/>
          <w:sz w:val="22"/>
          <w:szCs w:val="22"/>
        </w:rPr>
        <w:t>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Section 1.5 — Freedom of Thought, Conscience, and Religion</w:t>
      </w:r>
    </w:p>
    <w:p>
      <w:pPr>
        <w:spacing w:after="60" w:before="60"/>
      </w:pPr>
      <w:r>
        <w:rPr>
          <w:rFonts w:ascii="Arial" w:cs="Arial" w:eastAsia="Arial" w:hAnsi="Arial"/>
          <w:color w:val="000000"/>
          <w:sz w:val="22"/>
          <w:szCs w:val="22"/>
        </w:rPr>
        <w:t>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1.6 — Freedom of Association</w:t>
      </w:r>
    </w:p>
    <w:p>
      <w:pPr>
        <w:spacing w:after="60" w:before="60"/>
      </w:pPr>
      <w:r>
        <w:rPr>
          <w:rFonts w:ascii="Arial" w:cs="Arial" w:eastAsia="Arial" w:hAnsi="Arial"/>
          <w:color w:val="000000"/>
          <w:sz w:val="22"/>
          <w:szCs w:val="22"/>
        </w:rPr>
        <w:t>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Section 1.7 — Right to Petition</w:t>
      </w:r>
    </w:p>
    <w:p>
      <w:pPr>
        <w:spacing w:after="60" w:before="60"/>
      </w:pPr>
      <w:r>
        <w:rPr>
          <w:rFonts w:ascii="Arial" w:cs="Arial" w:eastAsia="Arial" w:hAnsi="Arial"/>
          <w:color w:val="000000"/>
          <w:sz w:val="22"/>
          <w:szCs w:val="22"/>
        </w:rPr>
        <w:t>Every citizen has the right to petition any branch of government on any matter of public or personal concern. This right extends to citizens only. All petitions must receive a formal response within a period the Legislature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C — Equality (§ 1.8)  —</w:t>
      </w:r>
    </w:p>
    <w:p>
      <w:pPr>
        <w:pStyle w:val="Heading2"/>
        <w:spacing w:after="80" w:before="200"/>
      </w:pPr>
      <w:r>
        <w:rPr>
          <w:rFonts w:ascii="Arial" w:cs="Arial" w:eastAsia="Arial" w:hAnsi="Arial"/>
          <w:b/>
          <w:bCs/>
          <w:color w:val="4A6FA5"/>
          <w:sz w:val="24"/>
          <w:szCs w:val="24"/>
        </w:rPr>
        <w:t>Section 1.8 — Equality Before the Law</w:t>
      </w:r>
    </w:p>
    <w:p>
      <w:pPr>
        <w:spacing w:after="60" w:before="60"/>
      </w:pPr>
      <w:r>
        <w:t>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D — Privacy, Property and Economic Rights (§§ 1.9 – 1.12)  —</w:t>
      </w:r>
    </w:p>
    <w:p>
      <w:pPr>
        <w:pStyle w:val="Heading2"/>
        <w:spacing w:after="80" w:before="200"/>
      </w:pPr>
      <w:r>
        <w:rPr>
          <w:rFonts w:ascii="Arial" w:cs="Arial" w:eastAsia="Arial" w:hAnsi="Arial"/>
          <w:b/>
          <w:bCs/>
          <w:color w:val="4A6FA5"/>
          <w:sz w:val="24"/>
          <w:szCs w:val="24"/>
        </w:rPr>
        <w:t>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Section 1.12 — Freedom of Movement and Labor</w:t>
      </w:r>
    </w:p>
    <w:p>
      <w:pPr>
        <w:spacing w:after="60" w:before="60"/>
      </w:pPr>
      <w:r>
        <w:rPr>
          <w:rFonts w:ascii="Arial" w:cs="Arial" w:eastAsia="Arial" w:hAnsi="Arial"/>
          <w:color w:val="000000"/>
          <w:sz w:val="22"/>
          <w:szCs w:val="22"/>
        </w:rPr>
        <w:t>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E — Criminal Justice Rights (§§ 1.13 – 1.18)  —</w:t>
      </w:r>
    </w:p>
    <w:p>
      <w:pPr>
        <w:pStyle w:val="Heading2"/>
        <w:spacing w:after="80" w:before="200"/>
      </w:pPr>
      <w:r>
        <w:rPr>
          <w:rFonts w:ascii="Arial" w:cs="Arial" w:eastAsia="Arial" w:hAnsi="Arial"/>
          <w:b/>
          <w:bCs/>
          <w:color w:val="4A6FA5"/>
          <w:sz w:val="24"/>
          <w:szCs w:val="24"/>
        </w:rPr>
        <w:t>Section 1.13 — Right Against Arbitrary Detention</w:t>
      </w:r>
    </w:p>
    <w:p>
      <w:pPr>
        <w:spacing w:after="60" w:before="60"/>
      </w:pPr>
      <w:r>
        <w:rPr>
          <w:rFonts w:ascii="Arial" w:cs="Arial" w:eastAsia="Arial" w:hAnsi="Arial"/>
          <w:color w:val="000000"/>
          <w:sz w:val="22"/>
          <w:szCs w:val="22"/>
        </w:rPr>
        <w:t>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t>1.13.b Habeas Corpus Response Deadline: 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ind w:left="720" w:hanging="360"/>
      </w:pPr>
      <w:r>
        <w:t>1.13.c Habeas Corpus: 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Any accused person has the right to full disclosure of all State evidence, including exculpatory evidence, before trial. Willful withholding of exculpatory evidence is grounds for immediate dismissal of the case and may trigger Rule Violation proceedings under §2.7.</w:t>
      </w:r>
    </w:p>
    <w:p>
      <w:pPr>
        <w:spacing w:after="0" w:before="120"/>
      </w:pPr>
      <w:r>
        <w:t xml:space="preserve"/>
      </w:r>
    </w:p>
    <w:p>
      <w:pPr>
        <w:pStyle w:val="Heading2"/>
        <w:spacing w:after="80" w:before="200"/>
      </w:pPr>
      <w:r>
        <w:rPr>
          <w:rFonts w:ascii="Arial" w:cs="Arial" w:eastAsia="Arial" w:hAnsi="Arial"/>
          <w:b/>
          <w:bCs/>
          <w:color w:val="4A6FA5"/>
          <w:sz w:val="24"/>
          <w:szCs w:val="24"/>
        </w:rPr>
        <w:t>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Section 1.16 — Right to Silence and Protection from Self-Incrimination</w:t>
      </w:r>
    </w:p>
    <w:p>
      <w:pPr>
        <w:spacing w:after="60" w:before="60"/>
      </w:pPr>
      <w:r>
        <w:rPr>
          <w:rFonts w:ascii="Arial" w:cs="Arial" w:eastAsia="Arial" w:hAnsi="Arial"/>
          <w:color w:val="000000"/>
          <w:sz w:val="22"/>
          <w:szCs w:val="22"/>
        </w:rPr>
        <w:t>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Section 1.17 — Right to a Public Trial</w:t>
      </w:r>
    </w:p>
    <w:p>
      <w:pPr>
        <w:spacing w:after="60" w:before="60"/>
      </w:pPr>
      <w:r>
        <w:rPr>
          <w:rFonts w:ascii="Arial" w:cs="Arial" w:eastAsia="Arial" w:hAnsi="Arial"/>
          <w:color w:val="000000"/>
          <w:sz w:val="22"/>
          <w:szCs w:val="22"/>
        </w:rPr>
        <w:t>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F — Social and Community Rights (§§ 1.20 – 1.24)  —</w:t>
      </w:r>
    </w:p>
    <w:p>
      <w:pPr/>
      <w:r>
        <w:rPr>
          <w:b/>
        </w:rPr>
        <w:t>—  Part F (preface) — Democratic and Participation Rights (§ 1.19)  —</w:t>
      </w:r>
    </w:p>
    <w:p>
      <w:pPr>
        <w:pStyle w:val="Heading2"/>
        <w:spacing w:after="80" w:before="200"/>
      </w:pPr>
      <w:r>
        <w:rPr>
          <w:rFonts w:ascii="Arial" w:cs="Arial" w:eastAsia="Arial" w:hAnsi="Arial"/>
          <w:b/>
          <w:bCs/>
          <w:color w:val="4A6FA5"/>
          <w:sz w:val="24"/>
          <w:szCs w:val="24"/>
        </w:rPr>
        <w:t>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Section 1.20 — Right to Marry and Found a Family</w:t>
      </w:r>
    </w:p>
    <w:p>
      <w:pPr>
        <w:spacing w:after="60" w:before="60"/>
      </w:pPr>
      <w:r>
        <w:rPr>
          <w:rFonts w:ascii="Arial" w:cs="Arial" w:eastAsia="Arial" w:hAnsi="Arial"/>
          <w:color w:val="000000"/>
          <w:sz w:val="22"/>
          <w:szCs w:val="22"/>
        </w:rPr>
        <w:t>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1.21 — Rights of Children</w:t>
      </w:r>
    </w:p>
    <w:p>
      <w:pPr>
        <w:spacing w:after="60" w:before="60"/>
      </w:pPr>
      <w:r>
        <w:t>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No official may authorize, direct, or participate in the concealment of government-caused or government-permitted environmental harm. Willful concealment triggers Rule Violation proceedings under §2.7.</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No Declaration of National Emergency may limit, suspend, or qualify: the prohibition on torture and cruel treatment (§1.2); the prohibition on slavery and forced labor (§1.3); the right against arbitrary detention and the right to habeas corpus (§1.13); the right to a public trial (§1.17); or the prohibition of retroactive laws (§1.18). These rights are absolute and apply without exception regardless of any declared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Style w:val="Heading2"/>
      </w:pPr>
      <w:r>
        <w:t>Section 1.26 — Associated Community Residents</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Heading2"/>
      </w:pPr>
      <w:r>
        <w:t>Section 1.27 — Non-Refoulement</w:t>
      </w:r>
    </w:p>
    <w:p>
      <w:r>
        <w:rPr>
          <w:rFonts w:ascii="Arial" w:hAnsi="Arial"/>
          <w:b/>
          <w:sz w:val="22"/>
        </w:rPr>
        <w:t xml:space="preserve">1.27 Non-Refoulement: </w:t>
      </w:r>
      <w:r>
        <w:rPr>
          <w:rFonts w:ascii="Arial" w:hAnsi="Arial"/>
          <w:sz w:val="22"/>
        </w:rPr>
        <w:t>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 — THE DUAL EXECUTIVE</w:t>
      </w:r>
    </w:p>
    <w:p>
      <w:pPr>
        <w:spacing w:after="0" w:before="120"/>
      </w:pPr>
      <w:r>
        <w:t xml:space="preserve"/>
      </w:r>
    </w:p>
    <w:p>
      <w:pPr>
        <w:spacing w:after="60" w:before="60"/>
      </w:pPr>
      <w:r>
        <w:rPr>
          <w:rFonts w:ascii="Arial" w:cs="Arial" w:eastAsia="Arial" w:hAnsi="Arial"/>
          <w:color w:val="000000"/>
          <w:sz w:val="22"/>
          <w:szCs w:val="22"/>
        </w:rPr>
        <w:t>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Legislative Declaration of Defense: </w:t>
      </w:r>
      <w:r>
        <w:rPr>
          <w:rFonts w:ascii="Arial" w:cs="Arial" w:eastAsia="Arial" w:hAnsi="Arial"/>
          <w:color w:val="000000"/>
          <w:sz w:val="22"/>
          <w:szCs w:val="22"/>
        </w:rPr>
        <w:t>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§2.7;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Section 2.2 — The Prime Minister</w:t>
      </w:r>
    </w:p>
    <w:p>
      <w:pPr>
        <w:spacing w:after="60" w:before="60"/>
      </w:pPr>
      <w:r>
        <w:rPr>
          <w:rFonts w:ascii="Arial" w:cs="Arial" w:eastAsia="Arial" w:hAnsi="Arial"/>
          <w:color w:val="000000"/>
          <w:sz w:val="22"/>
          <w:szCs w:val="22"/>
        </w:rPr>
        <w:t>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Section 2.3 — PM Selection and Removal by the House</w:t>
      </w:r>
    </w:p>
    <w:p>
      <w:pPr>
        <w:spacing w:after="60" w:before="60"/>
      </w:pPr>
      <w:r>
        <w:rPr>
          <w:rFonts w:ascii="Arial" w:cs="Arial" w:eastAsia="Arial" w:hAnsi="Arial"/>
          <w:color w:val="000000"/>
          <w:sz w:val="22"/>
          <w:szCs w:val="22"/>
        </w:rPr>
        <w:t>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The House selects the Prime Minister by absolute majority — meaning a majority of the full seated membership, not merely those present or voting; this definition applies throughout this Article. Failure to seat a PM within a period the Legislature defines by statute — not to exceed 60 days — results in dissolution of the entire House. the Legislature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the Legislature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Where a second consecutive dissolution occurs — a newly elected House also failing to seat a PM within the statutory window — the Legislature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the Legislature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Section 2.4 — PM Legislative Objection</w:t>
      </w:r>
    </w:p>
    <w:p>
      <w:pPr>
        <w:spacing w:after="60" w:before="60"/>
      </w:pPr>
      <w:r>
        <w:rPr>
          <w:rFonts w:ascii="Arial" w:cs="Arial" w:eastAsia="Arial" w:hAnsi="Arial"/>
          <w:color w:val="000000"/>
          <w:sz w:val="22"/>
          <w:szCs w:val="22"/>
        </w:rPr>
        <w:t>The Prime Minister holds two objection powers over enacted legislation. Both are suspensive — the Legislature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The suspensive veto provides a deliberation interval and forces the Legislature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Section 2.5 — The Legislative Review Period</w:t>
      </w:r>
    </w:p>
    <w:p>
      <w:pPr>
        <w:spacing w:after="60" w:before="60"/>
      </w:pPr>
      <w:r>
        <w:rPr>
          <w:rFonts w:ascii="Arial" w:cs="Arial" w:eastAsia="Arial" w:hAnsi="Arial"/>
          <w:color w:val="000000"/>
          <w:sz w:val="22"/>
          <w:szCs w:val="22"/>
        </w:rPr>
        <w:t>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Legislative Continuity: </w:t>
      </w:r>
      <w:r>
        <w:rPr>
          <w:rFonts w:ascii="Arial" w:cs="Arial" w:eastAsia="Arial" w:hAnsi="Arial"/>
          <w:color w:val="000000"/>
          <w:sz w:val="22"/>
          <w:szCs w:val="22"/>
        </w:rPr>
        <w:t>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The Deputy Speaker automatically ascends to Speaker if the Speaker assumes the Presidency.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2.6.b Incapacity Certification: </w:t>
      </w:r>
      <w:r>
        <w:rPr>
          <w:rFonts w:ascii="Arial" w:cs="Arial" w:eastAsia="Arial" w:hAnsi="Arial"/>
          <w:color w:val="000000"/>
          <w:sz w:val="22"/>
          <w:szCs w:val="22"/>
        </w:rPr>
        <w:t>If the President is incapacitated during an active Tier 1 defensive response under §2.1.a, the Senate Speaker immediately assumes Tier 1 authority pending the President's restoration or formal succession. Incapacity is certified jointly by the Prime Minister and the most senior sitting Supreme Court justice, and published to the National Record System within 6 hours. If the Prime Minister is the successor in the succession line and therefore has a conflict of interest in certifying incapacity, the Senate Speaker substitutes for the Prime Minister in the certification. Incapacity that does not involve active Tier 1 operations follows the same certification process; succession takes effect upon certification.</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Section 2.7 — Constitutional Violations and Automatic Consequences</w:t>
      </w:r>
    </w:p>
    <w:p>
      <w:pPr>
        <w:spacing w:after="60" w:before="60"/>
      </w:pPr>
      <w:r>
        <w:rPr>
          <w:rFonts w:ascii="Arial" w:cs="Arial" w:eastAsia="Arial" w:hAnsi="Arial"/>
          <w:color w:val="000000"/>
          <w:sz w:val="22"/>
          <w:szCs w:val="22"/>
        </w:rPr>
        <w:t>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the Legislature,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the Legislature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60" w:before="60"/>
      </w:pPr>
      <w:r>
        <w:rPr>
          <w:b/>
        </w:rPr>
        <w:t xml:space="preserve">2.7.e Legislative Members — Modified Consequences: </w:t>
      </w:r>
      <w:r>
        <w:t>Where a Supreme Court Rule Violation finding is issued against a sitting member of the House or Senate, the automatic consequences of §2.7 apply with the following modifications: the member is immediately suspended from voting and committee participation (not removed from office); access to classified information and restricted government systems is revoked; and the finding is automatically referred to the relevant chamber's ethics committee, which must commence §3.6 expulsion proceedings within 30 days of the finding. The chamber retains the expulsion decision under §3.6's threshold requirements, but may not decline to commence proceedings following a Rule Violation referral. The Senate trial provision of §2.7 does not apply to legislative members — the §3.6 expulsion process is the exclusive legislative accountability track for members following a Rule Violation finding.</w:t>
      </w:r>
    </w:p>
    <w:p>
      <w:pPr>
        <w:spacing w:after="0" w:before="120"/>
      </w:pPr>
      <w:r>
        <w:t xml:space="preserve"/>
      </w:r>
    </w:p>
    <w:p>
      <w:pPr>
        <w:pStyle w:val="Heading2"/>
        <w:spacing w:after="80" w:before="200"/>
      </w:pPr>
      <w:r>
        <w:rPr>
          <w:rFonts w:ascii="Arial" w:cs="Arial" w:eastAsia="Arial" w:hAnsi="Arial"/>
          <w:b/>
          <w:bCs/>
          <w:color w:val="4A6FA5"/>
          <w:sz w:val="24"/>
          <w:szCs w:val="24"/>
        </w:rPr>
        <w:t>Section 2.8 — Emergency Governance Protocol</w:t>
      </w:r>
    </w:p>
    <w:p>
      <w:pPr>
        <w:spacing w:after="60" w:before="60"/>
      </w:pPr>
      <w:r>
        <w:rPr>
          <w:rFonts w:ascii="Arial" w:cs="Arial" w:eastAsia="Arial" w:hAnsi="Arial"/>
          <w:color w:val="000000"/>
          <w:sz w:val="22"/>
          <w:szCs w:val="22"/>
        </w:rPr>
        <w:t>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Expedited Activation — Catastrophic Attack: 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Style w:val="Heading2"/>
        <w:spacing w:after="80" w:before="200"/>
      </w:pPr>
      <w:r>
        <w:rPr>
          <w:rFonts w:ascii="Arial" w:cs="Arial" w:eastAsia="Arial" w:hAnsi="Arial"/>
          <w:b/>
          <w:bCs/>
          <w:color w:val="4A6FA5"/>
          <w:sz w:val="24"/>
          <w:szCs w:val="24"/>
        </w:rPr>
        <w:t>Section 2.9 — Clemency Limits and Legislative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Legislative Amnesty: </w:t>
      </w:r>
      <w:r>
        <w:rPr>
          <w:rFonts w:ascii="Arial" w:cs="Arial" w:eastAsia="Arial" w:hAnsi="Arial"/>
          <w:color w:val="000000"/>
          <w:sz w:val="22"/>
          <w:szCs w:val="22"/>
        </w:rPr>
        <w:t>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Rule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pStyle w:val="Heading2"/>
      </w:pPr>
      <w:r>
        <w:rPr>
          <w:b/>
        </w:rPr>
        <w:t>Section 2.10 — Presidential Removal by the Legislature and Popular Vote</w:t>
      </w:r>
    </w:p>
    <w:p>
      <w:pPr>
        <w:spacing w:after="60" w:before="60"/>
      </w:pPr>
      <w:r>
        <w:t>The President may be removed through two political tracks independent of the §2.7 Rule Violation accountability process.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pPr>
      <w:r>
        <w:rPr>
          <w:b/>
        </w:rPr>
        <w:t xml:space="preserve">2.10.a Path 1 — Legislative Removal: </w:t>
      </w:r>
      <w:r>
        <w:t>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§2.7 Rule Violation track and the §3.5 impeachment track. Unlike §3.5 impeachment, which requires only a simple House majority to initiate, this track requires a 2/3 House majority at initiation — a higher threshold reflecting the President's direct electoral mandate.</w:t>
      </w:r>
    </w:p>
    <w:p>
      <w:pPr>
        <w:spacing w:after="60" w:before="60"/>
      </w:pPr>
      <w:r>
        <w:rPr>
          <w:b/>
        </w:rPr>
        <w:t xml:space="preserve">2.10.b Path 2 — Senate Referral to Popular Recall: </w:t>
      </w:r>
      <w:r>
        <w:t>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the presidential succession role under §2.6.a from the date the Senate votes to refer until the referendum result is certified. If the referendum fails, the President resumes full authority immediately upon certification.</w:t>
      </w:r>
    </w:p>
    <w:p>
      <w:pPr>
        <w:spacing w:after="60" w:before="60"/>
      </w:pPr>
      <w:r>
        <w:rPr>
          <w:b/>
        </w:rPr>
        <w:t xml:space="preserve">2.10.c One Referral Per Term: </w:t>
      </w:r>
      <w:r>
        <w:t>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III — THE LEGISLATURE</w:t>
      </w:r>
    </w:p>
    <w:p>
      <w:pPr>
        <w:spacing w:after="0" w:before="120"/>
      </w:pPr>
      <w:r>
        <w:t xml:space="preserve"/>
      </w:r>
    </w:p>
    <w:p>
      <w:pPr>
        <w:pStyle w:val="Heading2"/>
        <w:spacing w:after="80" w:before="200"/>
      </w:pPr>
      <w:r>
        <w:rPr>
          <w:rFonts w:ascii="Arial" w:cs="Arial" w:eastAsia="Arial" w:hAnsi="Arial"/>
          <w:b/>
          <w:bCs/>
          <w:color w:val="4A6FA5"/>
          <w:sz w:val="24"/>
          <w:szCs w:val="24"/>
        </w:rPr>
        <w:t>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The House must publish every bill in full on the National Record System for a minimum period the Legislature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0" w:before="120"/>
      </w:pPr>
      <w:r>
        <w:t xml:space="preserve"/>
      </w:r>
    </w:p>
    <w:p>
      <w:pPr>
        <w:pStyle w:val="Heading2"/>
        <w:spacing w:after="80" w:before="200"/>
      </w:pPr>
      <w:r>
        <w:rPr>
          <w:rFonts w:ascii="Arial" w:cs="Arial" w:eastAsia="Arial" w:hAnsi="Arial"/>
          <w:b/>
          <w:bCs/>
          <w:color w:val="4A6FA5"/>
          <w:sz w:val="24"/>
          <w:szCs w:val="24"/>
        </w:rPr>
        <w:t>Section 3.2 — The Senate</w:t>
      </w:r>
    </w:p>
    <w:p>
      <w:pPr>
        <w:spacing w:after="60" w:before="60"/>
      </w:pPr>
      <w:r>
        <w:rPr>
          <w:rFonts w:ascii="Arial" w:cs="Arial" w:eastAsia="Arial" w:hAnsi="Arial"/>
          <w:color w:val="000000"/>
          <w:sz w:val="22"/>
          <w:szCs w:val="22"/>
        </w:rPr>
        <w:t>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The Senate must take up every House-passed bill within a period the Legislature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spacing w:after="60" w:before="60"/>
      </w:pPr>
      <w:r>
        <w:rPr>
          <w:b/>
        </w:rPr>
        <w:t xml:space="preserve">3.2.h Senate Speaker Vacancy: </w:t>
      </w:r>
      <w:r>
        <w:t>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Heading2"/>
        <w:spacing w:after="80" w:before="200"/>
      </w:pPr>
      <w:r>
        <w:rPr>
          <w:rFonts w:ascii="Arial" w:cs="Arial" w:eastAsia="Arial" w:hAnsi="Arial"/>
          <w:b/>
          <w:bCs/>
          <w:color w:val="4A6FA5"/>
          <w:sz w:val="24"/>
          <w:szCs w:val="24"/>
        </w:rPr>
        <w:t>Section 3.3 — The Life Cycle of a Law</w:t>
      </w:r>
    </w:p>
    <w:p>
      <w:pPr>
        <w:spacing w:after="60" w:before="60"/>
        <w:ind w:left="720" w:hanging="360"/>
      </w:pPr>
      <w:r>
        <w:rPr>
          <w:rFonts w:ascii="Arial" w:cs="Arial" w:eastAsia="Arial" w:hAnsi="Arial"/>
          <w:b/>
          <w:bCs/>
          <w:color w:val="4A6FA5"/>
          <w:sz w:val="22"/>
          <w:szCs w:val="22"/>
        </w:rPr>
        <w:t xml:space="preserve">3.3.a Legislative Mandate Enforcement: </w:t>
      </w:r>
      <w:r>
        <w:rPr>
          <w:rFonts w:ascii="Arial" w:cs="Arial" w:eastAsia="Arial" w:hAnsi="Arial"/>
          <w:color w:val="000000"/>
          <w:sz w:val="22"/>
          <w:szCs w:val="22"/>
        </w:rPr>
        <w:t>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Section 3.4 — Electoral Districts</w:t>
      </w:r>
    </w:p>
    <w:p>
      <w:pPr>
        <w:spacing w:after="60" w:before="60"/>
      </w:pPr>
      <w:r>
        <w:rPr>
          <w:rFonts w:ascii="Arial" w:cs="Arial" w:eastAsia="Arial" w:hAnsi="Arial"/>
          <w:color w:val="000000"/>
          <w:sz w:val="22"/>
          <w:szCs w:val="22"/>
        </w:rPr>
        <w:t>Districts are redrawn on the census cycle the Legislature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A valid district map remains in effect until the next census cycle. the Legislature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Section 3.5 — Impeachment Initiation (House-Originated)</w:t>
      </w:r>
    </w:p>
    <w:p>
      <w:pPr>
        <w:spacing w:after="60" w:before="60"/>
      </w:pPr>
      <w:r>
        <w:t>This section governs the political impeachment track — initiated by the House and distinct from the automatic Rule Violation consequences of §2.7. This section applies exclusively to executive and judicial officers of the Republic. Legislative members of the House and Senate are not subject to this section — their removal is governed exclusively by §3.6 as the specific provision for legislative self-governance, and by §2.7.e where a Rule Violation finding applies. This clarification resolves any ambiguity arising from the phrase "elected or appointed federal official" — for purposes of this section, that phrase refers to officers of the executive and judicial branches only.</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Section 3.6 — Legislative Expulsion by Peers</w:t>
      </w:r>
    </w:p>
    <w:p>
      <w:pPr>
        <w:spacing w:after="60" w:before="60"/>
      </w:pPr>
      <w:r>
        <w:rPr>
          <w:rFonts w:ascii="Arial" w:cs="Arial" w:eastAsia="Arial" w:hAnsi="Arial"/>
          <w:color w:val="000000"/>
          <w:sz w:val="22"/>
          <w:szCs w:val="22"/>
        </w:rPr>
        <w:t>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b/>
        </w:rPr>
        <w:t xml:space="preserve">3.6.e Recall Mechanisms — States and Territories: </w:t>
      </w:r>
      <w:r>
        <w:t>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pPr>
      <w:r>
        <w:rPr>
          <w:b/>
        </w:rPr>
        <w:t xml:space="preserve">3.6.f Vacancy Filling — States and Territories: </w:t>
      </w:r>
      <w:r>
        <w:t>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Section 4.1 — Court Structure</w:t>
      </w:r>
    </w:p>
    <w:p>
      <w:pPr>
        <w:spacing w:after="60" w:before="60"/>
      </w:pPr>
      <w:r>
        <w:rPr>
          <w:rFonts w:ascii="Arial" w:cs="Arial" w:eastAsia="Arial" w:hAnsi="Arial"/>
          <w:color w:val="000000"/>
          <w:sz w:val="22"/>
          <w:szCs w:val="22"/>
        </w:rPr>
        <w:t>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Only the House may create or abolish inferior courts by statute.</w:t>
      </w:r>
    </w:p>
    <w:p>
      <w:pPr>
        <w:spacing w:after="60" w:before="60"/>
        <w:ind w:left="720" w:hanging="360"/>
      </w:pPr>
      <w:r>
        <w:rPr>
          <w:b/>
        </w:rPr>
        <w:t xml:space="preserve">4.1.b Appointment of Inferior Court Judges: </w:t>
      </w:r>
      <w:r>
        <w:t>The PM nominates lower court judges within 90 days of any vacancy; the House confirms by a supermajority the Legislature defines by statute within a Legislature-defined period; the Supreme Court commissions all confirmed judges. If the House fails to vote on any nomination within the Legislature-defined confirmation period, the nominee is Deemed Confirmed and the Supreme Court commissions them immediately. If the PM fails to nominate within 90 days of a vacancy, the Supreme Court nominates directly from the Qualified Jurist Registry; that nomination proceeds to House confirmation on the same supermajority standard and Deemed Confirmed timeline.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w:t>
      </w:r>
    </w:p>
    <w:p>
      <w:pPr>
        <w:spacing w:after="60" w:before="60"/>
        <w:ind w:left="720" w:hanging="360"/>
      </w:pPr>
      <w:r>
        <w:rPr>
          <w:b/>
        </w:rPr>
        <w:t xml:space="preserve">4.1.c Removal of Inferior Court Judges — Three Tracks: </w:t>
      </w:r>
      <w:r>
        <w:t>Inferior court judges may be removed through three independent tracks. Track 1 — Rule Violation (§2.7): A Supreme Court finding of a constitutional violation triggers automatic suspension, access revocation, and Senate trial on the standard §2.7 track. Track 2 — Judicial Initiation: Requires a 2/3 petition from the Supreme Court, followed by a supermajority conviction vote in the Legislature that the Legislature defines by statute. The Supreme Court petition is a constitutional prerequisite — the Legislature may not proceed to the conviction vote without it, and neither executive may initiate removal without the Supreme Court's formal petition. Track 3 — Political Removal: Mirrors the presidential and Supreme Court political removal architecture: 2/3 of the full House membership to initiate, plus 2/3 of the full Senate membership to convict and remove; OR a simple majority of the full Senate membership to refer the question to a national recall referendum, with removal requiring a majority of eligible voters and one referral permitted per judicial term. This section is the exclusive removal mechanism for inferior court judges. The general impeachment track of §3.5 does not apply to inferior court judges. All removal proceedings and their outcomes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4.2 — The Supreme Court</w:t>
      </w:r>
    </w:p>
    <w:p>
      <w:pPr>
        <w:spacing w:after="80" w:before="200"/>
      </w:pPr>
      <w:r>
        <w:t>The Triad: 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Rule Violation trials — produces genuinely distinct institutional perspective from both the PM and the President, while the House's nomination would effectively double the PM's voice given the PM's confidence relationship with the House.</w:t>
      </w:r>
    </w:p>
    <w:p>
      <w:pPr>
        <w:spacing w:after="60" w:before="60"/>
      </w:pPr>
      <w:r>
        <w:rPr>
          <w:rFonts w:ascii="Arial" w:cs="Arial" w:eastAsia="Arial" w:hAnsi="Arial"/>
          <w:color w:val="000000"/>
          <w:sz w:val="22"/>
          <w:szCs w:val="22"/>
        </w:rPr>
        <w:t>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b/>
        </w:rPr>
        <w:t xml:space="preserve">4.2.a Triad Nomination: </w:t>
      </w:r>
      <w:r>
        <w:t>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ind w:left="720" w:hanging="360"/>
      </w:pPr>
      <w:r>
        <w:rPr>
          <w:b/>
        </w:rPr>
        <w:t xml:space="preserve">4.2.b Mid-Term Vacancy Process: </w:t>
      </w:r>
      <w:r>
        <w:t>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ind w:left="720" w:hanging="360"/>
      </w:pPr>
      <w:r>
        <w:rPr>
          <w:b/>
        </w:rPr>
        <w:t xml:space="preserve">4.2.c Judicial Inspectorate Vetting: </w:t>
      </w:r>
      <w:r>
        <w:t>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ind w:left="720" w:hanging="360"/>
      </w:pPr>
      <w:r>
        <w:rPr>
          <w:b/>
        </w:rPr>
        <w:t xml:space="preserve">4.2.d Public Election: </w:t>
      </w:r>
      <w:r>
        <w:t>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ind w:left="720" w:hanging="360"/>
      </w:pPr>
      <w:r>
        <w:rPr>
          <w:rFonts w:ascii="Arial" w:cs="Arial" w:eastAsia="Arial" w:hAnsi="Arial"/>
          <w:b/>
          <w:bCs/>
          <w:color w:val="4A6FA5"/>
          <w:sz w:val="22"/>
          <w:szCs w:val="22"/>
        </w:rPr>
        <w:t xml:space="preserve">4.2.e Emergency Panel for Tier 1 Scope Challenges: </w:t>
      </w:r>
      <w:r>
        <w:rPr>
          <w:rFonts w:ascii="Arial" w:cs="Arial" w:eastAsia="Arial" w:hAnsi="Arial"/>
          <w:color w:val="000000"/>
          <w:sz w:val="22"/>
          <w:szCs w:val="22"/>
        </w:rPr>
        <w:t>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be staggered: at least two justices from the prior two-year rotation must be retained in the following rotation cycle. Full simultaneous replacement of all four panel members is prohibited. Staggering preserves institutional continuity of the Panel's understanding of active cohabitation dispute patterns. Staggered rotation requires that the two retained justices have served at least 18 months of prior Panel service. Panel membership rotates with a maximum of two new members per cycle regardless of retirement or term expiration of incumbent members, ensuring institutional knowledge is preserved across the full cohabitation dispute landscape.</w:t>
      </w:r>
    </w:p>
    <w:p>
      <w:pPr>
        <w:spacing w:after="60" w:before="60"/>
        <w:ind w:left="720" w:hanging="360"/>
      </w:pPr>
      <w:r>
        <w:rPr>
          <w:rFonts w:ascii="Arial" w:cs="Arial" w:eastAsia="Arial" w:hAnsi="Arial"/>
          <w:b/>
          <w:bCs/>
          <w:color w:val="4A6FA5"/>
          <w:sz w:val="22"/>
          <w:szCs w:val="22"/>
        </w:rPr>
        <w:t xml:space="preserve">4.2.f Vacancy Operating Rules: </w:t>
      </w:r>
      <w:r>
        <w:rPr>
          <w:rFonts w:ascii="Arial" w:cs="Arial" w:eastAsia="Arial" w:hAnsi="Arial"/>
          <w:color w:val="000000"/>
          <w:sz w:val="22"/>
          <w:szCs w:val="22"/>
        </w:rPr>
        <w:t>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4.2.g Judicial Recusal: </w:t>
      </w:r>
      <w:r>
        <w:rPr>
          <w:rFonts w:ascii="Arial" w:cs="Arial" w:eastAsia="Arial" w:hAnsi="Arial"/>
          <w:color w:val="000000"/>
          <w:sz w:val="22"/>
          <w:szCs w:val="22"/>
        </w:rPr>
        <w:t>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Section 4.3 — Judicial Independence and Scope of Authority</w:t>
      </w:r>
    </w:p>
    <w:p>
      <w:pPr>
        <w:spacing w:after="60" w:before="60"/>
      </w:pPr>
      <w:r>
        <w:rPr>
          <w:rFonts w:ascii="Arial" w:cs="Arial" w:eastAsia="Arial" w:hAnsi="Arial"/>
          <w:color w:val="000000"/>
          <w:sz w:val="22"/>
          <w:szCs w:val="22"/>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pStyle w:val="Heading2"/>
        <w:spacing w:after="80" w:before="200"/>
      </w:pPr>
      <w:r>
        <w:rPr>
          <w:rFonts w:ascii="Arial" w:cs="Arial" w:eastAsia="Arial" w:hAnsi="Arial"/>
          <w:b/>
          <w:bCs/>
          <w:color w:val="4A6FA5"/>
          <w:sz w:val="24"/>
          <w:szCs w:val="24"/>
        </w:rPr>
        <w:t>Section 4.4 — Interstate Recognition of Judgments and Public Acts</w:t>
      </w:r>
    </w:p>
    <w:p>
      <w:pPr>
        <w:spacing w:after="60" w:before="60"/>
      </w:pPr>
      <w:r>
        <w:rPr>
          <w:rFonts w:ascii="Arial" w:cs="Arial" w:eastAsia="Arial" w:hAnsi="Arial"/>
          <w:color w:val="000000"/>
          <w:sz w:val="22"/>
          <w:szCs w:val="22"/>
        </w:rPr>
        <w:t>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Legislative Implementation Mandates: </w:t>
      </w:r>
      <w:r>
        <w:rPr>
          <w:rFonts w:ascii="Arial" w:cs="Arial" w:eastAsia="Arial" w:hAnsi="Arial"/>
          <w:color w:val="000000"/>
          <w:sz w:val="22"/>
          <w:szCs w:val="22"/>
        </w:rPr>
        <w:t>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 — CITIZENSHIP, RESIDENCY, AND NATIONAL IDENTITY</w:t>
      </w:r>
    </w:p>
    <w:p>
      <w:pPr>
        <w:spacing w:after="60" w:before="60"/>
      </w:pPr>
      <w:r>
        <w:rPr>
          <w:rFonts w:ascii="Arial" w:cs="Arial" w:eastAsia="Arial" w:hAnsi="Arial"/>
          <w:color w:val="000000"/>
          <w:sz w:val="22"/>
          <w:szCs w:val="22"/>
        </w:rPr>
        <w:t>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Section 5.1 — Citizens</w:t>
      </w:r>
    </w:p>
    <w:p>
      <w:pPr>
        <w:spacing w:after="60" w:before="60"/>
      </w:pPr>
      <w:r>
        <w:rPr>
          <w:rFonts w:ascii="Arial" w:cs="Arial" w:eastAsia="Arial" w:hAnsi="Arial"/>
          <w:color w:val="000000"/>
          <w:sz w:val="22"/>
          <w:szCs w:val="22"/>
        </w:rPr>
        <w:t>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A child is automatically a citizen if at least one parent is a Citizen or Legal Resident at birth. This status is permanent and irrevocable.</w:t>
      </w:r>
    </w:p>
    <w:p>
      <w:pPr>
        <w:spacing w:after="60" w:before="60"/>
        <w:ind w:left="720" w:hanging="360"/>
      </w:pPr>
      <w:r>
        <w:t>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Section 5.4 — The Constitutional Logic Test</w:t>
      </w:r>
    </w:p>
    <w:p>
      <w:pPr>
        <w:spacing w:after="60" w:before="60"/>
      </w:pPr>
      <w:r>
        <w:rPr>
          <w:rFonts w:ascii="Arial" w:cs="Arial" w:eastAsia="Arial" w:hAnsi="Arial"/>
          <w:color w:val="000000"/>
          <w:sz w:val="22"/>
          <w:szCs w:val="22"/>
        </w:rPr>
        <w:t>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CLT Administrator requires a 2/3 vote of both chambers simultaneously and a documented finding of dereliction by the Executive Inspectorate published to the National Record System before the legislative vote may proceed. 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 — IMMIGRATION AND RESIDENCY</w:t>
      </w:r>
    </w:p>
    <w:p>
      <w:pPr>
        <w:spacing w:after="60" w:before="60"/>
      </w:pPr>
      <w:r>
        <w:rPr>
          <w:rFonts w:ascii="Arial" w:cs="Arial" w:eastAsia="Arial" w:hAnsi="Arial"/>
          <w:color w:val="000000"/>
          <w:sz w:val="22"/>
          <w:szCs w:val="22"/>
        </w:rPr>
        <w:t>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Section 6.1 — The Dual-Gate System</w:t>
      </w:r>
    </w:p>
    <w:p>
      <w:pPr>
        <w:spacing w:after="60" w:before="60"/>
      </w:pPr>
      <w:r>
        <w:rPr>
          <w:rFonts w:ascii="Arial" w:cs="Arial" w:eastAsia="Arial" w:hAnsi="Arial"/>
          <w:color w:val="000000"/>
          <w:sz w:val="22"/>
          <w:szCs w:val="22"/>
        </w:rPr>
        <w:t>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the Legislature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spacing w:after="0" w:before="120"/>
      </w:pPr>
      <w:r>
        <w:t xml:space="preserve"/>
      </w:r>
    </w:p>
    <w:p>
      <w:pPr>
        <w:pStyle w:val="Heading2"/>
        <w:spacing w:after="80" w:before="200"/>
      </w:pPr>
      <w:r>
        <w:rPr>
          <w:rFonts w:ascii="Arial" w:cs="Arial" w:eastAsia="Arial" w:hAnsi="Arial"/>
          <w:b/>
          <w:bCs/>
          <w:color w:val="4A6FA5"/>
          <w:sz w:val="24"/>
          <w:szCs w:val="24"/>
        </w:rPr>
        <w:t>Section 6.3 — Application Appeals</w:t>
      </w:r>
    </w:p>
    <w:p>
      <w:pPr>
        <w:spacing w:after="60" w:before="60"/>
      </w:pPr>
      <w:r>
        <w:rPr>
          <w:rFonts w:ascii="Arial" w:cs="Arial" w:eastAsia="Arial" w:hAnsi="Arial"/>
          <w:color w:val="000000"/>
          <w:sz w:val="22"/>
          <w:szCs w:val="22"/>
        </w:rPr>
        <w:t>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r>
        <w:rPr>
          <w:rFonts w:ascii="Arial" w:hAnsi="Arial"/>
          <w:b/>
          <w:sz w:val="22"/>
        </w:rPr>
        <w:t>Section 6.4 — Asylum and Protection</w:t>
      </w:r>
    </w:p>
    <w:p/>
    <w:p>
      <w:r>
        <w:rPr>
          <w:rFonts w:ascii="Arial" w:hAnsi="Arial"/>
          <w:b/>
          <w:sz w:val="22"/>
        </w:rPr>
        <w:t xml:space="preserve">6.4.a Asylum Seekers as Inhabitants: </w:t>
      </w:r>
      <w:r>
        <w:rPr>
          <w:rFonts w:ascii="Arial" w:hAnsi="Arial"/>
          <w:sz w:val="22"/>
        </w:rPr>
        <w:t>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r>
        <w:rPr>
          <w:rFonts w:ascii="Arial" w:hAnsi="Arial"/>
          <w:b/>
          <w:sz w:val="22"/>
        </w:rPr>
        <w:t xml:space="preserve">6.4.b Right to Determination and Protection During Proceedings: </w:t>
      </w:r>
      <w:r>
        <w:rPr>
          <w:rFonts w:ascii="Arial" w:hAnsi="Arial"/>
          <w:sz w:val="22"/>
        </w:rPr>
        <w:t>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r>
        <w:rPr>
          <w:rFonts w:ascii="Arial" w:hAnsi="Arial"/>
          <w:b/>
          <w:sz w:val="22"/>
        </w:rPr>
        <w:t xml:space="preserve">6.4.c Asylum Court: </w:t>
      </w:r>
      <w:r>
        <w:rPr>
          <w:rFonts w:ascii="Arial" w:hAnsi="Arial"/>
          <w:sz w:val="22"/>
        </w:rPr>
        <w:t>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the Legislature acts.</w:t>
      </w:r>
    </w:p>
    <w:p>
      <w:r>
        <w:rPr>
          <w:rFonts w:ascii="Arial" w:hAnsi="Arial"/>
          <w:b/>
          <w:sz w:val="22"/>
        </w:rPr>
        <w:t xml:space="preserve">6.4.d Non-Penalization for Irregular Entry: </w:t>
      </w:r>
      <w:r>
        <w:rPr>
          <w:rFonts w:ascii="Arial" w:hAnsi="Arial"/>
          <w:sz w:val="22"/>
        </w:rPr>
        <w:t>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r>
        <w:rPr>
          <w:rFonts w:ascii="Arial" w:hAnsi="Arial"/>
          <w:b/>
          <w:sz w:val="22"/>
        </w:rPr>
        <w:t xml:space="preserve">6.4.e Unexecutable Removal Orders: </w:t>
      </w:r>
      <w:r>
        <w:rPr>
          <w:rFonts w:ascii="Arial" w:hAnsi="Arial"/>
          <w:sz w:val="22"/>
        </w:rPr>
        <w:t>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Rule Violation for the presiding officers of both chambers.</w:t>
      </w:r>
    </w:p>
    <w:p>
      <w:r>
        <w:rPr>
          <w:rFonts w:ascii="Arial" w:hAnsi="Arial"/>
          <w:b/>
          <w:sz w:val="22"/>
        </w:rPr>
        <w:t xml:space="preserve">6.4.f Security and Criminal Protection Cases: </w:t>
      </w:r>
      <w:r>
        <w:rPr>
          <w:rFonts w:ascii="Arial" w:hAnsi="Arial"/>
          <w:sz w:val="22"/>
        </w:rPr>
        <w:t>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r>
        <w:rPr>
          <w:rFonts w:ascii="Arial" w:hAnsi="Arial"/>
          <w:b/>
          <w:sz w:val="22"/>
        </w:rPr>
        <w:t xml:space="preserve">6.4.g Territory Accessibility: </w:t>
      </w:r>
      <w:r>
        <w:rPr>
          <w:rFonts w:ascii="Arial" w:hAnsi="Arial"/>
          <w:sz w:val="22"/>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r>
        <w:t>6.4.h Unaccompanied Minors: 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Style w:val="Heading1"/>
        <w:spacing w:after="120" w:before="360"/>
      </w:pPr>
      <w:r>
        <w:rPr>
          <w:rFonts w:ascii="Arial" w:cs="Arial" w:eastAsia="Arial" w:hAnsi="Arial"/>
          <w:b/>
          <w:bCs/>
          <w:color w:val="1B2A4A"/>
          <w:sz w:val="32"/>
          <w:szCs w:val="32"/>
        </w:rPr>
        <w:t>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Section 7.1 — Standard Elections (Ranked Choice)</w:t>
      </w:r>
    </w:p>
    <w:p>
      <w:pPr>
        <w:spacing w:after="60" w:before="60"/>
      </w:pPr>
      <w:r>
        <w:rPr>
          <w:rFonts w:ascii="Arial" w:cs="Arial" w:eastAsia="Arial" w:hAnsi="Arial"/>
          <w:color w:val="000000"/>
          <w:sz w:val="22"/>
          <w:szCs w:val="22"/>
        </w:rPr>
        <w:t>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Section 7.2 — Presidential Election: National Vote and Regional Diversity</w:t>
      </w:r>
    </w:p>
    <w:p>
      <w:pPr>
        <w:spacing w:after="60" w:before="60"/>
      </w:pPr>
      <w:r>
        <w:rPr>
          <w:rFonts w:ascii="Arial" w:cs="Arial" w:eastAsia="Arial" w:hAnsi="Arial"/>
          <w:color w:val="000000"/>
          <w:sz w:val="22"/>
          <w:szCs w:val="22"/>
        </w:rPr>
        <w:t>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t>7.2.e Election Certification: 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ind w:left="720" w:hanging="360"/>
      </w:pPr>
      <w:r>
        <w:t>7.2.f Run-off: 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VIII — THE INSPECTORATES</w:t>
      </w:r>
    </w:p>
    <w:p>
      <w:pPr>
        <w:spacing w:after="60" w:before="60"/>
      </w:pPr>
      <w:r>
        <w:rPr>
          <w:rFonts w:ascii="Arial" w:cs="Arial" w:eastAsia="Arial" w:hAnsi="Arial"/>
          <w:color w:val="000000"/>
          <w:sz w:val="22"/>
          <w:szCs w:val="22"/>
        </w:rPr>
        <w:t>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Section 8.2 — Selection and Independence</w:t>
      </w:r>
    </w:p>
    <w:p>
      <w:pPr>
        <w:spacing w:after="60" w:before="60"/>
      </w:pPr>
      <w:r>
        <w:rPr>
          <w:rFonts w:ascii="Arial" w:cs="Arial" w:eastAsia="Arial" w:hAnsi="Arial"/>
          <w:color w:val="000000"/>
          <w:sz w:val="22"/>
          <w:szCs w:val="22"/>
        </w:rPr>
        <w:t>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Section 8.4 — The Judicial IG: Lottery Selection</w:t>
      </w:r>
    </w:p>
    <w:p>
      <w:pPr>
        <w:spacing w:after="60" w:before="60"/>
      </w:pPr>
      <w:r>
        <w:rPr>
          <w:rFonts w:ascii="Arial" w:cs="Arial" w:eastAsia="Arial" w:hAnsi="Arial"/>
          <w:color w:val="000000"/>
          <w:sz w:val="22"/>
          <w:szCs w:val="22"/>
        </w:rPr>
        <w:t>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Inspectorate Oversight Committee may appoint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confirmation by the surviving senators under the §3.2.g survivor quorum provision.</w:t>
      </w:r>
    </w:p>
    <w:p>
      <w:pPr>
        <w:spacing w:after="0" w:before="120"/>
      </w:pPr>
      <w:r>
        <w:t xml:space="preserve"/>
      </w:r>
    </w:p>
    <w:p>
      <w:pPr>
        <w:pStyle w:val="Heading2"/>
        <w:spacing w:after="80" w:before="200"/>
      </w:pPr>
      <w:r>
        <w:rPr>
          <w:rFonts w:ascii="Arial" w:cs="Arial" w:eastAsia="Arial" w:hAnsi="Arial"/>
          <w:b/>
          <w:bCs/>
          <w:color w:val="4A6FA5"/>
          <w:sz w:val="24"/>
          <w:szCs w:val="24"/>
        </w:rPr>
        <w:t>Section 8.5 — IG Removal: Two-Track System</w:t>
      </w:r>
    </w:p>
    <w:p>
      <w:pPr>
        <w:spacing w:after="60" w:before="60"/>
      </w:pPr>
      <w:r>
        <w:rPr>
          <w:rFonts w:ascii="Arial" w:cs="Arial" w:eastAsia="Arial" w:hAnsi="Arial"/>
          <w:color w:val="000000"/>
          <w:sz w:val="22"/>
          <w:szCs w:val="22"/>
        </w:rPr>
        <w:t>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Grounds: documented dereliction of duty, incapacity, undisclosed conflict of interest, or criminal conviction. Requires a 2/3 vote of both chambers simultaneously. Before the parliamentary vote, the Inspectorate Oversight Committee (§8.9) must publish a verification finding within 30 days of the removal motion being filed. The verification requires a 2/3 vote of the full Committee — not merely members present. The Committee's verification is published to the National Record System. the Legislature may proceed to the 2/3 vote only after the Committee publishes. If the Committee finds the stated grounds unsubstantiated, the motion lapses unless new grounds are filed. The IG being removed may petition the Supreme Court within 14 days of the Committee's finding for expedited technical review on whether the Committee applied the constitutional criteria correctly; the IG continues in office during this review.</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Section 8.6 — The Information-Only Mandate</w:t>
      </w:r>
    </w:p>
    <w:p>
      <w:pPr>
        <w:spacing w:after="60" w:before="60"/>
      </w:pPr>
      <w:r>
        <w:rPr>
          <w:rFonts w:ascii="Arial" w:cs="Arial" w:eastAsia="Arial" w:hAnsi="Arial"/>
          <w:color w:val="000000"/>
          <w:sz w:val="22"/>
          <w:szCs w:val="22"/>
        </w:rPr>
        <w:t>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An Inspectorate Report is a documented statement of observed fact. What the Legislature, the courts, or the People do with that information is their constitutional prerogative. Where a Report's findings may be relevant to potential Rule Violation proceedings, the Report states that the Legislature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the Inspectorate Oversight Committee.</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ind w:left="720" w:hanging="360"/>
      </w:pPr>
      <w:r>
        <w:rPr>
          <w:b/>
        </w:rPr>
        <w:t xml:space="preserve">8.6.g Citizen Discrepancy Petition: </w:t>
      </w:r>
      <w:r>
        <w:t>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spacing w:after="0" w:before="120"/>
      </w:pPr>
      <w:r>
        <w:t xml:space="preserve"/>
      </w:r>
    </w:p>
    <w:p>
      <w:pPr>
        <w:pStyle w:val="Heading2"/>
        <w:spacing w:after="80" w:before="200"/>
      </w:pPr>
      <w:r>
        <w:rPr>
          <w:rFonts w:ascii="Arial" w:cs="Arial" w:eastAsia="Arial" w:hAnsi="Arial"/>
          <w:b/>
          <w:bCs/>
          <w:color w:val="4A6FA5"/>
          <w:sz w:val="24"/>
          <w:szCs w:val="24"/>
        </w:rPr>
        <w:t>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Section 8.8 — The Annual State of the Republic Report</w:t>
      </w:r>
    </w:p>
    <w:p>
      <w:pPr>
        <w:spacing w:after="60" w:before="60"/>
      </w:pPr>
      <w:r>
        <w:rPr>
          <w:rFonts w:ascii="Arial" w:cs="Arial" w:eastAsia="Arial" w:hAnsi="Arial"/>
          <w:color w:val="000000"/>
          <w:sz w:val="22"/>
          <w:szCs w:val="22"/>
        </w:rPr>
        <w:t>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Section 8.9 — The Inspectorate Oversight Committee</w:t>
      </w:r>
    </w:p>
    <w:p>
      <w:pPr>
        <w:spacing w:after="60" w:before="60"/>
      </w:pPr>
      <w:r>
        <w:rPr>
          <w:rFonts w:ascii="Arial" w:cs="Arial" w:eastAsia="Arial" w:hAnsi="Arial"/>
          <w:color w:val="000000"/>
          <w:sz w:val="22"/>
          <w:szCs w:val="22"/>
        </w:rPr>
        <w:t>A joint Inspectorate Oversight Committee of the Legislature is constitutionally mandated. Its composition reflects the proportional membership of both chambers. During House dissolution, the Committee's Senate members constitute a quorum for the sole purpose of receiving and publishing Minority Reports. The Senate members during dissolution may not constitute a verification quorum for For-Cause removal proceedings — the 2/3 supermajority required for verification cannot be satisfied by Senate members alone during this period. All For-Cause removal proceedings requiring Committee verification are automatically suspended during dissolution and resume when the new House is seated. No partial verification finding may be published during dissolution.</w:t>
      </w:r>
    </w:p>
    <w:p>
      <w:pPr>
        <w:spacing w:after="60" w:before="60"/>
        <w:ind w:left="720" w:hanging="360"/>
      </w:pPr>
      <w:r>
        <w:rPr>
          <w:rFonts w:ascii="Arial" w:cs="Arial" w:eastAsia="Arial" w:hAnsi="Arial"/>
          <w:b/>
          <w:bCs/>
          <w:color w:val="4A6FA5"/>
          <w:sz w:val="22"/>
          <w:szCs w:val="22"/>
        </w:rPr>
        <w:t xml:space="preserve">8.9.a Powers: </w:t>
      </w:r>
      <w:r>
        <w:rPr>
          <w:rFonts w:ascii="Arial" w:cs="Arial" w:eastAsia="Arial" w:hAnsi="Arial"/>
          <w:color w:val="000000"/>
          <w:sz w:val="22"/>
          <w:szCs w:val="22"/>
        </w:rPr>
        <w:t>The Committee may: review internal investigation files, methodologies, and non-pursuit decisions of any Inspectorate; compel testimony from Inspectors General and their staff; and publish its own findings — clearly labeled as parliamentary oversight findings, distinct from Inspectorate Reports — to the National Record System. The Committee verifies For-Cause removal grounds as specified in §8.5.</w:t>
      </w:r>
    </w:p>
    <w:p>
      <w:pPr>
        <w:spacing w:after="60" w:before="60"/>
        <w:ind w:left="720" w:hanging="360"/>
      </w:pPr>
      <w:r>
        <w:rPr>
          <w:rFonts w:ascii="Arial" w:cs="Arial" w:eastAsia="Arial" w:hAnsi="Arial"/>
          <w:b/>
          <w:bCs/>
          <w:color w:val="4A6FA5"/>
          <w:sz w:val="22"/>
          <w:szCs w:val="22"/>
        </w:rPr>
        <w:t xml:space="preserve">8.9.b Limits: </w:t>
      </w:r>
      <w:r>
        <w:rPr>
          <w:rFonts w:ascii="Arial" w:cs="Arial" w:eastAsia="Arial" w:hAnsi="Arial"/>
          <w:color w:val="000000"/>
          <w:sz w:val="22"/>
          <w:szCs w:val="22"/>
        </w:rPr>
        <w:t>The Committee may not: alter, suppress, delay, or direct the content of any Inspectorate Report; instruct an Inspectorate to open, close, or modify an investigation; or remove an Inspector General by its own action.</w:t>
      </w:r>
    </w:p>
    <w:p>
      <w:pPr>
        <w:spacing w:after="60" w:before="60"/>
        <w:ind w:left="720" w:hanging="360"/>
      </w:pPr>
      <w:r>
        <w:rPr>
          <w:rFonts w:ascii="Arial" w:cs="Arial" w:eastAsia="Arial" w:hAnsi="Arial"/>
          <w:b/>
          <w:bCs/>
          <w:color w:val="4A6FA5"/>
          <w:sz w:val="22"/>
          <w:szCs w:val="22"/>
        </w:rPr>
        <w:t xml:space="preserve">8.9.c Annual Report: </w:t>
      </w:r>
      <w:r>
        <w:rPr>
          <w:rFonts w:ascii="Arial" w:cs="Arial" w:eastAsia="Arial" w:hAnsi="Arial"/>
          <w:color w:val="000000"/>
          <w:sz w:val="22"/>
          <w:szCs w:val="22"/>
        </w:rPr>
        <w:t>The Committee reports to both chambers annually on the operational health of the Inspectorate system, including any non-pursuit disclosure findings it considers inadequate and any Minority Reports it has categorized as substantive.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Section 8.10 — Inspectorate Minimum Funding Guarantee</w:t>
      </w:r>
    </w:p>
    <w:p>
      <w:pPr>
        <w:spacing w:after="60" w:before="60"/>
      </w:pPr>
      <w:r>
        <w:rPr>
          <w:rFonts w:ascii="Arial" w:cs="Arial" w:eastAsia="Arial" w:hAnsi="Arial"/>
          <w:color w:val="000000"/>
          <w:sz w:val="22"/>
          <w:szCs w:val="22"/>
        </w:rPr>
        <w:t>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IX — THE NATIONAL RECORD SYSTEM</w:t>
      </w:r>
    </w:p>
    <w:p>
      <w:pPr>
        <w:spacing w:after="60" w:before="60"/>
      </w:pPr>
      <w:r>
        <w:rPr>
          <w:rFonts w:ascii="Arial" w:cs="Arial" w:eastAsia="Arial" w:hAnsi="Arial"/>
          <w:color w:val="000000"/>
          <w:sz w:val="22"/>
          <w:szCs w:val="22"/>
        </w:rPr>
        <w:t>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Style w:val="Heading2"/>
      </w:pPr>
      <w:r>
        <w:t>Section 9.3 — RSA Director</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The RSA Director is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Section 9.4 — Emergency Mode</w:t>
      </w:r>
    </w:p>
    <w:p>
      <w:pPr>
        <w:spacing w:after="60" w:before="60"/>
      </w:pPr>
      <w:r>
        <w:rPr>
          <w:rFonts w:ascii="Arial" w:cs="Arial" w:eastAsia="Arial" w:hAnsi="Arial"/>
          <w:color w:val="000000"/>
          <w:sz w:val="22"/>
          <w:szCs w:val="22"/>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Section 9.5 — Classification Framework</w:t>
      </w:r>
    </w:p>
    <w:p>
      <w:pPr>
        <w:spacing w:after="60" w:before="60"/>
      </w:pPr>
      <w:r>
        <w:rPr>
          <w:rFonts w:ascii="Arial" w:cs="Arial" w:eastAsia="Arial" w:hAnsi="Arial"/>
          <w:color w:val="000000"/>
          <w:sz w:val="22"/>
          <w:szCs w:val="22"/>
        </w:rPr>
        <w:t>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9.5.a Classification Authority: </w:t>
      </w:r>
      <w:r>
        <w:rPr>
          <w:rFonts w:ascii="Arial" w:cs="Arial" w:eastAsia="Arial" w:hAnsi="Arial"/>
          <w:color w:val="000000"/>
          <w:sz w:val="22"/>
          <w:szCs w:val="22"/>
        </w:rPr>
        <w:t>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9.5.b Classification Duration: </w:t>
      </w:r>
      <w:r>
        <w:rPr>
          <w:rFonts w:ascii="Arial" w:cs="Arial" w:eastAsia="Arial" w:hAnsi="Arial"/>
          <w:color w:val="000000"/>
          <w:sz w:val="22"/>
          <w:szCs w:val="22"/>
        </w:rPr>
        <w:t>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9.5.c Classification Registry: </w:t>
      </w:r>
      <w:r>
        <w:rPr>
          <w:rFonts w:ascii="Arial" w:cs="Arial" w:eastAsia="Arial" w:hAnsi="Arial"/>
          <w:color w:val="000000"/>
          <w:sz w:val="22"/>
          <w:szCs w:val="22"/>
        </w:rPr>
        <w:t>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the Legislature defines registration timelines and format by statute.</w:t>
      </w:r>
    </w:p>
    <w:p>
      <w:pPr>
        <w:spacing w:after="60" w:before="60"/>
        <w:ind w:left="720" w:hanging="360"/>
      </w:pPr>
      <w:r>
        <w:rPr>
          <w:rFonts w:ascii="Arial" w:cs="Arial" w:eastAsia="Arial" w:hAnsi="Arial"/>
          <w:b/>
          <w:bCs/>
          <w:color w:val="4A6FA5"/>
          <w:sz w:val="22"/>
          <w:szCs w:val="22"/>
        </w:rPr>
        <w:t xml:space="preserve">9.5.d Automatic Declassification: </w:t>
      </w:r>
      <w:r>
        <w:rPr>
          <w:rFonts w:ascii="Arial" w:cs="Arial" w:eastAsia="Arial" w:hAnsi="Arial"/>
          <w:color w:val="000000"/>
          <w:sz w:val="22"/>
          <w:szCs w:val="22"/>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9.5.e Improper Classification: </w:t>
      </w:r>
      <w:r>
        <w:rPr>
          <w:rFonts w:ascii="Arial" w:cs="Arial" w:eastAsia="Arial" w:hAnsi="Arial"/>
          <w:color w:val="000000"/>
          <w:sz w:val="22"/>
          <w:szCs w:val="22"/>
        </w:rPr>
        <w:t>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Section 10.1 — Basic Needs Support (The Basic Needs Floor)</w:t>
      </w:r>
    </w:p>
    <w:p>
      <w:pPr>
        <w:spacing w:after="60" w:before="60"/>
      </w:pPr>
      <w:r>
        <w:rPr>
          <w:rFonts w:ascii="Arial" w:cs="Arial" w:eastAsia="Arial" w:hAnsi="Arial"/>
          <w:color w:val="000000"/>
          <w:sz w:val="22"/>
          <w:szCs w:val="22"/>
        </w:rPr>
        <w:t>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dissolution or emergency, with a maximum toll of 90 days. If the Legislature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Legislative Review: </w:t>
      </w:r>
      <w:r>
        <w:rPr>
          <w:rFonts w:ascii="Arial" w:cs="Arial" w:eastAsia="Arial" w:hAnsi="Arial"/>
          <w:color w:val="000000"/>
          <w:sz w:val="22"/>
          <w:szCs w:val="22"/>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Section 10.2 — Taxation Authority</w:t>
      </w:r>
    </w:p>
    <w:p>
      <w:pPr>
        <w:spacing w:after="60" w:before="60"/>
      </w:pPr>
      <w:r>
        <w:rPr>
          <w:rFonts w:ascii="Arial" w:cs="Arial" w:eastAsia="Arial" w:hAnsi="Arial"/>
          <w:color w:val="000000"/>
          <w:sz w:val="22"/>
          <w:szCs w:val="22"/>
        </w:rPr>
        <w:t>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pPr>
      <w:r>
        <w:rPr>
          <w:rFonts w:ascii="Arial" w:cs="Arial" w:eastAsia="Arial" w:hAnsi="Arial"/>
          <w:color w:val="000000"/>
          <w:sz w:val="22"/>
          <w:szCs w:val="22"/>
        </w:rPr>
        <w:t>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Section 10.4 — The Monetary Authority</w:t>
      </w:r>
    </w:p>
    <w:p>
      <w:pPr>
        <w:spacing w:after="60" w:before="60"/>
        <w:ind w:left="720" w:hanging="360"/>
      </w:pPr>
      <w:r>
        <w:rPr>
          <w:b/>
        </w:rPr>
        <w:t xml:space="preserve">10.4.a Director Election and Board Composition: </w:t>
      </w:r>
      <w:r>
        <w:t>The Monetary Authority is governed by a Director and a board of five members. The Director is elected by national Ranked Choice Voting on National Election Day to a single non-renewable 7-year term, staggered from the board member appointment cycle. 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PM may remove an acting board member within 90 days of assumption; after 90 days removal requires a simple Senate majority; after 180 days removal requires the full 2/3 both chambers plus EI dereliction finding standard. Confirmation by the Senate at any time converts acting status to permanent appointment and the full term begins from the date of confirmation. Removal of a confirmed board member requires a 2/3 vote of both chambers simultaneously and a documented finding of dereliction by the Executive Inspectorate. 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 Upon any mid-term vacancy in a board member role, the PM nominates a replacement within 60 days and the acting officer escalation framework applies.</w:t>
      </w:r>
    </w:p>
    <w:p>
      <w:pPr>
        <w:spacing w:after="60" w:before="60"/>
        <w:ind w:left="720" w:hanging="360"/>
      </w:pPr>
      <w:r>
        <w:rPr>
          <w:b/>
        </w:rPr>
        <w:t xml:space="preserve">10.4.b Independence: </w:t>
      </w:r>
      <w:r>
        <w:t>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commits a Rule Violation.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t>10.5.b Financial Disclosure: 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the Legislature defines by statute the specific content requirements, the de minimis thresholds, and the verification process, consistent with this section.</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Officials are subject to a post-service lobbying ban of not less than five years, as the Legislature may extend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Section 10.7 — Compensation of Public Officials</w:t>
      </w:r>
    </w:p>
    <w:p>
      <w:pPr>
        <w:spacing w:after="60" w:before="60"/>
      </w:pPr>
      <w:r>
        <w:rPr>
          <w:rFonts w:ascii="Arial" w:cs="Arial" w:eastAsia="Arial" w:hAnsi="Arial"/>
          <w:color w:val="000000"/>
          <w:sz w:val="22"/>
          <w:szCs w:val="22"/>
        </w:rPr>
        <w:t>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A referendum requires 50% participation to be valid. A simple majority affirmative vote overturns the law. A referendum result is final — the Legislature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Section 12.1 — Authorized Purposes for Military Force</w:t>
      </w:r>
    </w:p>
    <w:p>
      <w:pPr>
        <w:spacing w:after="60" w:before="60"/>
      </w:pPr>
      <w:r>
        <w:rPr>
          <w:rFonts w:ascii="Arial" w:cs="Arial" w:eastAsia="Arial" w:hAnsi="Arial"/>
          <w:color w:val="000000"/>
          <w:sz w:val="22"/>
          <w:szCs w:val="22"/>
        </w:rPr>
        <w:t>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Section 12.2 — Military Authorization Tiers</w:t>
      </w:r>
    </w:p>
    <w:p>
      <w:pPr>
        <w:spacing w:after="60" w:before="60"/>
      </w:pPr>
      <w:r>
        <w:rPr>
          <w:rFonts w:ascii="Arial" w:cs="Arial" w:eastAsia="Arial" w:hAnsi="Arial"/>
          <w:color w:val="000000"/>
          <w:sz w:val="22"/>
          <w:szCs w:val="22"/>
        </w:rPr>
        <w:t>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Legislative Declaration of Defense: </w:t>
      </w:r>
      <w:r>
        <w:rPr>
          <w:rFonts w:ascii="Arial" w:cs="Arial" w:eastAsia="Arial" w:hAnsi="Arial"/>
          <w:color w:val="000000"/>
          <w:sz w:val="22"/>
          <w:szCs w:val="22"/>
        </w:rPr>
        <w:t>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Inspectorate Oversight Committee; the Legislature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legislative review upon reconstitution of civilian authority. This authority terminates immediately and automatically upon any constitutional successor assuming presidential authority under §2.6.a or by expedited §2.8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Section 12.3 — Intelligence Firewall</w:t>
      </w:r>
    </w:p>
    <w:p>
      <w:pPr>
        <w:spacing w:after="60" w:before="60"/>
      </w:pPr>
      <w:r>
        <w:rPr>
          <w:rFonts w:ascii="Arial" w:cs="Arial" w:eastAsia="Arial" w:hAnsi="Arial"/>
          <w:color w:val="000000"/>
          <w:sz w:val="22"/>
          <w:szCs w:val="22"/>
        </w:rPr>
        <w:t>All domestic intelligence operations against Republic citizens are permanently prohibited. Any such order may trigger Rule Violation proceedings against the President and Director of Intelligence under §2.7, triggering immediate suspension and a Senate trial within a period the Legislature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Section 12.4 — Post-Conflict Obligations</w:t>
      </w:r>
    </w:p>
    <w:p>
      <w:pPr>
        <w:spacing w:after="60" w:before="60"/>
      </w:pPr>
      <w:r>
        <w:rPr>
          <w:rFonts w:ascii="Arial" w:cs="Arial" w:eastAsia="Arial" w:hAnsi="Arial"/>
          <w:color w:val="000000"/>
          <w:sz w:val="22"/>
          <w:szCs w:val="22"/>
        </w:rPr>
        <w:t>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spacing w:after="0" w:before="120"/>
      </w:pPr>
      <w:r>
        <w:t xml:space="preserve"/>
      </w:r>
    </w:p>
    <w:p>
      <w:pPr>
        <w:pStyle w:val="Heading2"/>
        <w:spacing w:after="80" w:before="200"/>
      </w:pPr>
      <w:r>
        <w:rPr>
          <w:rFonts w:ascii="Arial" w:cs="Arial" w:eastAsia="Arial" w:hAnsi="Arial"/>
          <w:b/>
          <w:bCs/>
          <w:color w:val="4A6FA5"/>
          <w:sz w:val="24"/>
          <w:szCs w:val="24"/>
        </w:rPr>
        <w:t>Section 12.5 — Treaty-Triggered Military Obligations</w:t>
      </w:r>
    </w:p>
    <w:p>
      <w:pPr>
        <w:spacing w:after="60" w:before="60"/>
      </w:pPr>
      <w:r>
        <w:rPr>
          <w:rFonts w:ascii="Arial" w:cs="Arial" w:eastAsia="Arial" w:hAnsi="Arial"/>
          <w:color w:val="000000"/>
          <w:sz w:val="22"/>
          <w:szCs w:val="22"/>
        </w:rPr>
        <w:t>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ind w:left="720" w:hanging="360"/>
      </w:pPr>
      <w:r>
        <w:rPr>
          <w:rFonts w:ascii="Arial" w:cs="Arial" w:eastAsia="Arial" w:hAnsi="Arial"/>
          <w:b/>
          <w:bCs/>
          <w:color w:val="4A6FA5"/>
          <w:sz w:val="22"/>
          <w:szCs w:val="22"/>
        </w:rPr>
        <w:t xml:space="preserve">12.5.b Legislative Ratification: </w:t>
      </w:r>
      <w:r>
        <w:rPr>
          <w:rFonts w:ascii="Arial" w:cs="Arial" w:eastAsia="Arial" w:hAnsi="Arial"/>
          <w:color w:val="000000"/>
          <w:sz w:val="22"/>
          <w:szCs w:val="22"/>
        </w:rPr>
        <w:t>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Section 13.1 — Territorial Compact</w:t>
      </w:r>
    </w:p>
    <w:p>
      <w:pPr>
        <w:spacing w:after="60" w:before="60"/>
      </w:pPr>
      <w:r>
        <w:rPr>
          <w:rFonts w:ascii="Arial" w:cs="Arial" w:eastAsia="Arial" w:hAnsi="Arial"/>
          <w:color w:val="000000"/>
          <w:sz w:val="22"/>
          <w:szCs w:val="22"/>
        </w:rPr>
        <w:t>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Section 13.2 — Requirements for Statehood</w:t>
      </w:r>
    </w:p>
    <w:p>
      <w:pPr>
        <w:spacing w:after="60" w:before="60"/>
      </w:pPr>
      <w:r>
        <w:rPr>
          <w:rFonts w:ascii="Arial" w:cs="Arial" w:eastAsia="Arial" w:hAnsi="Arial"/>
          <w:color w:val="000000"/>
          <w:sz w:val="22"/>
          <w:szCs w:val="22"/>
        </w:rPr>
        <w:t>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Provisional status certification requires a joint assessment by all three Inspectorates; no single Inspectorate's finding is sufficient to grant or deny provisional status.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Section 13.3 — Mandatory State Devolution</w:t>
      </w:r>
    </w:p>
    <w:p>
      <w:pPr>
        <w:spacing w:after="60" w:before="60"/>
      </w:pPr>
      <w:r>
        <w:rPr>
          <w:rFonts w:ascii="Arial" w:cs="Arial" w:eastAsia="Arial" w:hAnsi="Arial"/>
          <w:color w:val="000000"/>
          <w:sz w:val="22"/>
          <w:szCs w:val="22"/>
        </w:rPr>
        <w:t>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Section 13.4 — Voluntary Devolution</w:t>
      </w:r>
    </w:p>
    <w:p>
      <w:pPr>
        <w:spacing w:after="60" w:before="60"/>
      </w:pPr>
      <w:r>
        <w:rPr>
          <w:rFonts w:ascii="Arial" w:cs="Arial" w:eastAsia="Arial" w:hAnsi="Arial"/>
          <w:color w:val="000000"/>
          <w:sz w:val="22"/>
          <w:szCs w:val="22"/>
        </w:rPr>
        <w:t>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Style w:val="Heading2"/>
      </w:pPr>
      <w:r>
        <w:t>Section 13.5 — Associated Community Cross-Reference</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Style w:val="Heading2"/>
      </w:pPr>
      <w:r>
        <w:t>Section 13.6 — Voluntary Incorporation</w:t>
      </w:r>
    </w:p>
    <w:p>
      <w:r>
        <w:rPr>
          <w:rFonts w:ascii="Arial" w:hAnsi="Arial"/>
          <w:b/>
          <w:sz w:val="22"/>
        </w:rPr>
        <w:t xml:space="preserve">13.6 Voluntary Incorporation: </w:t>
      </w:r>
      <w:r>
        <w:rPr>
          <w:rFonts w:ascii="Arial" w:hAnsi="Arial"/>
          <w:sz w:val="22"/>
        </w:rPr>
        <w:t>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XIV — THE INDIGENOUS NATION COMPACT</w:t>
      </w:r>
    </w:p>
    <w:p>
      <w:pPr>
        <w:spacing w:after="60" w:before="60"/>
      </w:pPr>
      <w:r>
        <w:rPr>
          <w:rFonts w:ascii="Arial" w:cs="Arial" w:eastAsia="Arial" w:hAnsi="Arial"/>
          <w:color w:val="000000"/>
          <w:sz w:val="22"/>
          <w:szCs w:val="22"/>
        </w:rPr>
        <w:t>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14.1 — Acknowledgment of Prior Sovereignty</w:t>
      </w:r>
    </w:p>
    <w:p>
      <w:pPr>
        <w:spacing w:after="60" w:before="60"/>
      </w:pPr>
      <w:r>
        <w:rPr>
          <w:rFonts w:ascii="Arial" w:cs="Arial" w:eastAsia="Arial" w:hAnsi="Arial"/>
          <w:color w:val="000000"/>
          <w:sz w:val="22"/>
          <w:szCs w:val="22"/>
        </w:rPr>
        <w:t>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Section 14.2 — Treaty Supremacy and Continuity</w:t>
      </w:r>
    </w:p>
    <w:p>
      <w:pPr>
        <w:spacing w:after="60" w:before="60"/>
      </w:pPr>
      <w:r>
        <w:rPr>
          <w:rFonts w:ascii="Arial" w:cs="Arial" w:eastAsia="Arial" w:hAnsi="Arial"/>
          <w:color w:val="000000"/>
          <w:sz w:val="22"/>
          <w:szCs w:val="22"/>
        </w:rPr>
        <w:t>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Section 14.3 — Government-to-Government Relationship</w:t>
      </w:r>
    </w:p>
    <w:p>
      <w:pPr>
        <w:spacing w:after="60" w:before="60"/>
      </w:pPr>
      <w:r>
        <w:rPr>
          <w:rFonts w:ascii="Arial" w:cs="Arial" w:eastAsia="Arial" w:hAnsi="Arial"/>
          <w:color w:val="000000"/>
          <w:sz w:val="22"/>
          <w:szCs w:val="22"/>
        </w:rPr>
        <w:t>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Section 14.4 — Indigenous Lands</w:t>
      </w:r>
    </w:p>
    <w:p>
      <w:pPr>
        <w:spacing w:after="60" w:before="60"/>
      </w:pPr>
      <w:r>
        <w:rPr>
          <w:rFonts w:ascii="Arial" w:cs="Arial" w:eastAsia="Arial" w:hAnsi="Arial"/>
          <w:color w:val="000000"/>
          <w:sz w:val="22"/>
          <w:szCs w:val="22"/>
        </w:rPr>
        <w:t>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Section 15.1 — Amendment Paths</w:t>
      </w:r>
    </w:p>
    <w:p>
      <w:pPr>
        <w:spacing w:after="60" w:before="60"/>
        <w:ind w:left="720" w:hanging="360"/>
      </w:pPr>
      <w:r>
        <w:rPr>
          <w:rFonts w:ascii="Arial" w:cs="Arial" w:eastAsia="Arial" w:hAnsi="Arial"/>
          <w:b/>
          <w:bCs/>
          <w:color w:val="4A6FA5"/>
          <w:sz w:val="22"/>
          <w:szCs w:val="22"/>
        </w:rPr>
        <w:t xml:space="preserve">15.1.a Legislative Path: </w:t>
      </w:r>
      <w:r>
        <w:rPr>
          <w:rFonts w:ascii="Arial" w:cs="Arial" w:eastAsia="Arial" w:hAnsi="Arial"/>
          <w:color w:val="000000"/>
          <w:sz w:val="22"/>
          <w:szCs w:val="22"/>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ind w:left="720" w:hanging="360"/>
      </w:pPr>
      <w:r>
        <w:t>15.1.b Legislative and Popular Path: 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ind w:left="720" w:hanging="360"/>
      </w:pPr>
      <w:r>
        <w:t>15.1.c Citizen-Led Path: 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spacing w:after="0" w:before="120"/>
      </w:pPr>
      <w:r>
        <w:t xml:space="preserve"/>
      </w:r>
    </w:p>
    <w:p>
      <w:pPr>
        <w:pStyle w:val="Heading2"/>
        <w:spacing w:after="80" w:before="200"/>
      </w:pPr>
      <w:r>
        <w:rPr>
          <w:rFonts w:ascii="Arial" w:cs="Arial" w:eastAsia="Arial" w:hAnsi="Arial"/>
          <w:b/>
          <w:bCs/>
          <w:color w:val="4A6FA5"/>
          <w:sz w:val="24"/>
          <w:szCs w:val="24"/>
        </w:rPr>
        <w:t>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Heading2"/>
        <w:spacing w:after="80" w:before="200"/>
      </w:pPr>
      <w:r>
        <w:rPr>
          <w:rFonts w:ascii="Arial" w:cs="Arial" w:eastAsia="Arial" w:hAnsi="Arial"/>
          <w:b/>
          <w:bCs/>
          <w:color w:val="4A6FA5"/>
          <w:sz w:val="24"/>
          <w:szCs w:val="24"/>
        </w:rPr>
        <w:t>Section 15.5 — Independence Transition Framework</w:t>
      </w:r>
    </w:p>
    <w:p>
      <w:pPr>
        <w:spacing w:after="60" w:before="60"/>
      </w:pPr>
      <w:r>
        <w:rPr>
          <w:rFonts w:ascii="Arial" w:cs="Arial" w:eastAsia="Arial" w:hAnsi="Arial"/>
          <w:color w:val="000000"/>
          <w:sz w:val="22"/>
          <w:szCs w:val="22"/>
        </w:rPr>
        <w:t>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pStyle w:val="Heading2"/>
      </w:pPr>
      <w:r>
        <w:t>Section 15.6 — Constitutional Supremacy</w:t>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 — THE NATIONAL VOTING SYSTEM AND ELECTORAL COMMISSION</w:t>
      </w:r>
    </w:p>
    <w:p>
      <w:pPr>
        <w:spacing w:after="60" w:before="60"/>
      </w:pPr>
      <w:r>
        <w:rPr>
          <w:rFonts w:ascii="Arial" w:cs="Arial" w:eastAsia="Arial" w:hAnsi="Arial"/>
          <w:color w:val="000000"/>
          <w:sz w:val="22"/>
          <w:szCs w:val="22"/>
        </w:rPr>
        <w:t>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Section 16.1 — The Electoral Commission</w:t>
      </w:r>
    </w:p>
    <w:p>
      <w:pPr>
        <w:spacing w:after="60" w:before="60"/>
      </w:pPr>
      <w:r>
        <w:rPr>
          <w:rFonts w:ascii="Arial" w:cs="Arial" w:eastAsia="Arial" w:hAnsi="Arial"/>
          <w:color w:val="000000"/>
          <w:sz w:val="22"/>
          <w:szCs w:val="22"/>
        </w:rPr>
        <w:t>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session of the Legislature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bl>
    <w:p>
      <w:pPr>
        <w:spacing w:after="0" w:before="120"/>
      </w:pPr>
      <w:r>
        <w:t xml:space="preserve"/>
      </w:r>
    </w:p>
    <w:p>
      <w:pPr>
        <w:spacing w:after="60" w:before="60"/>
      </w:pPr>
      <w:r>
        <w:rPr>
          <w:rFonts w:ascii="Arial" w:cs="Arial" w:eastAsia="Arial" w:hAnsi="Arial"/>
          <w:color w:val="000000"/>
          <w:sz w:val="22"/>
          <w:szCs w:val="22"/>
        </w:rPr>
        <w:t>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Section 16.2 — Member Qualifications</w:t>
      </w:r>
    </w:p>
    <w:p>
      <w:pPr>
        <w:spacing w:after="60" w:before="60"/>
      </w:pPr>
      <w:r>
        <w:rPr>
          <w:rFonts w:ascii="Arial" w:cs="Arial" w:eastAsia="Arial" w:hAnsi="Arial"/>
          <w:color w:val="000000"/>
          <w:sz w:val="22"/>
          <w:szCs w:val="22"/>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Style w:val="Heading2"/>
        <w:spacing w:after="80" w:before="200"/>
      </w:pPr>
      <w:r>
        <w:rPr>
          <w:rFonts w:ascii="Arial" w:cs="Arial" w:eastAsia="Arial" w:hAnsi="Arial"/>
          <w:b/>
          <w:bCs/>
          <w:color w:val="4A6FA5"/>
          <w:sz w:val="24"/>
          <w:szCs w:val="24"/>
        </w:rPr>
        <w:t>Section 16.3 — Constitutional Properties of the National Voting System</w:t>
      </w:r>
    </w:p>
    <w:p>
      <w:pPr>
        <w:spacing w:after="60" w:before="60"/>
      </w:pPr>
      <w:r>
        <w:rPr>
          <w:rFonts w:ascii="Arial" w:cs="Arial" w:eastAsia="Arial" w:hAnsi="Arial"/>
          <w:color w:val="000000"/>
          <w:sz w:val="22"/>
          <w:szCs w:val="22"/>
        </w:rPr>
        <w:t>The National Voting System must satisfy these constitutional properties. the Legislature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the Legislature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Electoral Commission members may only be removed by Track 1 For-Cause removal (§8.5), requiring a 2/3 vote of both chambers simultaneously, verified by the Inspectorate Oversight Committee with a 2/3 supermajority.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pPr>
      <w:r>
        <w:rPr>
          <w:b/>
        </w:rPr>
        <w:t xml:space="preserve">16.5.d Mid-Term Vacancy: </w:t>
      </w:r>
      <w:r>
        <w:t>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w:t>
      </w:r>
    </w:p>
    <w:p>
      <w:pPr>
        <w:spacing w:after="0" w:before="120"/>
      </w:pPr>
      <w:r>
        <w:t xml:space="preserve"/>
      </w:r>
    </w:p>
    <w:p>
      <w:pPr>
        <w:pStyle w:val="Heading2"/>
        <w:spacing w:after="80" w:before="200"/>
      </w:pPr>
      <w:r>
        <w:rPr>
          <w:rFonts w:ascii="Arial" w:cs="Arial" w:eastAsia="Arial" w:hAnsi="Arial"/>
          <w:b/>
          <w:bCs/>
          <w:color w:val="4A6FA5"/>
          <w:sz w:val="24"/>
          <w:szCs w:val="24"/>
        </w:rPr>
        <w:t>Section 16.6 — Electoral Commission Technical Deadlock</w:t>
      </w:r>
    </w:p>
    <w:p>
      <w:pPr>
        <w:spacing w:after="60" w:before="60"/>
      </w:pPr>
      <w:r>
        <w:rPr>
          <w:rFonts w:ascii="Arial" w:cs="Arial" w:eastAsia="Arial" w:hAnsi="Arial"/>
          <w:color w:val="000000"/>
          <w:sz w:val="22"/>
          <w:szCs w:val="22"/>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Section 16.7 — Day Zero Voting System Transition</w:t>
      </w:r>
    </w:p>
    <w:p>
      <w:pPr>
        <w:spacing w:after="60" w:before="60"/>
      </w:pPr>
      <w:r>
        <w:rPr>
          <w:rFonts w:ascii="Arial" w:cs="Arial" w:eastAsia="Arial" w:hAnsi="Arial"/>
          <w:color w:val="000000"/>
          <w:sz w:val="22"/>
          <w:szCs w:val="22"/>
        </w:rPr>
        <w:t>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 — FEDERAL PROPERTY AND THE SEAT OF GOVERNMENT</w:t>
      </w:r>
    </w:p>
    <w:p>
      <w:pPr>
        <w:spacing w:after="60" w:before="60"/>
      </w:pPr>
      <w:r>
        <w:rPr>
          <w:rFonts w:ascii="Arial" w:cs="Arial" w:eastAsia="Arial" w:hAnsi="Arial"/>
          <w:color w:val="000000"/>
          <w:sz w:val="22"/>
          <w:szCs w:val="22"/>
        </w:rPr>
        <w:t>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Section 17.1 — The Use Doctrine</w:t>
      </w:r>
    </w:p>
    <w:p>
      <w:pPr>
        <w:spacing w:after="60" w:before="60"/>
      </w:pPr>
      <w:r>
        <w:rPr>
          <w:rFonts w:ascii="Arial" w:cs="Arial" w:eastAsia="Arial" w:hAnsi="Arial"/>
          <w:color w:val="000000"/>
          <w:sz w:val="22"/>
          <w:szCs w:val="22"/>
        </w:rPr>
        <w:t>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Section 17.2 — The Federal Seat of Government</w:t>
      </w:r>
    </w:p>
    <w:p>
      <w:pPr>
        <w:spacing w:after="60" w:before="60"/>
      </w:pPr>
      <w:r>
        <w:rPr>
          <w:rFonts w:ascii="Arial" w:cs="Arial" w:eastAsia="Arial" w:hAnsi="Arial"/>
          <w:color w:val="000000"/>
          <w:sz w:val="22"/>
          <w:szCs w:val="22"/>
        </w:rPr>
        <w:t>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17.3 — Operational Use Rights</w:t>
      </w:r>
    </w:p>
    <w:p>
      <w:pPr>
        <w:spacing w:after="60" w:before="60"/>
      </w:pPr>
      <w:r>
        <w:rPr>
          <w:rFonts w:ascii="Arial" w:cs="Arial" w:eastAsia="Arial" w:hAnsi="Arial"/>
          <w:color w:val="000000"/>
          <w:sz w:val="22"/>
          <w:szCs w:val="22"/>
        </w:rPr>
        <w:t>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Section 17.4 — The National Trust</w:t>
      </w:r>
    </w:p>
    <w:p>
      <w:pPr>
        <w:spacing w:after="60" w:before="60"/>
      </w:pPr>
      <w:r>
        <w:rPr>
          <w:rFonts w:ascii="Arial" w:cs="Arial" w:eastAsia="Arial" w:hAnsi="Arial"/>
          <w:color w:val="000000"/>
          <w:sz w:val="22"/>
          <w:szCs w:val="22"/>
        </w:rPr>
        <w:t>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17.5 — Federal Property in Territories</w:t>
      </w:r>
    </w:p>
    <w:p>
      <w:pPr>
        <w:spacing w:after="60" w:before="60"/>
      </w:pPr>
      <w:r>
        <w:rPr>
          <w:rFonts w:ascii="Arial" w:cs="Arial" w:eastAsia="Arial" w:hAnsi="Arial"/>
          <w:color w:val="000000"/>
          <w:sz w:val="22"/>
          <w:szCs w:val="22"/>
        </w:rPr>
        <w:t>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XVIII — ELECTORAL FINANCE AND CAMPAIGN INTEGRITY</w:t>
      </w:r>
    </w:p>
    <w:p>
      <w:pPr>
        <w:spacing w:after="60" w:before="60"/>
      </w:pPr>
      <w:r>
        <w:rPr>
          <w:rFonts w:ascii="Arial" w:cs="Arial" w:eastAsia="Arial" w:hAnsi="Arial"/>
          <w:color w:val="000000"/>
          <w:sz w:val="22"/>
          <w:szCs w:val="22"/>
        </w:rPr>
        <w:t>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Section 18.2 — Public Campaign Funding</w:t>
      </w:r>
    </w:p>
    <w:p>
      <w:pPr>
        <w:spacing w:after="60" w:before="60"/>
      </w:pPr>
      <w:r>
        <w:rPr>
          <w:rFonts w:ascii="Arial" w:cs="Arial" w:eastAsia="Arial" w:hAnsi="Arial"/>
          <w:color w:val="000000"/>
          <w:sz w:val="22"/>
          <w:szCs w:val="22"/>
        </w:rPr>
        <w:t>the Legislature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The public campaign allocation must be sufficient to allow a qualified candidate to conduct a meaningful campaign. the Legislature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18.3 — The Campaign Finance Registry</w:t>
      </w:r>
    </w:p>
    <w:p>
      <w:pPr>
        <w:spacing w:after="60" w:before="60"/>
      </w:pPr>
      <w:r>
        <w:rPr>
          <w:rFonts w:ascii="Arial" w:cs="Arial" w:eastAsia="Arial" w:hAnsi="Arial"/>
          <w:color w:val="000000"/>
          <w:sz w:val="22"/>
          <w:szCs w:val="22"/>
        </w:rPr>
        <w:t>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Section 19.1 — The Activation Threshold</w:t>
      </w:r>
    </w:p>
    <w:p>
      <w:pPr>
        <w:spacing w:after="60" w:before="60"/>
      </w:pPr>
      <w:r>
        <w:rPr>
          <w:rFonts w:ascii="Arial" w:cs="Arial" w:eastAsia="Arial" w:hAnsi="Arial"/>
          <w:color w:val="000000"/>
          <w:sz w:val="22"/>
          <w:szCs w:val="22"/>
        </w:rPr>
        <w:t>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Section 19.2 — Day Zero</w:t>
      </w:r>
    </w:p>
    <w:p>
      <w:pPr>
        <w:spacing w:after="60" w:before="60"/>
      </w:pPr>
      <w:r>
        <w:rPr>
          <w:rFonts w:ascii="Arial" w:cs="Arial" w:eastAsia="Arial" w:hAnsi="Arial"/>
          <w:color w:val="000000"/>
          <w:sz w:val="22"/>
          <w:szCs w:val="22"/>
        </w:rPr>
        <w:t>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Section 19.3 — The Four-Phase Transition</w:t>
      </w:r>
    </w:p>
    <w:p>
      <w:pPr>
        <w:spacing w:after="60" w:before="60"/>
      </w:pPr>
      <w:r>
        <w:rPr>
          <w:rFonts w:ascii="Arial" w:cs="Arial" w:eastAsia="Arial" w:hAnsi="Arial"/>
          <w:color w:val="000000"/>
          <w:sz w:val="22"/>
          <w:szCs w:val="22"/>
        </w:rPr>
        <w:t>The transition is structured as an 18-month, four-phase process to prevent systemic shock and provide adequate time for institutional construction.</w:t>
      </w:r>
    </w:p>
    <w:p>
      <w:pPr>
        <w:spacing w:after="60" w:before="60"/>
      </w:pPr>
      <w:r>
        <w:t>19.3.a Phase 0 — Pre-Ratification Preparation: The period before the ratification vote during which the interim Electoral Commission is constituted, the National Voting System is certified operational, and the joint Inspectorate panel is formed. Phase 0 ends upon Day Zero.</w:t>
      </w:r>
    </w:p>
    <w:p>
      <w:pPr>
        <w:spacing w:after="60" w:before="60"/>
      </w:pPr>
      <w:r>
        <w:t>19.3.b Phase 1 — Emergency Stabilisation (Days 1–90): Existing government officials serve as caretakers under §19.4. The Basic Needs Floor activates at the constitutional minimum. No new permanent legislation may be passed. Phase 1 ends at Day 90.</w:t>
      </w:r>
    </w:p>
    <w:p>
      <w:pPr>
        <w:spacing w:after="60" w:before="60"/>
      </w:pPr>
      <w:r>
        <w:t>19.3.c Phase 2 — Institutional Construction (Days 91–270): 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pPr>
      <w:r>
        <w:t>19.3.d Phase 3 — First Elections (Days 271–450): The first National Election Day is held. Supreme Court justices are elected simultaneously through the Triad process. The Electoral Commission holds its inaugural elections. Phase 3 ends when the first Legislature is sworn in and the first President and Prime Minister take office.</w:t>
      </w:r>
    </w:p>
    <w:p>
      <w:pPr>
        <w:spacing w:after="60" w:before="60"/>
      </w:pPr>
      <w:r>
        <w:t>19.3.e Phase 4 — Full Constitutional Operation: The Republic enters full constitutional operation from the date the first Legislature convenes and the first executives take the oath of office. All constitutional provisions are fully operative from Phase 4 activation. The 18-month Transition Window concludes at the end of Phase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First National Election Day: all 9 Supreme Court seats, all Senate seats, all House seats, all Electoral Commission seats, the Presidency, and the Monetary Authority Director elected simultaneously. House seats PM within 45 days. President and MA Director take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Section 19.4 — Caretaker Status</w:t>
      </w:r>
    </w:p>
    <w:p>
      <w:pPr>
        <w:spacing w:after="60" w:before="60"/>
      </w:pPr>
      <w:r>
        <w:rPr>
          <w:rFonts w:ascii="Arial" w:cs="Arial" w:eastAsia="Arial" w:hAnsi="Arial"/>
          <w:color w:val="000000"/>
          <w:sz w:val="22"/>
          <w:szCs w:val="22"/>
        </w:rPr>
        <w:t>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Section 19.5 — Pre-Constitutional Classified Documents</w:t>
      </w:r>
    </w:p>
    <w:p>
      <w:pPr>
        <w:spacing w:after="60" w:before="60"/>
      </w:pPr>
      <w:r>
        <w:rPr>
          <w:rFonts w:ascii="Arial" w:cs="Arial" w:eastAsia="Arial" w:hAnsi="Arial"/>
          <w:color w:val="000000"/>
          <w:sz w:val="22"/>
          <w:szCs w:val="22"/>
        </w:rPr>
        <w:t>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Rule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Section 19.7 — Transition-Period Territorial and Subdivision Elections</w:t>
      </w:r>
    </w:p>
    <w:p>
      <w:pPr>
        <w:spacing w:after="60" w:before="60"/>
      </w:pPr>
      <w:r>
        <w:rPr>
          <w:rFonts w:ascii="Arial" w:cs="Arial" w:eastAsia="Arial" w:hAnsi="Arial"/>
          <w:color w:val="000000"/>
          <w:sz w:val="22"/>
          <w:szCs w:val="22"/>
        </w:rPr>
        <w:t>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Style w:val="Heading2"/>
      </w:pPr>
      <w:r>
        <w:rPr>
          <w:b/>
        </w:rPr>
        <w:t>Section 19.9 — Transitional Accountability Mechanism</w:t>
      </w:r>
    </w:p>
    <w:p>
      <w:pPr>
        <w:spacing w:after="60" w:before="60"/>
        <w:ind w:left="720" w:hanging="360"/>
      </w:pPr>
      <w:r>
        <w:rPr>
          <w:rFonts w:ascii="Arial" w:cs="Arial" w:eastAsia="Arial" w:hAnsi="Arial"/>
          <w:b/>
          <w:bCs/>
          <w:color w:val="4A6FA5"/>
          <w:sz w:val="22"/>
          <w:szCs w:val="22"/>
        </w:rPr>
      </w:r>
      <w:r>
        <w:rPr>
          <w:rFonts w:ascii="Arial" w:cs="Arial" w:eastAsia="Arial" w:hAnsi="Arial"/>
          <w:color w:val="000000"/>
          <w:sz w:val="22"/>
          <w:szCs w:val="22"/>
        </w:rPr>
        <w:t>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w:t>
      </w:r>
    </w:p>
    <w:p>
      <w:pPr>
        <w:spacing w:after="0" w:before="120"/>
      </w:pPr>
      <w:r>
        <w:t xml:space="preserve"/>
      </w:r>
    </w:p>
    <w:p>
      <w:pPr>
        <w:pStyle w:val="Heading1"/>
        <w:spacing w:after="120" w:before="360"/>
      </w:pPr>
      <w:r>
        <w:rPr>
          <w:rFonts w:ascii="Arial" w:cs="Arial" w:eastAsia="Arial" w:hAnsi="Arial"/>
          <w:b/>
          <w:bCs/>
          <w:color w:val="1B2A4A"/>
          <w:sz w:val="32"/>
          <w:szCs w:val="32"/>
        </w:rPr>
        <w:t>ARTICLE XX — ASSOCIATED COMMUNITY RELATIONSHIPS</w:t>
      </w:r>
    </w:p>
    <w:p>
      <w:pPr>
        <w:spacing w:after="60" w:before="60"/>
      </w:pPr>
      <w:r>
        <w:rPr>
          <w:rFonts w:ascii="Arial" w:cs="Arial" w:eastAsia="Arial" w:hAnsi="Arial"/>
          <w:color w:val="000000"/>
          <w:sz w:val="22"/>
          <w:szCs w:val="22"/>
        </w:rPr>
        <w:t>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Heading2"/>
      </w:pPr>
      <w:r>
        <w:t>Section 20.1 — Associated Community Status</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Heading2"/>
      </w:pPr>
      <w:r>
        <w:t>Section 20.2 — Compact Terms and Equal Sovereignty</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Style w:val="Heading2"/>
      </w:pPr>
      <w:r>
        <w:t>Section 20.3 — Compact Conditions and Ongoing Compliance</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Style w:val="Heading2"/>
      </w:pPr>
      <w:r>
        <w:t>Section 20.4 — Sovereign Mobility</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Heading2"/>
      </w:pPr>
      <w:r>
        <w:t>Section 20.5 — Reciprocal Obligations and Review</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SCHEDULE A — AUTHORITY REFERENCE MATRIX</w:t>
      </w:r>
    </w:p>
    <w:p>
      <w:pPr>
        <w:spacing w:after="60" w:before="60"/>
      </w:pPr>
      <w:r>
        <w:rPr>
          <w:rFonts w:ascii="Arial" w:cs="Arial" w:eastAsia="Arial" w:hAnsi="Arial"/>
          <w:color w:val="000000"/>
          <w:sz w:val="22"/>
          <w:szCs w:val="22"/>
        </w:rPr>
        <w:t>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3 — Legislative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or Caretaker PM declares; the Legislature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Proportional to citizen population; one seat per State minimum; the Legislature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Triad (Senate/PM/President) → JI Vetting → Public Election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vets nominees using Registry records; all certified nominees proceed to national RCV election; Senate has 90 days to nominate for mid-term vacancies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Adequate funding — the Legislature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 + Oversight Committee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65% national first-preference + 35% regional breadth; number of regions the Legislature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Number defined by the Legislature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Director elected by national RCV; 5 board members PM-nominated, Senate-confirmed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Federal Property (Art. XVII)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 Mid-Term Vacancy (§4.2.b)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Special election within 90 days; President and PM nominate; Senate has 90 days for third nominee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If Senate fails to nominate within 90 days, 2-nominee public election proceeds; replacement serves remainder of original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180-day Legislative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of both chambers simultaneously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veto; §1.2, §1.3, §1.13, §1.17, §1.18, §1.27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