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600"/>
        <w:jc w:val="center"/>
      </w:pPr>
      <w:r>
        <w:drawing>
          <wp:inline distT="0" distB="0" distL="0" distR="0">
            <wp:extent cx="1333500"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333500" cy="1333500"/>
                    </a:xfrm>
                    <a:prstGeom prst="rect">
                      <a:avLst/>
                    </a:prstGeom>
                  </pic:spPr>
                </pic:pic>
              </a:graphicData>
            </a:graphic>
          </wp:inline>
        </w:drawing>
      </w:r>
    </w:p>
    <w:p>
      <w:pPr>
        <w:spacing w:after="200"/>
        <w:jc w:val="center"/>
      </w:pPr>
      <w:r>
        <w:rPr>
          <w:rFonts w:ascii="Garamond" w:cs="Garamond" w:eastAsia="Garamond" w:hAnsi="Garamond"/>
          <w:b/>
          <w:bCs/>
          <w:color w:val="1B2A4A"/>
          <w:spacing w:val="100"/>
          <w:sz w:val="44"/>
          <w:szCs w:val="44"/>
        </w:rPr>
        <w:t xml:space="preserve">THE FEDERATED REPUBLIC</w:t>
      </w:r>
    </w:p>
    <w:p>
      <w:pPr>
        <w:spacing w:after="200"/>
        <w:jc w:val="center"/>
      </w:pPr>
      <w:r>
        <w:rPr>
          <w:rFonts w:ascii="Garamond" w:cs="Garamond" w:eastAsia="Garamond" w:hAnsi="Garamond"/>
          <w:i/>
          <w:iCs/>
          <w:color w:val="C9A84C"/>
          <w:sz w:val="32"/>
          <w:szCs w:val="32"/>
        </w:rPr>
        <w:t xml:space="preserve">Constitution</w:t>
      </w:r>
    </w:p>
    <w:p>
      <w:pPr>
        <w:pBdr>
          <w:bottom w:val="single" w:color="C9A84C" w:sz="6" w:space="1"/>
        </w:pBdr>
        <w:spacing w:after="400"/>
        <w:jc w:val="center"/>
      </w:pPr>
    </w:p>
    <w:p>
      <w:pPr>
        <w:spacing w:after="800"/>
        <w:jc w:val="center"/>
      </w:pPr>
      <w:r>
        <w:rPr>
          <w:rFonts w:ascii="Garamond" w:cs="Garamond" w:eastAsia="Garamond" w:hAnsi="Garamond"/>
          <w:color w:val="7a7060"/>
          <w:sz w:val="22"/>
          <w:szCs w:val="22"/>
        </w:rPr>
        <w:t xml:space="preserve">May 2026</w:t>
      </w:r>
    </w:p>
    <w:p>
      <w:pPr>
        <w:spacing w:after="200"/>
        <w:jc w:val="center"/>
      </w:pPr>
      <w:r>
        <w:rPr>
          <w:rFonts w:ascii="Courier New" w:cs="Courier New" w:eastAsia="Courier New" w:hAnsi="Courier New"/>
          <w:color w:val="7a7060"/>
          <w:sz w:val="18"/>
          <w:szCs w:val="18"/>
        </w:rPr>
        <w:t xml:space="preserve">thefederatedrepublic.org</w:t>
      </w:r>
    </w:p>
    <w:p>
      <w:r>
        <w:br w:type="page"/>
      </w:r>
    </w:p>
    <w:p>
      <w:pPr>
        <w:pStyle w:val="Heading1"/>
        <w:spacing w:after="240" w:before="480"/>
      </w:pPr>
      <w:r>
        <w:rPr>
          <w:rFonts w:ascii="Garamond" w:cs="Garamond" w:eastAsia="Garamond" w:hAnsi="Garamond"/>
          <w:b/>
          <w:bCs/>
          <w:color w:val="1B2A4A"/>
          <w:sz w:val="32"/>
          <w:szCs w:val="32"/>
        </w:rPr>
        <w:t xml:space="preserve">Preamble</w:t>
      </w:r>
    </w:p>
    <w:p>
      <w:pPr>
        <w:spacing w:after="480"/>
        <w:jc w:val="both"/>
      </w:pPr>
      <w:r>
        <w:rPr>
          <w:rFonts w:ascii="Garamond" w:cs="Garamond" w:eastAsia="Garamond" w:hAnsi="Garamond"/>
          <w:i/>
          <w:iCs/>
          <w:color w:val="2a2520"/>
          <w:sz w:val="24"/>
          <w:szCs w:val="24"/>
        </w:rPr>
        <w:t xml:space="preserve">We, the people of the Federated Republic, recognising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pBdr>
          <w:bottom w:val="single" w:color="1B2A4A" w:sz="12" w:space="4"/>
        </w:pBdr>
        <w:spacing w:after="60" w:before="200"/>
        <w:jc w:val="left"/>
      </w:pPr>
      <w:r>
        <w:rPr>
          <w:rFonts w:ascii="Garamond" w:cs="Garamond" w:eastAsia="Garamond" w:hAnsi="Garamond"/>
          <w:b/>
          <w:bCs/>
          <w:color w:val="1B2A4A"/>
          <w:sz w:val="34"/>
          <w:szCs w:val="34"/>
        </w:rPr>
        <w:t xml:space="preserve">Article I — Individual Sovereignty and Rights</w:t>
      </w:r>
    </w:p>
    <w:p>
      <w:pPr>
        <w:spacing w:after="120"/>
      </w:pPr>
    </w:p>
    <w:p>
      <w:pPr>
        <w:spacing w:after="60" w:before="200"/>
        <w:ind w:left="431"/>
      </w:pPr>
      <w:r>
        <w:rPr>
          <w:rFonts w:ascii="Courier New" w:cs="Courier New" w:eastAsia="Courier New" w:hAnsi="Courier New"/>
          <w:b/>
          <w:bCs/>
          <w:color w:val="1B2A4A"/>
          <w:sz w:val="18"/>
          <w:szCs w:val="18"/>
        </w:rPr>
        <w:t xml:space="preserve">§1.1  </w:t>
      </w:r>
      <w:r>
        <w:rPr>
          <w:rFonts w:ascii="Garamond" w:cs="Garamond" w:eastAsia="Garamond" w:hAnsi="Garamond"/>
          <w:b/>
          <w:bCs/>
          <w:color w:val="1B2A4A"/>
          <w:sz w:val="22"/>
          <w:szCs w:val="22"/>
        </w:rPr>
        <w:t xml:space="preserve">Right of Access to Courts</w:t>
      </w:r>
    </w:p>
    <w:p>
      <w:pPr>
        <w:spacing w:after="120" w:before="0"/>
        <w:ind w:left="431"/>
        <w:jc w:val="both"/>
      </w:pPr>
      <w:r>
        <w:rPr>
          <w:rFonts w:ascii="Garamond" w:cs="Garamond" w:eastAsia="Garamond" w:hAnsi="Garamond"/>
          <w:color w:val="2a2520"/>
          <w:sz w:val="22"/>
          <w:szCs w:val="22"/>
        </w:rPr>
        <w:t xml:space="preserve">Self-executing right: every person may seek legal remedy for any rights violation. Court access cannot be made meaninglessly expensive through procedural costs. If the Legislature fails to fund legal aid, courts appoint counsel at public expense until a statutory framework exists — the self-executing default ensures the right is never purely nominal.</w:t>
      </w:r>
    </w:p>
    <w:p>
      <w:pPr>
        <w:spacing w:after="60" w:before="200"/>
        <w:ind w:left="431"/>
      </w:pPr>
      <w:r>
        <w:rPr>
          <w:rFonts w:ascii="Courier New" w:cs="Courier New" w:eastAsia="Courier New" w:hAnsi="Courier New"/>
          <w:b/>
          <w:bCs/>
          <w:color w:val="1B2A4A"/>
          <w:sz w:val="18"/>
          <w:szCs w:val="18"/>
        </w:rPr>
        <w:t xml:space="preserve">§1.2  </w:t>
      </w:r>
      <w:r>
        <w:rPr>
          <w:rFonts w:ascii="Garamond" w:cs="Garamond" w:eastAsia="Garamond" w:hAnsi="Garamond"/>
          <w:b/>
          <w:bCs/>
          <w:color w:val="1B2A4A"/>
          <w:sz w:val="22"/>
          <w:szCs w:val="22"/>
        </w:rPr>
        <w:t xml:space="preserve">Individual Sovereignty Floor</w:t>
      </w:r>
    </w:p>
    <w:p>
      <w:pPr>
        <w:spacing w:after="120" w:before="0"/>
        <w:ind w:left="431"/>
        <w:jc w:val="both"/>
      </w:pPr>
      <w:r>
        <w:rPr>
          <w:rFonts w:ascii="Garamond" w:cs="Garamond" w:eastAsia="Garamond" w:hAnsi="Garamond"/>
          <w:color w:val="2a2520"/>
          <w:sz w:val="22"/>
          <w:szCs w:val="22"/>
        </w:rPr>
        <w:t xml:space="preserve">Every person holds an individual sovereignty that government authority may limit only as this Constitution permits — and may never eliminate. No official, institution, or emergency suspends this floor. The State may deprive a person of life only as the lawful consequence of a sentence imposed by a court following conviction. Any method a legislature permits remains subject to §1.11's prohibition on cruel, degrading, or inhumane treatment. The State's obligations attach from the moment of live birth.</w:t>
      </w:r>
    </w:p>
    <w:p>
      <w:pPr>
        <w:spacing w:after="60" w:before="200"/>
        <w:ind w:left="431"/>
      </w:pPr>
      <w:r>
        <w:rPr>
          <w:rFonts w:ascii="Courier New" w:cs="Courier New" w:eastAsia="Courier New" w:hAnsi="Courier New"/>
          <w:b/>
          <w:bCs/>
          <w:color w:val="1B2A4A"/>
          <w:sz w:val="18"/>
          <w:szCs w:val="18"/>
        </w:rPr>
        <w:t xml:space="preserve">§1.3  </w:t>
      </w:r>
      <w:r>
        <w:rPr>
          <w:rFonts w:ascii="Garamond" w:cs="Garamond" w:eastAsia="Garamond" w:hAnsi="Garamond"/>
          <w:b/>
          <w:bCs/>
          <w:color w:val="1B2A4A"/>
          <w:sz w:val="22"/>
          <w:szCs w:val="22"/>
        </w:rPr>
        <w:t xml:space="preserve">Prohibition of Torture and Cruel Treatment</w:t>
      </w:r>
    </w:p>
    <w:p>
      <w:pPr>
        <w:spacing w:after="120" w:before="0"/>
        <w:ind w:left="431"/>
        <w:jc w:val="both"/>
      </w:pPr>
      <w:r>
        <w:rPr>
          <w:rFonts w:ascii="Garamond" w:cs="Garamond" w:eastAsia="Garamond" w:hAnsi="Garamond"/>
          <w:color w:val="2a2520"/>
          <w:sz w:val="22"/>
          <w:szCs w:val="22"/>
        </w:rPr>
        <w:t xml:space="preserve">Absolute prohibition on torture, cruel treatment, and degrading punishment. No exception exists — not for national security, not for emergency, not for military operations. One of six permanently unamendable provisions under §15.3.a.</w:t>
      </w:r>
    </w:p>
    <w:p>
      <w:pPr>
        <w:spacing w:after="60" w:before="200"/>
        <w:ind w:left="431"/>
      </w:pPr>
      <w:r>
        <w:rPr>
          <w:rFonts w:ascii="Courier New" w:cs="Courier New" w:eastAsia="Courier New" w:hAnsi="Courier New"/>
          <w:b/>
          <w:bCs/>
          <w:color w:val="1B2A4A"/>
          <w:sz w:val="18"/>
          <w:szCs w:val="18"/>
        </w:rPr>
        <w:t xml:space="preserve">§1.4  </w:t>
      </w:r>
      <w:r>
        <w:rPr>
          <w:rFonts w:ascii="Garamond" w:cs="Garamond" w:eastAsia="Garamond" w:hAnsi="Garamond"/>
          <w:b/>
          <w:bCs/>
          <w:color w:val="1B2A4A"/>
          <w:sz w:val="22"/>
          <w:szCs w:val="22"/>
        </w:rPr>
        <w:t xml:space="preserve">Prohibition of Slavery and Forced Labor</w:t>
      </w:r>
    </w:p>
    <w:p>
      <w:pPr>
        <w:spacing w:after="120" w:before="0"/>
        <w:ind w:left="431"/>
        <w:jc w:val="both"/>
      </w:pPr>
      <w:r>
        <w:rPr>
          <w:rFonts w:ascii="Garamond" w:cs="Garamond" w:eastAsia="Garamond" w:hAnsi="Garamond"/>
          <w:color w:val="2a2520"/>
          <w:sz w:val="22"/>
          <w:szCs w:val="22"/>
        </w:rPr>
        <w:t xml:space="preserve">Slavery, forced labor, debt bondage, and compelled service are prohibited absolutely and in all forms. The prohibition extends to all persons within the Republic's jurisdiction, not merely to citizens. Jury service required under §10.7.a and lawful sentences of community service imposed by a court do not constitute forced labor under this provision.</w:t>
      </w:r>
    </w:p>
    <w:p>
      <w:pPr>
        <w:spacing w:after="60" w:before="200"/>
        <w:ind w:left="431"/>
      </w:pPr>
      <w:r>
        <w:rPr>
          <w:rFonts w:ascii="Courier New" w:cs="Courier New" w:eastAsia="Courier New" w:hAnsi="Courier New"/>
          <w:b/>
          <w:bCs/>
          <w:color w:val="1B2A4A"/>
          <w:sz w:val="18"/>
          <w:szCs w:val="18"/>
        </w:rPr>
        <w:t xml:space="preserve">§1.5  </w:t>
      </w:r>
      <w:r>
        <w:rPr>
          <w:rFonts w:ascii="Garamond" w:cs="Garamond" w:eastAsia="Garamond" w:hAnsi="Garamond"/>
          <w:b/>
          <w:bCs/>
          <w:color w:val="1B2A4A"/>
          <w:sz w:val="22"/>
          <w:szCs w:val="22"/>
        </w:rPr>
        <w:t xml:space="preserve">Freedom of Expression</w:t>
      </w:r>
    </w:p>
    <w:p>
      <w:pPr>
        <w:spacing w:after="120" w:before="0"/>
        <w:ind w:left="431"/>
        <w:jc w:val="both"/>
      </w:pPr>
      <w:r>
        <w:rPr>
          <w:rFonts w:ascii="Garamond" w:cs="Garamond" w:eastAsia="Garamond" w:hAnsi="Garamond"/>
          <w:color w:val="2a2520"/>
          <w:sz w:val="22"/>
          <w:szCs w:val="22"/>
        </w:rPr>
        <w:t xml:space="preserve">No branch, agency, official, or instrumentality of the Republic or any State may abridge the freedom of speech, press, or assembly in any medium — physical or digital.</w:t>
      </w:r>
    </w:p>
    <w:p>
      <w:pPr>
        <w:spacing w:after="60" w:before="200"/>
        <w:ind w:left="863"/>
      </w:pPr>
      <w:r>
        <w:rPr>
          <w:rFonts w:ascii="Courier New" w:cs="Courier New" w:eastAsia="Courier New" w:hAnsi="Courier New"/>
          <w:b/>
          <w:bCs/>
          <w:color w:val="1B2A4A"/>
          <w:sz w:val="18"/>
          <w:szCs w:val="18"/>
        </w:rPr>
        <w:t xml:space="preserve">§1.5.a  </w:t>
      </w:r>
      <w:r>
        <w:rPr>
          <w:rFonts w:ascii="Garamond" w:cs="Garamond" w:eastAsia="Garamond" w:hAnsi="Garamond"/>
          <w:b/>
          <w:bCs/>
          <w:color w:val="1B2A4A"/>
          <w:sz w:val="22"/>
          <w:szCs w:val="22"/>
        </w:rPr>
        <w:t xml:space="preserve">Censorship by Proxy</w:t>
      </w:r>
    </w:p>
    <w:p>
      <w:pPr>
        <w:spacing w:after="120" w:before="0"/>
        <w:ind w:left="863"/>
        <w:jc w:val="both"/>
      </w:pPr>
      <w:r>
        <w:rPr>
          <w:rFonts w:ascii="Garamond" w:cs="Garamond" w:eastAsia="Garamond" w:hAnsi="Garamond"/>
          <w:color w:val="2a2520"/>
          <w:sz w:val="22"/>
          <w:szCs w:val="22"/>
        </w:rPr>
        <w:t xml:space="preserve">Government actors may not pressure, incentivize, or coerce private platforms or institutions to suppress speech on their behalf. Such an act constitutes the same constitutional violation as direct censorship. This prohibition applies equally to digital and physical media. Government may not impose viewpoint-based conditions on benefits, contracts, or licensing.</w:t>
      </w:r>
    </w:p>
    <w:p>
      <w:pPr>
        <w:spacing w:after="60" w:before="200"/>
        <w:ind w:left="863"/>
      </w:pPr>
      <w:r>
        <w:rPr>
          <w:rFonts w:ascii="Courier New" w:cs="Courier New" w:eastAsia="Courier New" w:hAnsi="Courier New"/>
          <w:b/>
          <w:bCs/>
          <w:color w:val="1B2A4A"/>
          <w:sz w:val="18"/>
          <w:szCs w:val="18"/>
        </w:rPr>
        <w:t xml:space="preserve">§1.5.b  </w:t>
      </w:r>
      <w:r>
        <w:rPr>
          <w:rFonts w:ascii="Garamond" w:cs="Garamond" w:eastAsia="Garamond" w:hAnsi="Garamond"/>
          <w:b/>
          <w:bCs/>
          <w:color w:val="1B2A4A"/>
          <w:sz w:val="22"/>
          <w:szCs w:val="22"/>
        </w:rPr>
        <w:t xml:space="preserve">Separation of Church and State</w:t>
      </w:r>
    </w:p>
    <w:p>
      <w:pPr>
        <w:spacing w:after="120" w:before="0"/>
        <w:ind w:left="863"/>
        <w:jc w:val="both"/>
      </w:pPr>
      <w:r>
        <w:rPr>
          <w:rFonts w:ascii="Garamond" w:cs="Garamond" w:eastAsia="Garamond" w:hAnsi="Garamond"/>
          <w:color w:val="2a2520"/>
          <w:sz w:val="22"/>
          <w:szCs w:val="22"/>
        </w:rPr>
        <w:t xml:space="preserve">No religion may be established by law, and public funds directed to religious organizations must comply with the equality requirements of §1.9. The separation of church and state is structural, not merely preferential.</w:t>
      </w:r>
    </w:p>
    <w:p>
      <w:pPr>
        <w:spacing w:after="60" w:before="200"/>
        <w:ind w:left="431"/>
      </w:pPr>
      <w:r>
        <w:rPr>
          <w:rFonts w:ascii="Courier New" w:cs="Courier New" w:eastAsia="Courier New" w:hAnsi="Courier New"/>
          <w:b/>
          <w:bCs/>
          <w:color w:val="1B2A4A"/>
          <w:sz w:val="18"/>
          <w:szCs w:val="18"/>
        </w:rPr>
        <w:t xml:space="preserve">§1.6  </w:t>
      </w:r>
      <w:r>
        <w:rPr>
          <w:rFonts w:ascii="Garamond" w:cs="Garamond" w:eastAsia="Garamond" w:hAnsi="Garamond"/>
          <w:b/>
          <w:bCs/>
          <w:color w:val="1B2A4A"/>
          <w:sz w:val="22"/>
          <w:szCs w:val="22"/>
        </w:rPr>
        <w:t xml:space="preserve">Freedom of Thought, Conscience, and Religion</w:t>
      </w:r>
    </w:p>
    <w:p>
      <w:pPr>
        <w:spacing w:after="120" w:before="0"/>
        <w:ind w:left="431"/>
        <w:jc w:val="both"/>
      </w:pPr>
      <w:r>
        <w:rPr>
          <w:rFonts w:ascii="Garamond" w:cs="Garamond" w:eastAsia="Garamond" w:hAnsi="Garamond"/>
          <w:color w:val="2a2520"/>
          <w:sz w:val="22"/>
          <w:szCs w:val="22"/>
        </w:rPr>
        <w:t xml:space="preserve">Every person has the right to hold, practice, change, or decline any belief and to manifest it through worship, observance, practice, and teaching. No person may be compelled to participate in any religious observance contrary to their beliefs. Free exercise does not authorize harm to others and creates no exemption from laws protecting other enumerated rights.</w:t>
      </w:r>
    </w:p>
    <w:p>
      <w:pPr>
        <w:spacing w:after="60" w:before="200"/>
        <w:ind w:left="431"/>
      </w:pPr>
      <w:r>
        <w:rPr>
          <w:rFonts w:ascii="Courier New" w:cs="Courier New" w:eastAsia="Courier New" w:hAnsi="Courier New"/>
          <w:b/>
          <w:bCs/>
          <w:color w:val="1B2A4A"/>
          <w:sz w:val="18"/>
          <w:szCs w:val="18"/>
        </w:rPr>
        <w:t xml:space="preserve">§1.7  </w:t>
      </w:r>
      <w:r>
        <w:rPr>
          <w:rFonts w:ascii="Garamond" w:cs="Garamond" w:eastAsia="Garamond" w:hAnsi="Garamond"/>
          <w:b/>
          <w:bCs/>
          <w:color w:val="1B2A4A"/>
          <w:sz w:val="22"/>
          <w:szCs w:val="22"/>
        </w:rPr>
        <w:t xml:space="preserve">Freedom of Association</w:t>
      </w:r>
    </w:p>
    <w:p>
      <w:pPr>
        <w:spacing w:after="120" w:before="0"/>
        <w:ind w:left="431"/>
        <w:jc w:val="both"/>
      </w:pPr>
      <w:r>
        <w:rPr>
          <w:rFonts w:ascii="Garamond" w:cs="Garamond" w:eastAsia="Garamond" w:hAnsi="Garamond"/>
          <w:color w:val="2a2520"/>
          <w:sz w:val="22"/>
          <w:szCs w:val="22"/>
        </w:rPr>
        <w:t xml:space="preserve">Every person has the right to freely associate with others for any lawful purpose — including political parties, trade unions, civic organizations, and professional associations. The State may not compel membership as a condition of employment or civic participation, nor prohibit any association solely on ideological grounds unless it advocates violent overthrow of this Constitution or the denial of enumerated rights.</w:t>
      </w:r>
    </w:p>
    <w:p>
      <w:pPr>
        <w:spacing w:after="60" w:before="200"/>
        <w:ind w:left="431"/>
      </w:pPr>
      <w:r>
        <w:rPr>
          <w:rFonts w:ascii="Courier New" w:cs="Courier New" w:eastAsia="Courier New" w:hAnsi="Courier New"/>
          <w:b/>
          <w:bCs/>
          <w:color w:val="1B2A4A"/>
          <w:sz w:val="18"/>
          <w:szCs w:val="18"/>
        </w:rPr>
        <w:t xml:space="preserve">§1.8  </w:t>
      </w:r>
      <w:r>
        <w:rPr>
          <w:rFonts w:ascii="Garamond" w:cs="Garamond" w:eastAsia="Garamond" w:hAnsi="Garamond"/>
          <w:b/>
          <w:bCs/>
          <w:color w:val="1B2A4A"/>
          <w:sz w:val="22"/>
          <w:szCs w:val="22"/>
        </w:rPr>
        <w:t xml:space="preserve">Right to Petition</w:t>
      </w:r>
    </w:p>
    <w:p>
      <w:pPr>
        <w:spacing w:after="120" w:before="0"/>
        <w:ind w:left="431"/>
        <w:jc w:val="both"/>
      </w:pPr>
      <w:r>
        <w:rPr>
          <w:rFonts w:ascii="Garamond" w:cs="Garamond" w:eastAsia="Garamond" w:hAnsi="Garamond"/>
          <w:color w:val="2a2520"/>
          <w:sz w:val="22"/>
          <w:szCs w:val="22"/>
        </w:rPr>
        <w:t xml:space="preserve">Every citizen has the right to petition any branch of government on any matter of public or personal concern. All petitions must receive a formal response within a Legislature-defined period. The subject and status of petitions are published to the National Record System; petitioner identity is withheld where the petitioner requests anonymity. The right includes the right to file formal complaints against government officials and agencies.</w:t>
      </w:r>
    </w:p>
    <w:p>
      <w:pPr>
        <w:spacing w:after="60" w:before="200"/>
        <w:ind w:left="431"/>
      </w:pPr>
      <w:r>
        <w:rPr>
          <w:rFonts w:ascii="Courier New" w:cs="Courier New" w:eastAsia="Courier New" w:hAnsi="Courier New"/>
          <w:b/>
          <w:bCs/>
          <w:color w:val="1B2A4A"/>
          <w:sz w:val="18"/>
          <w:szCs w:val="18"/>
        </w:rPr>
        <w:t xml:space="preserve">§1.9  </w:t>
      </w:r>
      <w:r>
        <w:rPr>
          <w:rFonts w:ascii="Garamond" w:cs="Garamond" w:eastAsia="Garamond" w:hAnsi="Garamond"/>
          <w:b/>
          <w:bCs/>
          <w:color w:val="1B2A4A"/>
          <w:sz w:val="22"/>
          <w:szCs w:val="22"/>
        </w:rPr>
        <w:t xml:space="preserve">Equality and Non-Discrimination</w:t>
      </w:r>
    </w:p>
    <w:p>
      <w:pPr>
        <w:spacing w:after="120" w:before="0"/>
        <w:ind w:left="431"/>
        <w:jc w:val="both"/>
      </w:pPr>
      <w:r>
        <w:rPr>
          <w:rFonts w:ascii="Garamond" w:cs="Garamond" w:eastAsia="Garamond" w:hAnsi="Garamond"/>
          <w:color w:val="2a2520"/>
          <w:sz w:val="22"/>
          <w:szCs w:val="22"/>
        </w:rPr>
        <w:t xml:space="preserve">Every person is equal before the law. No person may be discriminated against on the basis of the enumerated characteristics. Distinctions based on race, ethnicity, religion, sex, sexual orientation, gender identity, national origin, or disability are presumptively unconstitutional, requiring a compelling government purpose achievable by no less discriminatory means. Distinctions based on age or economic status require only rational connection to a legitimate purpose.</w:t>
      </w:r>
    </w:p>
    <w:p>
      <w:pPr>
        <w:spacing w:after="60" w:before="200"/>
        <w:ind w:left="431"/>
      </w:pPr>
      <w:r>
        <w:rPr>
          <w:rFonts w:ascii="Courier New" w:cs="Courier New" w:eastAsia="Courier New" w:hAnsi="Courier New"/>
          <w:b/>
          <w:bCs/>
          <w:color w:val="1B2A4A"/>
          <w:sz w:val="18"/>
          <w:szCs w:val="18"/>
        </w:rPr>
        <w:t xml:space="preserve">§1.10  </w:t>
      </w:r>
      <w:r>
        <w:rPr>
          <w:rFonts w:ascii="Garamond" w:cs="Garamond" w:eastAsia="Garamond" w:hAnsi="Garamond"/>
          <w:b/>
          <w:bCs/>
          <w:color w:val="1B2A4A"/>
          <w:sz w:val="22"/>
          <w:szCs w:val="22"/>
        </w:rPr>
        <w:t xml:space="preserve">Bodily Autonomy and Digital Privacy</w:t>
      </w:r>
    </w:p>
    <w:p>
      <w:pPr>
        <w:spacing w:after="120" w:before="0"/>
        <w:ind w:left="431"/>
        <w:jc w:val="both"/>
      </w:pPr>
      <w:r>
        <w:rPr>
          <w:rFonts w:ascii="Garamond" w:cs="Garamond" w:eastAsia="Garamond" w:hAnsi="Garamond"/>
          <w:color w:val="2a2520"/>
          <w:sz w:val="22"/>
          <w:szCs w:val="22"/>
        </w:rPr>
        <w:t xml:space="preserve">Every person holds bodily and digital sovereignty against government intrusion. No government actor may compel medical procedures, appropriate personal data, or obtain cryptographic keys without express constitutional authorization.</w:t>
      </w:r>
    </w:p>
    <w:p>
      <w:pPr>
        <w:spacing w:after="60" w:before="200"/>
        <w:ind w:left="863"/>
      </w:pPr>
      <w:r>
        <w:rPr>
          <w:rFonts w:ascii="Courier New" w:cs="Courier New" w:eastAsia="Courier New" w:hAnsi="Courier New"/>
          <w:b/>
          <w:bCs/>
          <w:color w:val="1B2A4A"/>
          <w:sz w:val="18"/>
          <w:szCs w:val="18"/>
        </w:rPr>
        <w:t xml:space="preserve">§1.10.a  </w:t>
      </w:r>
      <w:r>
        <w:rPr>
          <w:rFonts w:ascii="Garamond" w:cs="Garamond" w:eastAsia="Garamond" w:hAnsi="Garamond"/>
          <w:b/>
          <w:bCs/>
          <w:color w:val="1B2A4A"/>
          <w:sz w:val="22"/>
          <w:szCs w:val="22"/>
        </w:rPr>
        <w:t xml:space="preserve">Physical Sovereignty</w:t>
      </w:r>
    </w:p>
    <w:p>
      <w:pPr>
        <w:spacing w:after="120" w:before="0"/>
        <w:ind w:left="863"/>
        <w:jc w:val="both"/>
      </w:pPr>
      <w:r>
        <w:rPr>
          <w:rFonts w:ascii="Garamond" w:cs="Garamond" w:eastAsia="Garamond" w:hAnsi="Garamond"/>
          <w:color w:val="2a2520"/>
          <w:sz w:val="22"/>
          <w:szCs w:val="22"/>
        </w:rPr>
        <w:t xml:space="preserve">Every person has the absolute right to refuse any medical procedure or biological sampling. No mandate is permissible under any declared emergency unless the individual provides uncoerced, revocable written consent.</w:t>
      </w:r>
    </w:p>
    <w:p>
      <w:pPr>
        <w:spacing w:after="60" w:before="200"/>
        <w:ind w:left="863"/>
      </w:pPr>
      <w:r>
        <w:rPr>
          <w:rFonts w:ascii="Courier New" w:cs="Courier New" w:eastAsia="Courier New" w:hAnsi="Courier New"/>
          <w:b/>
          <w:bCs/>
          <w:color w:val="1B2A4A"/>
          <w:sz w:val="18"/>
          <w:szCs w:val="18"/>
        </w:rPr>
        <w:t xml:space="preserve">§1.10.b  </w:t>
      </w:r>
      <w:r>
        <w:rPr>
          <w:rFonts w:ascii="Garamond" w:cs="Garamond" w:eastAsia="Garamond" w:hAnsi="Garamond"/>
          <w:b/>
          <w:bCs/>
          <w:color w:val="1B2A4A"/>
          <w:sz w:val="22"/>
          <w:szCs w:val="22"/>
        </w:rPr>
        <w:t xml:space="preserve">Data Ownership</w:t>
      </w:r>
    </w:p>
    <w:p>
      <w:pPr>
        <w:spacing w:after="120" w:before="0"/>
        <w:ind w:left="863"/>
        <w:jc w:val="both"/>
      </w:pPr>
      <w:r>
        <w:rPr>
          <w:rFonts w:ascii="Garamond" w:cs="Garamond" w:eastAsia="Garamond" w:hAnsi="Garamond"/>
          <w:color w:val="2a2520"/>
          <w:sz w:val="22"/>
          <w:szCs w:val="22"/>
        </w:rPr>
        <w:t xml:space="preserve">Individuals own their personal data, likeness, and biometric information. Data collected by any government actor is subject to strict necessity limits — it may not be retained beyond the purpose for which it was collected, shared with third parties without...</w:t>
      </w:r>
    </w:p>
    <w:p>
      <w:pPr>
        <w:spacing w:after="60" w:before="200"/>
        <w:ind w:left="863"/>
      </w:pPr>
      <w:r>
        <w:rPr>
          <w:rFonts w:ascii="Courier New" w:cs="Courier New" w:eastAsia="Courier New" w:hAnsi="Courier New"/>
          <w:b/>
          <w:bCs/>
          <w:color w:val="1B2A4A"/>
          <w:sz w:val="18"/>
          <w:szCs w:val="18"/>
        </w:rPr>
        <w:t xml:space="preserve">§1.10.c  </w:t>
      </w:r>
      <w:r>
        <w:rPr>
          <w:rFonts w:ascii="Garamond" w:cs="Garamond" w:eastAsia="Garamond" w:hAnsi="Garamond"/>
          <w:b/>
          <w:bCs/>
          <w:color w:val="1B2A4A"/>
          <w:sz w:val="22"/>
          <w:szCs w:val="22"/>
        </w:rPr>
        <w:t xml:space="preserve">Encryption Protection</w:t>
      </w:r>
    </w:p>
    <w:p>
      <w:pPr>
        <w:spacing w:after="120" w:before="0"/>
        <w:ind w:left="863"/>
        <w:jc w:val="both"/>
      </w:pPr>
      <w:r>
        <w:rPr>
          <w:rFonts w:ascii="Garamond" w:cs="Garamond" w:eastAsia="Garamond" w:hAnsi="Garamond"/>
          <w:color w:val="2a2520"/>
          <w:sz w:val="22"/>
          <w:szCs w:val="22"/>
        </w:rPr>
        <w:t xml:space="preserve">Cryptographic keys are private property. No court or agency may compel their disclosure.</w:t>
      </w:r>
    </w:p>
    <w:p>
      <w:pPr>
        <w:spacing w:after="60" w:before="200"/>
        <w:ind w:left="431"/>
      </w:pPr>
      <w:r>
        <w:rPr>
          <w:rFonts w:ascii="Courier New" w:cs="Courier New" w:eastAsia="Courier New" w:hAnsi="Courier New"/>
          <w:b/>
          <w:bCs/>
          <w:color w:val="1B2A4A"/>
          <w:sz w:val="18"/>
          <w:szCs w:val="18"/>
        </w:rPr>
        <w:t xml:space="preserve">§1.11  </w:t>
      </w:r>
      <w:r>
        <w:rPr>
          <w:rFonts w:ascii="Garamond" w:cs="Garamond" w:eastAsia="Garamond" w:hAnsi="Garamond"/>
          <w:b/>
          <w:bCs/>
          <w:color w:val="1B2A4A"/>
          <w:sz w:val="22"/>
          <w:szCs w:val="22"/>
        </w:rPr>
        <w:t xml:space="preserve">Inviolability of the Home and Property Rights</w:t>
      </w:r>
    </w:p>
    <w:p>
      <w:pPr>
        <w:spacing w:after="120" w:before="0"/>
        <w:ind w:left="431"/>
        <w:jc w:val="both"/>
      </w:pPr>
      <w:r>
        <w:rPr>
          <w:rFonts w:ascii="Garamond" w:cs="Garamond" w:eastAsia="Garamond" w:hAnsi="Garamond"/>
          <w:color w:val="2a2520"/>
          <w:sz w:val="22"/>
          <w:szCs w:val="22"/>
        </w:rPr>
        <w:t xml:space="preserve">Every person's home is inviolable against government access without judicial warrant. Private property may not be taken except by absolute public necessity under the conditions of §1.11.b. The definition of "home" for purposes of this provision is established in §1.11.a.</w:t>
      </w:r>
    </w:p>
    <w:p>
      <w:pPr>
        <w:spacing w:after="60" w:before="200"/>
        <w:ind w:left="863"/>
      </w:pPr>
      <w:r>
        <w:rPr>
          <w:rFonts w:ascii="Courier New" w:cs="Courier New" w:eastAsia="Courier New" w:hAnsi="Courier New"/>
          <w:b/>
          <w:bCs/>
          <w:color w:val="1B2A4A"/>
          <w:sz w:val="18"/>
          <w:szCs w:val="18"/>
        </w:rPr>
        <w:t xml:space="preserve">§1.11.a  </w:t>
      </w:r>
      <w:r>
        <w:rPr>
          <w:rFonts w:ascii="Garamond" w:cs="Garamond" w:eastAsia="Garamond" w:hAnsi="Garamond"/>
          <w:b/>
          <w:bCs/>
          <w:color w:val="1B2A4A"/>
          <w:sz w:val="22"/>
          <w:szCs w:val="22"/>
        </w:rPr>
        <w:t xml:space="preserve">Home and Digital Privacy</w:t>
      </w:r>
    </w:p>
    <w:p>
      <w:pPr>
        <w:spacing w:after="120" w:before="0"/>
        <w:ind w:left="863"/>
        <w:jc w:val="both"/>
      </w:pPr>
      <w:r>
        <w:rPr>
          <w:rFonts w:ascii="Garamond" w:cs="Garamond" w:eastAsia="Garamond" w:hAnsi="Garamond"/>
          <w:color w:val="2a2520"/>
          <w:sz w:val="22"/>
          <w:szCs w:val="22"/>
        </w:rPr>
        <w:t xml:space="preserve">'Home' extends to all physical residences and all digital spaces secured by private cryptographic keys. Access requires a warrant specifying the precise data target or physical space, verified on the NRS before execution. General warrants — broad or unspecified authorizations — are absolutely prohibited.</w:t>
      </w:r>
    </w:p>
    <w:p>
      <w:pPr>
        <w:spacing w:after="60" w:before="200"/>
        <w:ind w:left="863"/>
      </w:pPr>
      <w:r>
        <w:rPr>
          <w:rFonts w:ascii="Courier New" w:cs="Courier New" w:eastAsia="Courier New" w:hAnsi="Courier New"/>
          <w:b/>
          <w:bCs/>
          <w:color w:val="1B2A4A"/>
          <w:sz w:val="18"/>
          <w:szCs w:val="18"/>
        </w:rPr>
        <w:t xml:space="preserve">§1.11.b  </w:t>
      </w:r>
      <w:r>
        <w:rPr>
          <w:rFonts w:ascii="Garamond" w:cs="Garamond" w:eastAsia="Garamond" w:hAnsi="Garamond"/>
          <w:b/>
          <w:bCs/>
          <w:color w:val="1B2A4A"/>
          <w:sz w:val="22"/>
          <w:szCs w:val="22"/>
        </w:rPr>
        <w:t xml:space="preserve">Eminent Domain</w:t>
      </w:r>
    </w:p>
    <w:p>
      <w:pPr>
        <w:spacing w:after="120" w:before="0"/>
        <w:ind w:left="863"/>
        <w:jc w:val="both"/>
      </w:pPr>
      <w:r>
        <w:rPr>
          <w:rFonts w:ascii="Garamond" w:cs="Garamond" w:eastAsia="Garamond" w:hAnsi="Garamond"/>
          <w:color w:val="2a2520"/>
          <w:sz w:val="22"/>
          <w:szCs w:val="22"/>
        </w:rPr>
        <w:t xml:space="preserve">Seizure of private property requires proof of absolute public necessity, payment of 150% of fair market value, and NRS publication. Private-to-private transfer via eminent domain — using government condemnation to benefit another private party — is constitutionally prohibited.</w:t>
      </w:r>
    </w:p>
    <w:p>
      <w:pPr>
        <w:spacing w:after="60" w:before="200"/>
        <w:ind w:left="431"/>
      </w:pPr>
      <w:r>
        <w:rPr>
          <w:rFonts w:ascii="Courier New" w:cs="Courier New" w:eastAsia="Courier New" w:hAnsi="Courier New"/>
          <w:b/>
          <w:bCs/>
          <w:color w:val="1B2A4A"/>
          <w:sz w:val="18"/>
          <w:szCs w:val="18"/>
        </w:rPr>
        <w:t xml:space="preserve">§1.12  </w:t>
      </w:r>
      <w:r>
        <w:rPr>
          <w:rFonts w:ascii="Garamond" w:cs="Garamond" w:eastAsia="Garamond" w:hAnsi="Garamond"/>
          <w:b/>
          <w:bCs/>
          <w:color w:val="1B2A4A"/>
          <w:sz w:val="22"/>
          <w:szCs w:val="22"/>
        </w:rPr>
        <w:t xml:space="preserve">Self-Defense and the Right to Bear Arms</w:t>
      </w:r>
    </w:p>
    <w:p>
      <w:pPr>
        <w:spacing w:after="120" w:before="0"/>
        <w:ind w:left="431"/>
        <w:jc w:val="both"/>
      </w:pPr>
      <w:r>
        <w:rPr>
          <w:rFonts w:ascii="Garamond" w:cs="Garamond" w:eastAsia="Garamond" w:hAnsi="Garamond"/>
          <w:color w:val="2a2520"/>
          <w:sz w:val="22"/>
          <w:szCs w:val="22"/>
        </w:rPr>
        <w:t xml:space="preserve">The right to keep and bear arms for personal defense and hunting must not be infringed. States may establish proportionate licensing and safety requirements that do not function as effective prohibitions on lawful ownership. The burden of proof lies with the State to demonstrate that any challenged requirement is proportionate, non-discriminatory, and genuinely serves a safety purpose.</w:t>
      </w:r>
    </w:p>
    <w:p>
      <w:pPr>
        <w:spacing w:after="60" w:before="200"/>
        <w:ind w:left="863"/>
      </w:pPr>
      <w:r>
        <w:rPr>
          <w:rFonts w:ascii="Courier New" w:cs="Courier New" w:eastAsia="Courier New" w:hAnsi="Courier New"/>
          <w:b/>
          <w:bCs/>
          <w:color w:val="1B2A4A"/>
          <w:sz w:val="18"/>
          <w:szCs w:val="18"/>
        </w:rPr>
        <w:t xml:space="preserve">§1.12.a  </w:t>
      </w:r>
      <w:r>
        <w:rPr>
          <w:rFonts w:ascii="Garamond" w:cs="Garamond" w:eastAsia="Garamond" w:hAnsi="Garamond"/>
          <w:b/>
          <w:bCs/>
          <w:color w:val="1B2A4A"/>
          <w:sz w:val="22"/>
          <w:szCs w:val="22"/>
        </w:rPr>
        <w:t xml:space="preserve">Right to Bear Arms</w:t>
      </w:r>
    </w:p>
    <w:p>
      <w:pPr>
        <w:spacing w:after="120" w:before="0"/>
        <w:ind w:left="863"/>
        <w:jc w:val="both"/>
      </w:pPr>
      <w:r>
        <w:rPr>
          <w:rFonts w:ascii="Garamond" w:cs="Garamond" w:eastAsia="Garamond" w:hAnsi="Garamond"/>
          <w:color w:val="2a2520"/>
          <w:sz w:val="22"/>
          <w:szCs w:val="22"/>
        </w:rPr>
        <w:t xml:space="preserve">The right to keep and bear arms is a personal right held by each individual. It is not a collective right conditional on militia service or membership, and does not require any governmental authorization for keeping arms in the home.</w:t>
      </w:r>
    </w:p>
    <w:p>
      <w:pPr>
        <w:spacing w:after="60" w:before="200"/>
        <w:ind w:left="863"/>
      </w:pPr>
      <w:r>
        <w:rPr>
          <w:rFonts w:ascii="Courier New" w:cs="Courier New" w:eastAsia="Courier New" w:hAnsi="Courier New"/>
          <w:b/>
          <w:bCs/>
          <w:color w:val="1B2A4A"/>
          <w:sz w:val="18"/>
          <w:szCs w:val="18"/>
        </w:rPr>
        <w:t xml:space="preserve">§1.12.b  </w:t>
      </w:r>
      <w:r>
        <w:rPr>
          <w:rFonts w:ascii="Garamond" w:cs="Garamond" w:eastAsia="Garamond" w:hAnsi="Garamond"/>
          <w:b/>
          <w:bCs/>
          <w:color w:val="1B2A4A"/>
          <w:sz w:val="22"/>
          <w:szCs w:val="22"/>
        </w:rPr>
        <w:t xml:space="preserve">State Licensing Latitude</w:t>
      </w:r>
    </w:p>
    <w:p>
      <w:pPr>
        <w:spacing w:after="120" w:before="0"/>
        <w:ind w:left="863"/>
        <w:jc w:val="both"/>
      </w:pPr>
      <w:r>
        <w:rPr>
          <w:rFonts w:ascii="Garamond" w:cs="Garamond" w:eastAsia="Garamond" w:hAnsi="Garamond"/>
          <w:color w:val="2a2520"/>
          <w:sz w:val="22"/>
          <w:szCs w:val="22"/>
        </w:rPr>
        <w:t xml:space="preserve">States may establish licensing and safety training requirements as a condition of carrying or possessing firearms. States may regulate the exercise of the right but may not use regulation as a prohibition by another name.</w:t>
      </w:r>
    </w:p>
    <w:p>
      <w:pPr>
        <w:spacing w:after="60" w:before="200"/>
        <w:ind w:left="863"/>
      </w:pPr>
      <w:r>
        <w:rPr>
          <w:rFonts w:ascii="Courier New" w:cs="Courier New" w:eastAsia="Courier New" w:hAnsi="Courier New"/>
          <w:b/>
          <w:bCs/>
          <w:color w:val="1B2A4A"/>
          <w:sz w:val="18"/>
          <w:szCs w:val="18"/>
        </w:rPr>
        <w:t xml:space="preserve">§1.12.c  </w:t>
      </w:r>
      <w:r>
        <w:rPr>
          <w:rFonts w:ascii="Garamond" w:cs="Garamond" w:eastAsia="Garamond" w:hAnsi="Garamond"/>
          <w:b/>
          <w:bCs/>
          <w:color w:val="1B2A4A"/>
          <w:sz w:val="22"/>
          <w:szCs w:val="22"/>
        </w:rPr>
        <w:t xml:space="preserve">Non-Prohibition Principle</w:t>
      </w:r>
    </w:p>
    <w:p>
      <w:pPr>
        <w:spacing w:after="120" w:before="0"/>
        <w:ind w:left="863"/>
        <w:jc w:val="both"/>
      </w:pPr>
      <w:r>
        <w:rPr>
          <w:rFonts w:ascii="Garamond" w:cs="Garamond" w:eastAsia="Garamond" w:hAnsi="Garamond"/>
          <w:color w:val="2a2520"/>
          <w:sz w:val="22"/>
          <w:szCs w:val="22"/>
        </w:rPr>
        <w:t xml:space="preserve">No State requirement may function as an effective prohibition on keeping or bearing arms. A requirement is an effective prohibition if it imposes costs, delays, or conditions that make lawful ownership practically inaccessible to ordinary citizens. The burden of proof lies with the State to demonstrate proportionality.</w:t>
      </w:r>
    </w:p>
    <w:p>
      <w:pPr>
        <w:spacing w:after="60" w:before="200"/>
        <w:ind w:left="431"/>
      </w:pPr>
      <w:r>
        <w:rPr>
          <w:rFonts w:ascii="Courier New" w:cs="Courier New" w:eastAsia="Courier New" w:hAnsi="Courier New"/>
          <w:b/>
          <w:bCs/>
          <w:color w:val="1B2A4A"/>
          <w:sz w:val="18"/>
          <w:szCs w:val="18"/>
        </w:rPr>
        <w:t xml:space="preserve">§1.13  </w:t>
      </w:r>
      <w:r>
        <w:rPr>
          <w:rFonts w:ascii="Garamond" w:cs="Garamond" w:eastAsia="Garamond" w:hAnsi="Garamond"/>
          <w:b/>
          <w:bCs/>
          <w:color w:val="1B2A4A"/>
          <w:sz w:val="22"/>
          <w:szCs w:val="22"/>
        </w:rPr>
        <w:t xml:space="preserve">Freedom of Movement and Labor</w:t>
      </w:r>
    </w:p>
    <w:p>
      <w:pPr>
        <w:spacing w:after="120" w:before="0"/>
        <w:ind w:left="431"/>
        <w:jc w:val="both"/>
      </w:pPr>
      <w:r>
        <w:rPr>
          <w:rFonts w:ascii="Garamond" w:cs="Garamond" w:eastAsia="Garamond" w:hAnsi="Garamond"/>
          <w:color w:val="2a2520"/>
          <w:sz w:val="22"/>
          <w:szCs w:val="22"/>
        </w:rPr>
        <w:t xml:space="preserve">All Inhabitants have the right to travel and reside anywhere within the Republic. State professional licensing requirements may not create barriers to labor mobility; licenses issued under State law are recognized throughout the Republic. Every person has the right to form and join trade unions and bargain collectively; the right to strike as a collective work stoppage is protected, subject to reasonable regulation of essential services.</w:t>
      </w:r>
    </w:p>
    <w:p>
      <w:pPr>
        <w:spacing w:after="60" w:before="200"/>
        <w:ind w:left="431"/>
      </w:pPr>
      <w:r>
        <w:rPr>
          <w:rFonts w:ascii="Courier New" w:cs="Courier New" w:eastAsia="Courier New" w:hAnsi="Courier New"/>
          <w:b/>
          <w:bCs/>
          <w:color w:val="1B2A4A"/>
          <w:sz w:val="18"/>
          <w:szCs w:val="18"/>
        </w:rPr>
        <w:t xml:space="preserve">§1.14  </w:t>
      </w:r>
      <w:r>
        <w:rPr>
          <w:rFonts w:ascii="Garamond" w:cs="Garamond" w:eastAsia="Garamond" w:hAnsi="Garamond"/>
          <w:b/>
          <w:bCs/>
          <w:color w:val="1B2A4A"/>
          <w:sz w:val="22"/>
          <w:szCs w:val="22"/>
        </w:rPr>
        <w:t xml:space="preserve">Detention and Habeas Corpus Rights</w:t>
      </w:r>
    </w:p>
    <w:p>
      <w:pPr>
        <w:spacing w:after="120" w:before="0"/>
        <w:ind w:left="431"/>
        <w:jc w:val="both"/>
      </w:pPr>
      <w:r>
        <w:rPr>
          <w:rFonts w:ascii="Garamond" w:cs="Garamond" w:eastAsia="Garamond" w:hAnsi="Garamond"/>
          <w:color w:val="2a2520"/>
          <w:sz w:val="22"/>
          <w:szCs w:val="22"/>
        </w:rPr>
        <w:t xml:space="preserve">Any person taken into custody by the State holds the rights established in this section. These rights are self-executing and may not be suspended by statute or executive order.</w:t>
      </w:r>
    </w:p>
    <w:p>
      <w:pPr>
        <w:spacing w:after="60" w:before="200"/>
        <w:ind w:left="863"/>
      </w:pPr>
      <w:r>
        <w:rPr>
          <w:rFonts w:ascii="Courier New" w:cs="Courier New" w:eastAsia="Courier New" w:hAnsi="Courier New"/>
          <w:b/>
          <w:bCs/>
          <w:color w:val="1B2A4A"/>
          <w:sz w:val="18"/>
          <w:szCs w:val="18"/>
        </w:rPr>
        <w:t xml:space="preserve">§1.14.a  </w:t>
      </w:r>
      <w:r>
        <w:rPr>
          <w:rFonts w:ascii="Garamond" w:cs="Garamond" w:eastAsia="Garamond" w:hAnsi="Garamond"/>
          <w:b/>
          <w:bCs/>
          <w:color w:val="1B2A4A"/>
          <w:sz w:val="22"/>
          <w:szCs w:val="22"/>
        </w:rPr>
        <w:t xml:space="preserve">First Appearance</w:t>
      </w:r>
    </w:p>
    <w:p>
      <w:pPr>
        <w:spacing w:after="120" w:before="0"/>
        <w:ind w:left="863"/>
        <w:jc w:val="both"/>
      </w:pPr>
      <w:r>
        <w:rPr>
          <w:rFonts w:ascii="Garamond" w:cs="Garamond" w:eastAsia="Garamond" w:hAnsi="Garamond"/>
          <w:color w:val="2a2520"/>
          <w:sz w:val="22"/>
          <w:szCs w:val="22"/>
        </w:rPr>
        <w:t xml:space="preserve">Any person taken into custody must appear before a judicial officer within 72 hours of arrest. At the First Appearance, the judge must determine whether custody is lawful and whether conditions of release are appropriate.</w:t>
      </w:r>
    </w:p>
    <w:p>
      <w:pPr>
        <w:spacing w:after="60" w:before="200"/>
        <w:ind w:left="863"/>
      </w:pPr>
      <w:r>
        <w:rPr>
          <w:rFonts w:ascii="Courier New" w:cs="Courier New" w:eastAsia="Courier New" w:hAnsi="Courier New"/>
          <w:b/>
          <w:bCs/>
          <w:color w:val="1B2A4A"/>
          <w:sz w:val="18"/>
          <w:szCs w:val="18"/>
        </w:rPr>
        <w:t xml:space="preserve">§1.14.b  </w:t>
      </w:r>
      <w:r>
        <w:rPr>
          <w:rFonts w:ascii="Garamond" w:cs="Garamond" w:eastAsia="Garamond" w:hAnsi="Garamond"/>
          <w:b/>
          <w:bCs/>
          <w:color w:val="1B2A4A"/>
          <w:sz w:val="22"/>
          <w:szCs w:val="22"/>
        </w:rPr>
        <w:t xml:space="preserve">Habeas Corpus Response Deadline</w:t>
      </w:r>
    </w:p>
    <w:p>
      <w:pPr>
        <w:spacing w:after="120" w:before="0"/>
        <w:ind w:left="863"/>
        <w:jc w:val="both"/>
      </w:pPr>
      <w:r>
        <w:rPr>
          <w:rFonts w:ascii="Garamond" w:cs="Garamond" w:eastAsia="Garamond" w:hAnsi="Garamond"/>
          <w:color w:val="2a2520"/>
          <w:sz w:val="22"/>
          <w:szCs w:val="22"/>
        </w:rPr>
        <w:t xml:space="preserve">A court receiving a habeas corpus petition must rule within 48 hours of filing. No procedural rule may extend this deadline. A court that fails to rule within 48 hours is deemed to have found the detention unlawful — the detained person must be released or brought before a judicial officer immediately.</w:t>
      </w:r>
    </w:p>
    <w:p>
      <w:pPr>
        <w:spacing w:after="60" w:before="200"/>
        <w:ind w:left="863"/>
      </w:pPr>
      <w:r>
        <w:rPr>
          <w:rFonts w:ascii="Courier New" w:cs="Courier New" w:eastAsia="Courier New" w:hAnsi="Courier New"/>
          <w:b/>
          <w:bCs/>
          <w:color w:val="1B2A4A"/>
          <w:sz w:val="18"/>
          <w:szCs w:val="18"/>
        </w:rPr>
        <w:t xml:space="preserve">§1.14.c  </w:t>
      </w:r>
      <w:r>
        <w:rPr>
          <w:rFonts w:ascii="Garamond" w:cs="Garamond" w:eastAsia="Garamond" w:hAnsi="Garamond"/>
          <w:b/>
          <w:bCs/>
          <w:color w:val="1B2A4A"/>
          <w:sz w:val="22"/>
          <w:szCs w:val="22"/>
        </w:rPr>
        <w:t xml:space="preserve">Habeas Corpus</w:t>
      </w:r>
    </w:p>
    <w:p>
      <w:pPr>
        <w:spacing w:after="120" w:before="0"/>
        <w:ind w:left="863"/>
        <w:jc w:val="both"/>
      </w:pPr>
      <w:r>
        <w:rPr>
          <w:rFonts w:ascii="Garamond" w:cs="Garamond" w:eastAsia="Garamond" w:hAnsi="Garamond"/>
          <w:color w:val="2a2520"/>
          <w:sz w:val="22"/>
          <w:szCs w:val="22"/>
        </w:rPr>
        <w:t xml:space="preserve">Any person detained by the State has the absolute right to challenge the lawfulness of their confinement before a judge at any time. The right cannot be suspended by emergency declaration — it appears in §1.26.b's list of absolutely non-derogable rights.</w:t>
      </w:r>
    </w:p>
    <w:p>
      <w:pPr>
        <w:spacing w:after="60" w:before="200"/>
        <w:ind w:left="431"/>
      </w:pPr>
      <w:r>
        <w:rPr>
          <w:rFonts w:ascii="Courier New" w:cs="Courier New" w:eastAsia="Courier New" w:hAnsi="Courier New"/>
          <w:b/>
          <w:bCs/>
          <w:color w:val="1B2A4A"/>
          <w:sz w:val="18"/>
          <w:szCs w:val="18"/>
        </w:rPr>
        <w:t xml:space="preserve">§1.15  </w:t>
      </w:r>
      <w:r>
        <w:rPr>
          <w:rFonts w:ascii="Garamond" w:cs="Garamond" w:eastAsia="Garamond" w:hAnsi="Garamond"/>
          <w:b/>
          <w:bCs/>
          <w:color w:val="1B2A4A"/>
          <w:sz w:val="22"/>
          <w:szCs w:val="22"/>
        </w:rPr>
        <w:t xml:space="preserve">Rights of the Accused</w:t>
      </w:r>
    </w:p>
    <w:p>
      <w:pPr>
        <w:spacing w:after="120" w:before="0"/>
        <w:ind w:left="431"/>
        <w:jc w:val="both"/>
      </w:pPr>
      <w:r>
        <w:rPr>
          <w:rFonts w:ascii="Garamond" w:cs="Garamond" w:eastAsia="Garamond" w:hAnsi="Garamond"/>
          <w:color w:val="2a2520"/>
          <w:sz w:val="22"/>
          <w:szCs w:val="22"/>
        </w:rPr>
        <w:t xml:space="preserve">Every person accused of a crime or subject to criminal proceedings holds the rights established in this section from the moment of accusation through final disposition.</w:t>
      </w:r>
    </w:p>
    <w:p>
      <w:pPr>
        <w:spacing w:after="60" w:before="200"/>
        <w:ind w:left="863"/>
      </w:pPr>
      <w:r>
        <w:rPr>
          <w:rFonts w:ascii="Courier New" w:cs="Courier New" w:eastAsia="Courier New" w:hAnsi="Courier New"/>
          <w:b/>
          <w:bCs/>
          <w:color w:val="1B2A4A"/>
          <w:sz w:val="18"/>
          <w:szCs w:val="18"/>
        </w:rPr>
        <w:t xml:space="preserve">§1.15.a  </w:t>
      </w:r>
      <w:r>
        <w:rPr>
          <w:rFonts w:ascii="Garamond" w:cs="Garamond" w:eastAsia="Garamond" w:hAnsi="Garamond"/>
          <w:b/>
          <w:bCs/>
          <w:color w:val="1B2A4A"/>
          <w:sz w:val="22"/>
          <w:szCs w:val="22"/>
        </w:rPr>
        <w:t xml:space="preserve">Right to Counsel</w:t>
      </w:r>
    </w:p>
    <w:p>
      <w:pPr>
        <w:spacing w:after="120" w:before="0"/>
        <w:ind w:left="863"/>
        <w:jc w:val="both"/>
      </w:pPr>
      <w:r>
        <w:rPr>
          <w:rFonts w:ascii="Garamond" w:cs="Garamond" w:eastAsia="Garamond" w:hAnsi="Garamond"/>
          <w:color w:val="2a2520"/>
          <w:sz w:val="22"/>
          <w:szCs w:val="22"/>
        </w:rPr>
        <w:t xml:space="preserve">Any person accused of a crime or subject to detention has the right to retain and consult with a lawyer before questioning. If they cannot afford counsel, the Republic provides it. The right attaches from the moment of accusation or detention, not from formal charging.</w:t>
      </w:r>
    </w:p>
    <w:p>
      <w:pPr>
        <w:spacing w:after="60" w:before="200"/>
        <w:ind w:left="863"/>
      </w:pPr>
      <w:r>
        <w:rPr>
          <w:rFonts w:ascii="Courier New" w:cs="Courier New" w:eastAsia="Courier New" w:hAnsi="Courier New"/>
          <w:b/>
          <w:bCs/>
          <w:color w:val="1B2A4A"/>
          <w:sz w:val="18"/>
          <w:szCs w:val="18"/>
        </w:rPr>
        <w:t xml:space="preserve">§1.15.b  </w:t>
      </w:r>
      <w:r>
        <w:rPr>
          <w:rFonts w:ascii="Garamond" w:cs="Garamond" w:eastAsia="Garamond" w:hAnsi="Garamond"/>
          <w:b/>
          <w:bCs/>
          <w:color w:val="1B2A4A"/>
          <w:sz w:val="22"/>
          <w:szCs w:val="22"/>
        </w:rPr>
        <w:t xml:space="preserve">Caseload Guarantee</w:t>
      </w:r>
    </w:p>
    <w:p>
      <w:pPr>
        <w:spacing w:after="120" w:before="0"/>
        <w:ind w:left="863"/>
        <w:jc w:val="both"/>
      </w:pPr>
      <w:r>
        <w:rPr>
          <w:rFonts w:ascii="Garamond" w:cs="Garamond" w:eastAsia="Garamond" w:hAnsi="Garamond"/>
          <w:color w:val="2a2520"/>
          <w:sz w:val="22"/>
          <w:szCs w:val="22"/>
        </w:rPr>
        <w:t xml:space="preserve">The Legislature must establish maximum caseload limits for publicly funded defense — ensuring that the right to counsel means genuine preparation, not nominal presence. Public defenders must be resourced equivalently to prosecutorial offices handling comparable cases.</w:t>
      </w:r>
    </w:p>
    <w:p>
      <w:pPr>
        <w:spacing w:after="60" w:before="200"/>
        <w:ind w:left="863"/>
      </w:pPr>
      <w:r>
        <w:rPr>
          <w:rFonts w:ascii="Courier New" w:cs="Courier New" w:eastAsia="Courier New" w:hAnsi="Courier New"/>
          <w:b/>
          <w:bCs/>
          <w:color w:val="1B2A4A"/>
          <w:sz w:val="18"/>
          <w:szCs w:val="18"/>
        </w:rPr>
        <w:t xml:space="preserve">§1.15.c  </w:t>
      </w:r>
      <w:r>
        <w:rPr>
          <w:rFonts w:ascii="Garamond" w:cs="Garamond" w:eastAsia="Garamond" w:hAnsi="Garamond"/>
          <w:b/>
          <w:bCs/>
          <w:color w:val="1B2A4A"/>
          <w:sz w:val="22"/>
          <w:szCs w:val="22"/>
        </w:rPr>
        <w:t xml:space="preserve">Right to Be Informed of Charges</w:t>
      </w:r>
    </w:p>
    <w:p>
      <w:pPr>
        <w:spacing w:after="120" w:before="0"/>
        <w:ind w:left="863"/>
        <w:jc w:val="both"/>
      </w:pPr>
      <w:r>
        <w:rPr>
          <w:rFonts w:ascii="Garamond" w:cs="Garamond" w:eastAsia="Garamond" w:hAnsi="Garamond"/>
          <w:color w:val="2a2520"/>
          <w:sz w:val="22"/>
          <w:szCs w:val="22"/>
        </w:rPr>
        <w:t xml:space="preserve">Any person detained or accused must be informed promptly, in plain language they understand, of the specific grounds for their detention and the charges being considered. Detention without meaningful explanation of its basis is unconstitutional from its first moment.</w:t>
      </w:r>
    </w:p>
    <w:p>
      <w:pPr>
        <w:spacing w:after="60" w:before="200"/>
        <w:ind w:left="863"/>
      </w:pPr>
      <w:r>
        <w:rPr>
          <w:rFonts w:ascii="Courier New" w:cs="Courier New" w:eastAsia="Courier New" w:hAnsi="Courier New"/>
          <w:b/>
          <w:bCs/>
          <w:color w:val="1B2A4A"/>
          <w:sz w:val="18"/>
          <w:szCs w:val="18"/>
        </w:rPr>
        <w:t xml:space="preserve">§1.15.d  </w:t>
      </w:r>
      <w:r>
        <w:rPr>
          <w:rFonts w:ascii="Garamond" w:cs="Garamond" w:eastAsia="Garamond" w:hAnsi="Garamond"/>
          <w:b/>
          <w:bCs/>
          <w:color w:val="1B2A4A"/>
          <w:sz w:val="22"/>
          <w:szCs w:val="22"/>
        </w:rPr>
        <w:t xml:space="preserve">Right to Full Disclosure</w:t>
      </w:r>
    </w:p>
    <w:p>
      <w:pPr>
        <w:spacing w:after="120" w:before="0"/>
        <w:ind w:left="863"/>
        <w:jc w:val="both"/>
      </w:pPr>
      <w:r>
        <w:rPr>
          <w:rFonts w:ascii="Garamond" w:cs="Garamond" w:eastAsia="Garamond" w:hAnsi="Garamond"/>
          <w:color w:val="2a2520"/>
          <w:sz w:val="22"/>
          <w:szCs w:val="22"/>
        </w:rPr>
        <w:t xml:space="preserve">Any accused person has the right to full disclosure of all State evidence — including evidence the prosecution does not intend to use — before trial. Any withholding of exculpatory evidence is a constitutional violation, not a procedural irregularity.</w:t>
      </w:r>
    </w:p>
    <w:p>
      <w:pPr>
        <w:spacing w:after="60" w:before="200"/>
        <w:ind w:left="431"/>
      </w:pPr>
      <w:r>
        <w:rPr>
          <w:rFonts w:ascii="Courier New" w:cs="Courier New" w:eastAsia="Courier New" w:hAnsi="Courier New"/>
          <w:b/>
          <w:bCs/>
          <w:color w:val="1B2A4A"/>
          <w:sz w:val="18"/>
          <w:szCs w:val="18"/>
        </w:rPr>
        <w:t xml:space="preserve">§1.16  </w:t>
      </w:r>
      <w:r>
        <w:rPr>
          <w:rFonts w:ascii="Garamond" w:cs="Garamond" w:eastAsia="Garamond" w:hAnsi="Garamond"/>
          <w:b/>
          <w:bCs/>
          <w:color w:val="1B2A4A"/>
          <w:sz w:val="22"/>
          <w:szCs w:val="22"/>
        </w:rPr>
        <w:t xml:space="preserve">Fair Trial Rights</w:t>
      </w:r>
    </w:p>
    <w:p>
      <w:pPr>
        <w:spacing w:after="120" w:before="0"/>
        <w:ind w:left="431"/>
        <w:jc w:val="both"/>
      </w:pPr>
      <w:r>
        <w:rPr>
          <w:rFonts w:ascii="Garamond" w:cs="Garamond" w:eastAsia="Garamond" w:hAnsi="Garamond"/>
          <w:color w:val="2a2520"/>
          <w:sz w:val="22"/>
          <w:szCs w:val="22"/>
        </w:rPr>
        <w:t xml:space="preserve">Every person subject to criminal proceedings has the right to a fair and timely trial. These rights may not be waived by prosecutorial pressure, plea incentive, or judicial scheduling convenience.</w:t>
      </w:r>
    </w:p>
    <w:p>
      <w:pPr>
        <w:spacing w:after="60" w:before="200"/>
        <w:ind w:left="863"/>
      </w:pPr>
      <w:r>
        <w:rPr>
          <w:rFonts w:ascii="Courier New" w:cs="Courier New" w:eastAsia="Courier New" w:hAnsi="Courier New"/>
          <w:b/>
          <w:bCs/>
          <w:color w:val="1B2A4A"/>
          <w:sz w:val="18"/>
          <w:szCs w:val="18"/>
        </w:rPr>
        <w:t xml:space="preserve">§1.16.a  </w:t>
      </w:r>
      <w:r>
        <w:rPr>
          <w:rFonts w:ascii="Garamond" w:cs="Garamond" w:eastAsia="Garamond" w:hAnsi="Garamond"/>
          <w:b/>
          <w:bCs/>
          <w:color w:val="1B2A4A"/>
          <w:sz w:val="22"/>
          <w:szCs w:val="22"/>
        </w:rPr>
        <w:t xml:space="preserve">Speedy Trial Principle</w:t>
      </w:r>
    </w:p>
    <w:p>
      <w:pPr>
        <w:spacing w:after="120" w:before="0"/>
        <w:ind w:left="863"/>
        <w:jc w:val="both"/>
      </w:pPr>
      <w:r>
        <w:rPr>
          <w:rFonts w:ascii="Garamond" w:cs="Garamond" w:eastAsia="Garamond" w:hAnsi="Garamond"/>
          <w:color w:val="2a2520"/>
          <w:sz w:val="22"/>
          <w:szCs w:val="22"/>
        </w:rPr>
        <w:t xml:space="preserve">Every accused person has the right to trial without unreasonable delay. Delay caused by the State is not a neutral fact — prolonged pre-trial detention is itself a punishment imposed without verdict. What constitutes unreasonable delay is defined by the Legislature in statute, subject to judicial review.</w:t>
      </w:r>
    </w:p>
    <w:p>
      <w:pPr>
        <w:spacing w:after="60" w:before="200"/>
        <w:ind w:left="863"/>
      </w:pPr>
      <w:r>
        <w:rPr>
          <w:rFonts w:ascii="Courier New" w:cs="Courier New" w:eastAsia="Courier New" w:hAnsi="Courier New"/>
          <w:b/>
          <w:bCs/>
          <w:color w:val="1B2A4A"/>
          <w:sz w:val="18"/>
          <w:szCs w:val="18"/>
        </w:rPr>
        <w:t xml:space="preserve">§1.16.b  </w:t>
      </w:r>
      <w:r>
        <w:rPr>
          <w:rFonts w:ascii="Garamond" w:cs="Garamond" w:eastAsia="Garamond" w:hAnsi="Garamond"/>
          <w:b/>
          <w:bCs/>
          <w:color w:val="1B2A4A"/>
          <w:sz w:val="22"/>
          <w:szCs w:val="22"/>
        </w:rPr>
        <w:t xml:space="preserve">Bail Proportionality</w:t>
      </w:r>
    </w:p>
    <w:p>
      <w:pPr>
        <w:spacing w:after="120" w:before="0"/>
        <w:ind w:left="863"/>
        <w:jc w:val="both"/>
      </w:pPr>
      <w:r>
        <w:rPr>
          <w:rFonts w:ascii="Garamond" w:cs="Garamond" w:eastAsia="Garamond" w:hAnsi="Garamond"/>
          <w:color w:val="2a2520"/>
          <w:sz w:val="22"/>
          <w:szCs w:val="22"/>
        </w:rPr>
        <w:t xml:space="preserve">Pre-trial detention may only be ordered where the court makes a specific, individualized finding that the accused poses a genuine flight risk or documented danger to an identifiable person. Financial inability to post bail does not justify detention — bail conditions must be proportionate to what the accused can actually pay.</w:t>
      </w:r>
    </w:p>
    <w:p>
      <w:pPr>
        <w:spacing w:after="60" w:before="200"/>
        <w:ind w:left="863"/>
      </w:pPr>
      <w:r>
        <w:rPr>
          <w:rFonts w:ascii="Courier New" w:cs="Courier New" w:eastAsia="Courier New" w:hAnsi="Courier New"/>
          <w:b/>
          <w:bCs/>
          <w:color w:val="1B2A4A"/>
          <w:sz w:val="18"/>
          <w:szCs w:val="18"/>
        </w:rPr>
        <w:t xml:space="preserve">§1.16.c  </w:t>
      </w:r>
      <w:r>
        <w:rPr>
          <w:rFonts w:ascii="Garamond" w:cs="Garamond" w:eastAsia="Garamond" w:hAnsi="Garamond"/>
          <w:b/>
          <w:bCs/>
          <w:color w:val="1B2A4A"/>
          <w:sz w:val="22"/>
          <w:szCs w:val="22"/>
        </w:rPr>
        <w:t xml:space="preserve">Protection from Trial Penalties</w:t>
      </w:r>
    </w:p>
    <w:p>
      <w:pPr>
        <w:spacing w:after="120" w:before="0"/>
        <w:ind w:left="863"/>
        <w:jc w:val="both"/>
      </w:pPr>
      <w:r>
        <w:rPr>
          <w:rFonts w:ascii="Garamond" w:cs="Garamond" w:eastAsia="Garamond" w:hAnsi="Garamond"/>
          <w:color w:val="2a2520"/>
          <w:sz w:val="22"/>
          <w:szCs w:val="22"/>
        </w:rPr>
        <w:t xml:space="preserve">The right to trial may not be penalized. A defendant who exercises their right to trial may not receive a harsher sentence than they would have received by entering a guilty plea for the same offense. Sentencing 'trial penalties' are constitutionally prohibited.</w:t>
      </w:r>
    </w:p>
    <w:p>
      <w:pPr>
        <w:spacing w:after="60" w:before="200"/>
        <w:ind w:left="863"/>
      </w:pPr>
      <w:r>
        <w:rPr>
          <w:rFonts w:ascii="Courier New" w:cs="Courier New" w:eastAsia="Courier New" w:hAnsi="Courier New"/>
          <w:b/>
          <w:bCs/>
          <w:color w:val="1B2A4A"/>
          <w:sz w:val="18"/>
          <w:szCs w:val="18"/>
        </w:rPr>
        <w:t xml:space="preserve">§1.16.d  </w:t>
      </w:r>
      <w:r>
        <w:rPr>
          <w:rFonts w:ascii="Garamond" w:cs="Garamond" w:eastAsia="Garamond" w:hAnsi="Garamond"/>
          <w:b/>
          <w:bCs/>
          <w:color w:val="1B2A4A"/>
          <w:sz w:val="22"/>
          <w:szCs w:val="22"/>
        </w:rPr>
        <w:t xml:space="preserve">Source Code Right</w:t>
      </w:r>
    </w:p>
    <w:p>
      <w:pPr>
        <w:spacing w:after="120" w:before="0"/>
        <w:ind w:left="863"/>
        <w:jc w:val="both"/>
      </w:pPr>
      <w:r>
        <w:rPr>
          <w:rFonts w:ascii="Garamond" w:cs="Garamond" w:eastAsia="Garamond" w:hAnsi="Garamond"/>
          <w:color w:val="2a2520"/>
          <w:sz w:val="22"/>
          <w:szCs w:val="22"/>
        </w:rPr>
        <w:t xml:space="preserve">Any accused person has the right to inspect, challenge, and rebut any algorithm, automated system, statistical model, or raw dataset used as evidence or to generate a score influencing their case. Technology-opaque evidence against which no defense can be mounted is constitutionally inadmissible.</w:t>
      </w:r>
    </w:p>
    <w:p>
      <w:pPr>
        <w:spacing w:after="60" w:before="200"/>
        <w:ind w:left="431"/>
      </w:pPr>
      <w:r>
        <w:rPr>
          <w:rFonts w:ascii="Courier New" w:cs="Courier New" w:eastAsia="Courier New" w:hAnsi="Courier New"/>
          <w:b/>
          <w:bCs/>
          <w:color w:val="1B2A4A"/>
          <w:sz w:val="18"/>
          <w:szCs w:val="18"/>
        </w:rPr>
        <w:t xml:space="preserve">§1.17  </w:t>
      </w:r>
      <w:r>
        <w:rPr>
          <w:rFonts w:ascii="Garamond" w:cs="Garamond" w:eastAsia="Garamond" w:hAnsi="Garamond"/>
          <w:b/>
          <w:bCs/>
          <w:color w:val="1B2A4A"/>
          <w:sz w:val="22"/>
          <w:szCs w:val="22"/>
        </w:rPr>
        <w:t xml:space="preserve">Right to Silence</w:t>
      </w:r>
    </w:p>
    <w:p>
      <w:pPr>
        <w:spacing w:after="120" w:before="0"/>
        <w:ind w:left="431"/>
        <w:jc w:val="both"/>
      </w:pPr>
      <w:r>
        <w:rPr>
          <w:rFonts w:ascii="Garamond" w:cs="Garamond" w:eastAsia="Garamond" w:hAnsi="Garamond"/>
          <w:color w:val="2a2520"/>
          <w:sz w:val="22"/>
          <w:szCs w:val="22"/>
        </w:rPr>
        <w:t xml:space="preserve">No person may be compelled to testify against themselves or to produce self-incriminating evidence. The right of silence is complete — silence may not be commented upon or used to draw adverse inferences. Consistent with §1.10.c, this extends to cryptographic keys.</w:t>
      </w:r>
    </w:p>
    <w:p>
      <w:pPr>
        <w:spacing w:after="60" w:before="200"/>
        <w:ind w:left="431"/>
      </w:pPr>
      <w:r>
        <w:rPr>
          <w:rFonts w:ascii="Courier New" w:cs="Courier New" w:eastAsia="Courier New" w:hAnsi="Courier New"/>
          <w:b/>
          <w:bCs/>
          <w:color w:val="1B2A4A"/>
          <w:sz w:val="18"/>
          <w:szCs w:val="18"/>
        </w:rPr>
        <w:t xml:space="preserve">§1.18  </w:t>
      </w:r>
      <w:r>
        <w:rPr>
          <w:rFonts w:ascii="Garamond" w:cs="Garamond" w:eastAsia="Garamond" w:hAnsi="Garamond"/>
          <w:b/>
          <w:bCs/>
          <w:color w:val="1B2A4A"/>
          <w:sz w:val="22"/>
          <w:szCs w:val="22"/>
        </w:rPr>
        <w:t xml:space="preserve">Right to a Public Trial</w:t>
      </w:r>
    </w:p>
    <w:p>
      <w:pPr>
        <w:spacing w:after="120" w:before="0"/>
        <w:ind w:left="431"/>
        <w:jc w:val="both"/>
      </w:pPr>
      <w:r>
        <w:rPr>
          <w:rFonts w:ascii="Garamond" w:cs="Garamond" w:eastAsia="Garamond" w:hAnsi="Garamond"/>
          <w:color w:val="2a2520"/>
          <w:sz w:val="22"/>
          <w:szCs w:val="22"/>
        </w:rPr>
        <w:t xml:space="preserve">Every accused person has the right to a public trial before a judge and, in criminal matters, a jury of peers. Secret or closed proceedings are constitutionally prohibited except for the minimal portion where a specific witness's safety requires it — and even then the verdict must be public. Also permanently unamendable.</w:t>
      </w:r>
    </w:p>
    <w:p>
      <w:pPr>
        <w:spacing w:after="60" w:before="200"/>
        <w:ind w:left="431"/>
      </w:pPr>
      <w:r>
        <w:rPr>
          <w:rFonts w:ascii="Courier New" w:cs="Courier New" w:eastAsia="Courier New" w:hAnsi="Courier New"/>
          <w:b/>
          <w:bCs/>
          <w:color w:val="1B2A4A"/>
          <w:sz w:val="18"/>
          <w:szCs w:val="18"/>
        </w:rPr>
        <w:t xml:space="preserve">§1.19  </w:t>
      </w:r>
      <w:r>
        <w:rPr>
          <w:rFonts w:ascii="Garamond" w:cs="Garamond" w:eastAsia="Garamond" w:hAnsi="Garamond"/>
          <w:b/>
          <w:bCs/>
          <w:color w:val="1B2A4A"/>
          <w:sz w:val="22"/>
          <w:szCs w:val="22"/>
        </w:rPr>
        <w:t xml:space="preserve">Criminal Law Limits</w:t>
      </w:r>
    </w:p>
    <w:p>
      <w:pPr>
        <w:spacing w:after="120" w:before="0"/>
        <w:ind w:left="431"/>
        <w:jc w:val="both"/>
      </w:pPr>
      <w:r>
        <w:rPr>
          <w:rFonts w:ascii="Garamond" w:cs="Garamond" w:eastAsia="Garamond" w:hAnsi="Garamond"/>
          <w:color w:val="2a2520"/>
          <w:sz w:val="22"/>
          <w:szCs w:val="22"/>
        </w:rPr>
        <w:t xml:space="preserve">The criminal law may not be applied retroactively or used to punish a person more than once for the same conduct. These prohibitions apply equally to the federal government and to every State.</w:t>
      </w:r>
    </w:p>
    <w:p>
      <w:pPr>
        <w:spacing w:after="60" w:before="200"/>
        <w:ind w:left="863"/>
      </w:pPr>
      <w:r>
        <w:rPr>
          <w:rFonts w:ascii="Courier New" w:cs="Courier New" w:eastAsia="Courier New" w:hAnsi="Courier New"/>
          <w:b/>
          <w:bCs/>
          <w:color w:val="1B2A4A"/>
          <w:sz w:val="18"/>
          <w:szCs w:val="18"/>
        </w:rPr>
        <w:t xml:space="preserve">§1.19.a  </w:t>
      </w:r>
      <w:r>
        <w:rPr>
          <w:rFonts w:ascii="Garamond" w:cs="Garamond" w:eastAsia="Garamond" w:hAnsi="Garamond"/>
          <w:b/>
          <w:bCs/>
          <w:color w:val="1B2A4A"/>
          <w:sz w:val="22"/>
          <w:szCs w:val="22"/>
        </w:rPr>
        <w:t xml:space="preserve">No Retroactive Criminal Laws</w:t>
      </w:r>
    </w:p>
    <w:p>
      <w:pPr>
        <w:spacing w:after="120" w:before="0"/>
        <w:ind w:left="863"/>
        <w:jc w:val="both"/>
      </w:pPr>
      <w:r>
        <w:rPr>
          <w:rFonts w:ascii="Garamond" w:cs="Garamond" w:eastAsia="Garamond" w:hAnsi="Garamond"/>
          <w:color w:val="2a2520"/>
          <w:sz w:val="22"/>
          <w:szCs w:val="22"/>
        </w:rPr>
        <w:t xml:space="preserve">No person may be convicted of an act that was not defined as a criminal offense at the time it was committed. No sentence may exceed the maximum available at the time of the offense. The prohibition on retroactive criminal law is absolute and permanently unamendable.</w:t>
      </w:r>
    </w:p>
    <w:p>
      <w:pPr>
        <w:spacing w:after="60" w:before="200"/>
        <w:ind w:left="863"/>
      </w:pPr>
      <w:r>
        <w:rPr>
          <w:rFonts w:ascii="Courier New" w:cs="Courier New" w:eastAsia="Courier New" w:hAnsi="Courier New"/>
          <w:b/>
          <w:bCs/>
          <w:color w:val="1B2A4A"/>
          <w:sz w:val="18"/>
          <w:szCs w:val="18"/>
        </w:rPr>
        <w:t xml:space="preserve">§1.19.b  </w:t>
      </w:r>
      <w:r>
        <w:rPr>
          <w:rFonts w:ascii="Garamond" w:cs="Garamond" w:eastAsia="Garamond" w:hAnsi="Garamond"/>
          <w:b/>
          <w:bCs/>
          <w:color w:val="1B2A4A"/>
          <w:sz w:val="22"/>
          <w:szCs w:val="22"/>
        </w:rPr>
        <w:t xml:space="preserve">Double Jeopardy</w:t>
      </w:r>
    </w:p>
    <w:p>
      <w:pPr>
        <w:spacing w:after="120" w:before="0"/>
        <w:ind w:left="863"/>
        <w:jc w:val="both"/>
      </w:pPr>
      <w:r>
        <w:rPr>
          <w:rFonts w:ascii="Garamond" w:cs="Garamond" w:eastAsia="Garamond" w:hAnsi="Garamond"/>
          <w:color w:val="2a2520"/>
          <w:sz w:val="22"/>
          <w:szCs w:val="22"/>
        </w:rPr>
        <w:t xml:space="preserve">No person may be tried or punished more than once for the same offense arising from the same factual events. Acquittal is final. This applies across all levels of the Republic's court system — a State court acquittal cannot be retried in a federal court on the same facts.</w:t>
      </w:r>
    </w:p>
    <w:p>
      <w:pPr>
        <w:spacing w:after="60" w:before="200"/>
        <w:ind w:left="431"/>
      </w:pPr>
      <w:r>
        <w:rPr>
          <w:rFonts w:ascii="Courier New" w:cs="Courier New" w:eastAsia="Courier New" w:hAnsi="Courier New"/>
          <w:b/>
          <w:bCs/>
          <w:color w:val="1B2A4A"/>
          <w:sz w:val="18"/>
          <w:szCs w:val="18"/>
        </w:rPr>
        <w:t xml:space="preserve">§1.20  </w:t>
      </w:r>
      <w:r>
        <w:rPr>
          <w:rFonts w:ascii="Garamond" w:cs="Garamond" w:eastAsia="Garamond" w:hAnsi="Garamond"/>
          <w:b/>
          <w:bCs/>
          <w:color w:val="1B2A4A"/>
          <w:sz w:val="22"/>
          <w:szCs w:val="22"/>
        </w:rPr>
        <w:t xml:space="preserve">Right to Democratic Participation</w:t>
      </w:r>
    </w:p>
    <w:p>
      <w:pPr>
        <w:spacing w:after="120" w:before="0"/>
        <w:ind w:left="431"/>
        <w:jc w:val="both"/>
      </w:pPr>
      <w:r>
        <w:rPr>
          <w:rFonts w:ascii="Garamond" w:cs="Garamond" w:eastAsia="Garamond" w:hAnsi="Garamond"/>
          <w:color w:val="2a2520"/>
          <w:sz w:val="22"/>
          <w:szCs w:val="22"/>
        </w:rPr>
        <w:t xml:space="preserve">No government action may make voting materially more difficult for any eligible citizen. This covers not only formal disenfranchisement but practical barriers: polling place closures, identification requirements that function as wealth or document-access tests, registration obstacles designed to suppress participation, and reductions in early or mail voting access. This right is self-executing: a citizen facing a material barrier may bring a constitutional claim directly in court.</w:t>
      </w:r>
    </w:p>
    <w:p>
      <w:pPr>
        <w:spacing w:after="60" w:before="200"/>
        <w:ind w:left="431"/>
      </w:pPr>
      <w:r>
        <w:rPr>
          <w:rFonts w:ascii="Courier New" w:cs="Courier New" w:eastAsia="Courier New" w:hAnsi="Courier New"/>
          <w:b/>
          <w:bCs/>
          <w:color w:val="1B2A4A"/>
          <w:sz w:val="18"/>
          <w:szCs w:val="18"/>
        </w:rPr>
        <w:t xml:space="preserve">§1.21  </w:t>
      </w:r>
      <w:r>
        <w:rPr>
          <w:rFonts w:ascii="Garamond" w:cs="Garamond" w:eastAsia="Garamond" w:hAnsi="Garamond"/>
          <w:b/>
          <w:bCs/>
          <w:color w:val="1B2A4A"/>
          <w:sz w:val="22"/>
          <w:szCs w:val="22"/>
        </w:rPr>
        <w:t xml:space="preserve">Right to Marry and Found a Family</w:t>
      </w:r>
    </w:p>
    <w:p>
      <w:pPr>
        <w:spacing w:after="120" w:before="0"/>
        <w:ind w:left="431"/>
        <w:jc w:val="both"/>
      </w:pPr>
      <w:r>
        <w:rPr>
          <w:rFonts w:ascii="Garamond" w:cs="Garamond" w:eastAsia="Garamond" w:hAnsi="Garamond"/>
          <w:color w:val="2a2520"/>
          <w:sz w:val="22"/>
          <w:szCs w:val="22"/>
        </w:rPr>
        <w:t xml:space="preserve">The right to marry or form a legally recognized partnership belongs to any two consenting adults regardless of sex, gender, or sexual orientation. The Republic must recognize such partnerships for all legal purposes. The Legislature and States may not create hierarchies of partnership recognition based on the characteristics of the parties.</w:t>
      </w:r>
    </w:p>
    <w:p>
      <w:pPr>
        <w:spacing w:after="60" w:before="200"/>
        <w:ind w:left="431"/>
      </w:pPr>
      <w:r>
        <w:rPr>
          <w:rFonts w:ascii="Courier New" w:cs="Courier New" w:eastAsia="Courier New" w:hAnsi="Courier New"/>
          <w:b/>
          <w:bCs/>
          <w:color w:val="1B2A4A"/>
          <w:sz w:val="18"/>
          <w:szCs w:val="18"/>
        </w:rPr>
        <w:t xml:space="preserve">§1.22  </w:t>
      </w:r>
      <w:r>
        <w:rPr>
          <w:rFonts w:ascii="Garamond" w:cs="Garamond" w:eastAsia="Garamond" w:hAnsi="Garamond"/>
          <w:b/>
          <w:bCs/>
          <w:color w:val="1B2A4A"/>
          <w:sz w:val="22"/>
          <w:szCs w:val="22"/>
        </w:rPr>
        <w:t xml:space="preserve">Rights of Children</w:t>
      </w:r>
    </w:p>
    <w:p>
      <w:pPr>
        <w:spacing w:after="120" w:before="0"/>
        <w:ind w:left="431"/>
        <w:jc w:val="both"/>
      </w:pPr>
      <w:r>
        <w:rPr>
          <w:rFonts w:ascii="Garamond" w:cs="Garamond" w:eastAsia="Garamond" w:hAnsi="Garamond"/>
          <w:color w:val="2a2520"/>
          <w:sz w:val="22"/>
          <w:szCs w:val="22"/>
        </w:rPr>
        <w:t xml:space="preserve">Every child has the right to protection from exploitation, abuse, and neglect. In all State actions affecting minors, the welfare and best interests of the child are the primary consideration — not merely one factor to be weighed.</w:t>
      </w:r>
    </w:p>
    <w:p>
      <w:pPr>
        <w:spacing w:after="60" w:before="200"/>
        <w:ind w:left="431"/>
      </w:pPr>
      <w:r>
        <w:rPr>
          <w:rFonts w:ascii="Courier New" w:cs="Courier New" w:eastAsia="Courier New" w:hAnsi="Courier New"/>
          <w:b/>
          <w:bCs/>
          <w:color w:val="1B2A4A"/>
          <w:sz w:val="18"/>
          <w:szCs w:val="18"/>
        </w:rPr>
        <w:t xml:space="preserve">§1.23  </w:t>
      </w:r>
      <w:r>
        <w:rPr>
          <w:rFonts w:ascii="Garamond" w:cs="Garamond" w:eastAsia="Garamond" w:hAnsi="Garamond"/>
          <w:b/>
          <w:bCs/>
          <w:color w:val="1B2A4A"/>
          <w:sz w:val="22"/>
          <w:szCs w:val="22"/>
        </w:rPr>
        <w:t xml:space="preserve">Environmental Accountability</w:t>
      </w:r>
    </w:p>
    <w:p>
      <w:pPr>
        <w:spacing w:after="120" w:before="0"/>
        <w:ind w:left="431"/>
        <w:jc w:val="both"/>
      </w:pPr>
      <w:r>
        <w:rPr>
          <w:rFonts w:ascii="Garamond" w:cs="Garamond" w:eastAsia="Garamond" w:hAnsi="Garamond"/>
          <w:color w:val="2a2520"/>
          <w:sz w:val="22"/>
          <w:szCs w:val="22"/>
        </w:rPr>
        <w:t xml:space="preserve">The federal government holds an enforceable constitutional obligation to protect communities from government-caused environmental harm and to maintain the long-term ecological integrity of the Republic's natural environment. Both obligations are subject to annual Inspectorate reporting under §8.1.</w:t>
      </w:r>
    </w:p>
    <w:p>
      <w:pPr>
        <w:spacing w:after="60" w:before="200"/>
        <w:ind w:left="863"/>
      </w:pPr>
      <w:r>
        <w:rPr>
          <w:rFonts w:ascii="Courier New" w:cs="Courier New" w:eastAsia="Courier New" w:hAnsi="Courier New"/>
          <w:b/>
          <w:bCs/>
          <w:color w:val="1B2A4A"/>
          <w:sz w:val="18"/>
          <w:szCs w:val="18"/>
        </w:rPr>
        <w:t xml:space="preserve">§1.23.a  </w:t>
      </w:r>
      <w:r>
        <w:rPr>
          <w:rFonts w:ascii="Garamond" w:cs="Garamond" w:eastAsia="Garamond" w:hAnsi="Garamond"/>
          <w:b/>
          <w:bCs/>
          <w:color w:val="1B2A4A"/>
          <w:sz w:val="22"/>
          <w:szCs w:val="22"/>
        </w:rPr>
        <w:t xml:space="preserve">Government Non-Harm</w:t>
      </w:r>
    </w:p>
    <w:p>
      <w:pPr>
        <w:spacing w:after="120" w:before="0"/>
        <w:ind w:left="863"/>
        <w:jc w:val="both"/>
      </w:pPr>
      <w:r>
        <w:rPr>
          <w:rFonts w:ascii="Garamond" w:cs="Garamond" w:eastAsia="Garamond" w:hAnsi="Garamond"/>
          <w:color w:val="2a2520"/>
          <w:sz w:val="22"/>
          <w:szCs w:val="22"/>
        </w:rPr>
        <w:t xml:space="preserve">No government authority may knowingly expose any community of Inhabitants to environmental hazards without full disclosure, meaningful consultation, and proportionate mitigation. The Government Non-Harm principle makes environmental poisoning of communities a constitutional violation, not merely a policy failure.</w:t>
      </w:r>
    </w:p>
    <w:p>
      <w:pPr>
        <w:spacing w:after="60" w:before="200"/>
        <w:ind w:left="863"/>
      </w:pPr>
      <w:r>
        <w:rPr>
          <w:rFonts w:ascii="Courier New" w:cs="Courier New" w:eastAsia="Courier New" w:hAnsi="Courier New"/>
          <w:b/>
          <w:bCs/>
          <w:color w:val="1B2A4A"/>
          <w:sz w:val="18"/>
          <w:szCs w:val="18"/>
        </w:rPr>
        <w:t xml:space="preserve">§1.23.b  </w:t>
      </w:r>
      <w:r>
        <w:rPr>
          <w:rFonts w:ascii="Garamond" w:cs="Garamond" w:eastAsia="Garamond" w:hAnsi="Garamond"/>
          <w:b/>
          <w:bCs/>
          <w:color w:val="1B2A4A"/>
          <w:sz w:val="22"/>
          <w:szCs w:val="22"/>
        </w:rPr>
        <w:t xml:space="preserve">Environmental Stewardship</w:t>
      </w:r>
    </w:p>
    <w:p>
      <w:pPr>
        <w:spacing w:after="120" w:before="0"/>
        <w:ind w:left="863"/>
        <w:jc w:val="both"/>
      </w:pPr>
      <w:r>
        <w:rPr>
          <w:rFonts w:ascii="Garamond" w:cs="Garamond" w:eastAsia="Garamond" w:hAnsi="Garamond"/>
          <w:color w:val="2a2520"/>
          <w:sz w:val="22"/>
          <w:szCs w:val="22"/>
        </w:rPr>
        <w:t xml:space="preserve">The long-term stewardship of the Republic's natural environment is a constitutional obligation of the federal government — not aspirational language. It creates an enforceable duty to maintain ecological integrity that the Inspectorates are mandated to report on annually.</w:t>
      </w:r>
    </w:p>
    <w:p>
      <w:pPr>
        <w:spacing w:after="60" w:before="200"/>
        <w:ind w:left="431"/>
      </w:pPr>
      <w:r>
        <w:rPr>
          <w:rFonts w:ascii="Courier New" w:cs="Courier New" w:eastAsia="Courier New" w:hAnsi="Courier New"/>
          <w:b/>
          <w:bCs/>
          <w:color w:val="1B2A4A"/>
          <w:sz w:val="18"/>
          <w:szCs w:val="18"/>
        </w:rPr>
        <w:t xml:space="preserve">§1.24  </w:t>
      </w:r>
      <w:r>
        <w:rPr>
          <w:rFonts w:ascii="Garamond" w:cs="Garamond" w:eastAsia="Garamond" w:hAnsi="Garamond"/>
          <w:b/>
          <w:bCs/>
          <w:color w:val="1B2A4A"/>
          <w:sz w:val="22"/>
          <w:szCs w:val="22"/>
        </w:rPr>
        <w:t xml:space="preserve">Education and Literacy Rights</w:t>
      </w:r>
    </w:p>
    <w:p>
      <w:pPr>
        <w:spacing w:after="120" w:before="0"/>
        <w:ind w:left="431"/>
        <w:jc w:val="both"/>
      </w:pPr>
      <w:r>
        <w:rPr>
          <w:rFonts w:ascii="Garamond" w:cs="Garamond" w:eastAsia="Garamond" w:hAnsi="Garamond"/>
          <w:color w:val="2a2520"/>
          <w:sz w:val="22"/>
          <w:szCs w:val="22"/>
        </w:rPr>
        <w:t xml:space="preserve">Every child holds a constitutional right to education adequate to participate fully in civic life. The Republic's obligation under this section is both corrective — addressing wealth-based inequality in educational opportunity — and foundational — ensuring public education equips every student to meet the constitutional literacy standard. Parents retain the right to educate through alternative means that meet that standard.</w:t>
      </w:r>
    </w:p>
    <w:p>
      <w:pPr>
        <w:spacing w:after="60" w:before="200"/>
        <w:ind w:left="863"/>
      </w:pPr>
      <w:r>
        <w:rPr>
          <w:rFonts w:ascii="Courier New" w:cs="Courier New" w:eastAsia="Courier New" w:hAnsi="Courier New"/>
          <w:b/>
          <w:bCs/>
          <w:color w:val="1B2A4A"/>
          <w:sz w:val="18"/>
          <w:szCs w:val="18"/>
        </w:rPr>
        <w:t xml:space="preserve">§1.24.a  </w:t>
      </w:r>
      <w:r>
        <w:rPr>
          <w:rFonts w:ascii="Garamond" w:cs="Garamond" w:eastAsia="Garamond" w:hAnsi="Garamond"/>
          <w:b/>
          <w:bCs/>
          <w:color w:val="1B2A4A"/>
          <w:sz w:val="22"/>
          <w:szCs w:val="22"/>
        </w:rPr>
        <w:t xml:space="preserve">Federal Education Assistance</w:t>
      </w:r>
    </w:p>
    <w:p>
      <w:pPr>
        <w:spacing w:after="120" w:before="0"/>
        <w:ind w:left="863"/>
        <w:jc w:val="both"/>
      </w:pPr>
      <w:r>
        <w:rPr>
          <w:rFonts w:ascii="Garamond" w:cs="Garamond" w:eastAsia="Garamond" w:hAnsi="Garamond"/>
          <w:color w:val="2a2520"/>
          <w:sz w:val="22"/>
          <w:szCs w:val="22"/>
        </w:rPr>
        <w:t xml:space="preserve">The Republic must provide adequate education assistance to States and Territories so that no child's educational opportunity is determined primarily by the wealth of their territory. Federal assistance must address the gap between what a jurisdiction can fund locally and what the constitutional literacy standard requires.</w:t>
      </w:r>
    </w:p>
    <w:p>
      <w:pPr>
        <w:spacing w:after="60" w:before="200"/>
        <w:ind w:left="863"/>
      </w:pPr>
      <w:r>
        <w:rPr>
          <w:rFonts w:ascii="Courier New" w:cs="Courier New" w:eastAsia="Courier New" w:hAnsi="Courier New"/>
          <w:b/>
          <w:bCs/>
          <w:color w:val="1B2A4A"/>
          <w:sz w:val="18"/>
          <w:szCs w:val="18"/>
        </w:rPr>
        <w:t xml:space="preserve">§1.24.b  </w:t>
      </w:r>
      <w:r>
        <w:rPr>
          <w:rFonts w:ascii="Garamond" w:cs="Garamond" w:eastAsia="Garamond" w:hAnsi="Garamond"/>
          <w:b/>
          <w:bCs/>
          <w:color w:val="1B2A4A"/>
          <w:sz w:val="22"/>
          <w:szCs w:val="22"/>
        </w:rPr>
        <w:t xml:space="preserve">Constitutional Literacy</w:t>
      </w:r>
    </w:p>
    <w:p>
      <w:pPr>
        <w:spacing w:after="120" w:before="0"/>
        <w:ind w:left="863"/>
        <w:jc w:val="both"/>
      </w:pPr>
      <w:r>
        <w:rPr>
          <w:rFonts w:ascii="Garamond" w:cs="Garamond" w:eastAsia="Garamond" w:hAnsi="Garamond"/>
          <w:color w:val="2a2520"/>
          <w:sz w:val="22"/>
          <w:szCs w:val="22"/>
        </w:rPr>
        <w:t xml:space="preserve">Public education must equip every student to understand the structure, rights, and civic obligations established by this constitution. This is a substantive floor — not a test requirement, but an educational outcome. The constitutional literacy standard for citizenship naturalization purposes is separately established by the CLT under §5.4.</w:t>
      </w:r>
    </w:p>
    <w:p>
      <w:pPr>
        <w:spacing w:after="60" w:before="200"/>
        <w:ind w:left="863"/>
      </w:pPr>
      <w:r>
        <w:rPr>
          <w:rFonts w:ascii="Courier New" w:cs="Courier New" w:eastAsia="Courier New" w:hAnsi="Courier New"/>
          <w:b/>
          <w:bCs/>
          <w:color w:val="1B2A4A"/>
          <w:sz w:val="18"/>
          <w:szCs w:val="18"/>
        </w:rPr>
        <w:t xml:space="preserve">§1.24.c  </w:t>
      </w:r>
      <w:r>
        <w:rPr>
          <w:rFonts w:ascii="Garamond" w:cs="Garamond" w:eastAsia="Garamond" w:hAnsi="Garamond"/>
          <w:b/>
          <w:bCs/>
          <w:color w:val="1B2A4A"/>
          <w:sz w:val="22"/>
          <w:szCs w:val="22"/>
        </w:rPr>
        <w:t xml:space="preserve">Parental Right</w:t>
      </w:r>
    </w:p>
    <w:p>
      <w:pPr>
        <w:spacing w:after="120" w:before="0"/>
        <w:ind w:left="863"/>
        <w:jc w:val="both"/>
      </w:pPr>
      <w:r>
        <w:rPr>
          <w:rFonts w:ascii="Garamond" w:cs="Garamond" w:eastAsia="Garamond" w:hAnsi="Garamond"/>
          <w:color w:val="2a2520"/>
          <w:sz w:val="22"/>
          <w:szCs w:val="22"/>
        </w:rPr>
        <w:t xml:space="preserve">Parents retain the right to educate children through alternative means — homeschooling, faith-based schools, alternative institutions — provided those alternatives meet the constitutional literacy standard. The Republic may set the floor; it may not mandate the method.</w:t>
      </w:r>
    </w:p>
    <w:p>
      <w:pPr>
        <w:spacing w:after="60" w:before="200"/>
        <w:ind w:left="431"/>
      </w:pPr>
      <w:r>
        <w:rPr>
          <w:rFonts w:ascii="Courier New" w:cs="Courier New" w:eastAsia="Courier New" w:hAnsi="Courier New"/>
          <w:b/>
          <w:bCs/>
          <w:color w:val="1B2A4A"/>
          <w:sz w:val="18"/>
          <w:szCs w:val="18"/>
        </w:rPr>
        <w:t xml:space="preserve">§1.25  </w:t>
      </w:r>
      <w:r>
        <w:rPr>
          <w:rFonts w:ascii="Garamond" w:cs="Garamond" w:eastAsia="Garamond" w:hAnsi="Garamond"/>
          <w:b/>
          <w:bCs/>
          <w:color w:val="1B2A4A"/>
          <w:sz w:val="22"/>
          <w:szCs w:val="22"/>
        </w:rPr>
        <w:t xml:space="preserve">Housing Non-Exclusion</w:t>
      </w:r>
    </w:p>
    <w:p>
      <w:pPr>
        <w:spacing w:after="120" w:before="0"/>
        <w:ind w:left="431"/>
        <w:jc w:val="both"/>
      </w:pPr>
      <w:r>
        <w:rPr>
          <w:rFonts w:ascii="Garamond" w:cs="Garamond" w:eastAsia="Garamond" w:hAnsi="Garamond"/>
          <w:color w:val="2a2520"/>
          <w:sz w:val="22"/>
          <w:szCs w:val="22"/>
        </w:rPr>
        <w:t xml:space="preserve">No government authority may use regulatory or land-use powers to exclude any person from housing on the basis of any characteristic enumerated in §1.9. Persons who cannot independently secure housing hold a constitutional entitlement to it through the Basic Needs Floor under §10.1.</w:t>
      </w:r>
    </w:p>
    <w:p>
      <w:pPr>
        <w:spacing w:after="60" w:before="200"/>
        <w:ind w:left="863"/>
      </w:pPr>
      <w:r>
        <w:rPr>
          <w:rFonts w:ascii="Courier New" w:cs="Courier New" w:eastAsia="Courier New" w:hAnsi="Courier New"/>
          <w:b/>
          <w:bCs/>
          <w:color w:val="1B2A4A"/>
          <w:sz w:val="18"/>
          <w:szCs w:val="18"/>
        </w:rPr>
        <w:t xml:space="preserve">§1.25.a  </w:t>
      </w:r>
      <w:r>
        <w:rPr>
          <w:rFonts w:ascii="Garamond" w:cs="Garamond" w:eastAsia="Garamond" w:hAnsi="Garamond"/>
          <w:b/>
          <w:bCs/>
          <w:color w:val="1B2A4A"/>
          <w:sz w:val="22"/>
          <w:szCs w:val="22"/>
        </w:rPr>
        <w:t xml:space="preserve">Non-Exclusion Principle</w:t>
      </w:r>
    </w:p>
    <w:p>
      <w:pPr>
        <w:spacing w:after="120" w:before="0"/>
        <w:ind w:left="863"/>
        <w:jc w:val="both"/>
      </w:pPr>
      <w:r>
        <w:rPr>
          <w:rFonts w:ascii="Garamond" w:cs="Garamond" w:eastAsia="Garamond" w:hAnsi="Garamond"/>
          <w:color w:val="2a2520"/>
          <w:sz w:val="22"/>
          <w:szCs w:val="22"/>
        </w:rPr>
        <w:t xml:space="preserve">No government authority — federal, State, or local — may use regulatory or land-use powers to exclude any person from access to housing on the basis of any characteristic enumerated in §1.9. Exclusionary zoning designed to keep certain populations out of a community is constitutionally prohibited.</w:t>
      </w:r>
    </w:p>
    <w:p>
      <w:pPr>
        <w:spacing w:after="60" w:before="200"/>
        <w:ind w:left="863"/>
      </w:pPr>
      <w:r>
        <w:rPr>
          <w:rFonts w:ascii="Courier New" w:cs="Courier New" w:eastAsia="Courier New" w:hAnsi="Courier New"/>
          <w:b/>
          <w:bCs/>
          <w:color w:val="1B2A4A"/>
          <w:sz w:val="18"/>
          <w:szCs w:val="18"/>
        </w:rPr>
        <w:t xml:space="preserve">§1.25.b  </w:t>
      </w:r>
      <w:r>
        <w:rPr>
          <w:rFonts w:ascii="Garamond" w:cs="Garamond" w:eastAsia="Garamond" w:hAnsi="Garamond"/>
          <w:b/>
          <w:bCs/>
          <w:color w:val="1B2A4A"/>
          <w:sz w:val="22"/>
          <w:szCs w:val="22"/>
        </w:rPr>
        <w:t xml:space="preserve">BNF Housing Obligation</w:t>
      </w:r>
    </w:p>
    <w:p>
      <w:pPr>
        <w:spacing w:after="120" w:before="0"/>
        <w:ind w:left="863"/>
        <w:jc w:val="both"/>
      </w:pPr>
      <w:r>
        <w:rPr>
          <w:rFonts w:ascii="Garamond" w:cs="Garamond" w:eastAsia="Garamond" w:hAnsi="Garamond"/>
          <w:color w:val="2a2520"/>
          <w:sz w:val="22"/>
          <w:szCs w:val="22"/>
        </w:rPr>
        <w:t xml:space="preserve">Housing access for persons who cannot independently secure it is a Basic Needs Floor obligation under §10.1. Housing exclusion is an enforceable constitutional violation.</w:t>
      </w:r>
    </w:p>
    <w:p>
      <w:pPr>
        <w:spacing w:after="60" w:before="200"/>
        <w:ind w:left="431"/>
      </w:pPr>
      <w:r>
        <w:rPr>
          <w:rFonts w:ascii="Courier New" w:cs="Courier New" w:eastAsia="Courier New" w:hAnsi="Courier New"/>
          <w:b/>
          <w:bCs/>
          <w:color w:val="1B2A4A"/>
          <w:sz w:val="18"/>
          <w:szCs w:val="18"/>
        </w:rPr>
        <w:t xml:space="preserve">§1.26  </w:t>
      </w:r>
      <w:r>
        <w:rPr>
          <w:rFonts w:ascii="Garamond" w:cs="Garamond" w:eastAsia="Garamond" w:hAnsi="Garamond"/>
          <w:b/>
          <w:bCs/>
          <w:color w:val="1B2A4A"/>
          <w:sz w:val="22"/>
          <w:szCs w:val="22"/>
        </w:rPr>
        <w:t xml:space="preserve">Emergency Derogation</w:t>
      </w:r>
    </w:p>
    <w:p>
      <w:pPr>
        <w:spacing w:after="120" w:before="0"/>
        <w:ind w:left="431"/>
        <w:jc w:val="both"/>
      </w:pPr>
      <w:r>
        <w:rPr>
          <w:rFonts w:ascii="Garamond" w:cs="Garamond" w:eastAsia="Garamond" w:hAnsi="Garamond"/>
          <w:color w:val="2a2520"/>
          <w:sz w:val="22"/>
          <w:szCs w:val="22"/>
        </w:rPr>
        <w:t xml:space="preserve">No emergency — however severe — suspends the Individual Sovereignty Floor in full. Temporary derogation of certain rights is permitted only under the strict conditions of this section; the rights enumerated in §1.26.b may not be derogated under any circumstances.</w:t>
      </w:r>
    </w:p>
    <w:p>
      <w:pPr>
        <w:spacing w:after="60" w:before="200"/>
        <w:ind w:left="863"/>
      </w:pPr>
      <w:r>
        <w:rPr>
          <w:rFonts w:ascii="Courier New" w:cs="Courier New" w:eastAsia="Courier New" w:hAnsi="Courier New"/>
          <w:b/>
          <w:bCs/>
          <w:color w:val="1B2A4A"/>
          <w:sz w:val="18"/>
          <w:szCs w:val="18"/>
        </w:rPr>
        <w:t xml:space="preserve">§1.26.a  </w:t>
      </w:r>
      <w:r>
        <w:rPr>
          <w:rFonts w:ascii="Garamond" w:cs="Garamond" w:eastAsia="Garamond" w:hAnsi="Garamond"/>
          <w:b/>
          <w:bCs/>
          <w:color w:val="1B2A4A"/>
          <w:sz w:val="22"/>
          <w:szCs w:val="22"/>
        </w:rPr>
        <w:t xml:space="preserve">Emergency Derogation — Declaration Requirements</w:t>
      </w:r>
    </w:p>
    <w:p>
      <w:pPr>
        <w:spacing w:after="120" w:before="0"/>
        <w:ind w:left="863"/>
        <w:jc w:val="both"/>
      </w:pPr>
      <w:r>
        <w:rPr>
          <w:rFonts w:ascii="Garamond" w:cs="Garamond" w:eastAsia="Garamond" w:hAnsi="Garamond"/>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Automatic expiry (§1.26.d) without renewal.</w:t>
      </w:r>
    </w:p>
    <w:p>
      <w:pPr>
        <w:spacing w:after="60" w:before="200"/>
        <w:ind w:left="863"/>
      </w:pPr>
      <w:r>
        <w:rPr>
          <w:rFonts w:ascii="Courier New" w:cs="Courier New" w:eastAsia="Courier New" w:hAnsi="Courier New"/>
          <w:b/>
          <w:bCs/>
          <w:color w:val="1B2A4A"/>
          <w:sz w:val="18"/>
          <w:szCs w:val="18"/>
        </w:rPr>
        <w:t xml:space="preserve">§1.26.b  </w:t>
      </w:r>
      <w:r>
        <w:rPr>
          <w:rFonts w:ascii="Garamond" w:cs="Garamond" w:eastAsia="Garamond" w:hAnsi="Garamond"/>
          <w:b/>
          <w:bCs/>
          <w:color w:val="1B2A4A"/>
          <w:sz w:val="22"/>
          <w:szCs w:val="22"/>
        </w:rPr>
        <w:t xml:space="preserve">Non-Derogable Rights</w:t>
      </w:r>
    </w:p>
    <w:p>
      <w:pPr>
        <w:spacing w:after="120" w:before="0"/>
        <w:ind w:left="863"/>
        <w:jc w:val="both"/>
      </w:pPr>
      <w:r>
        <w:rPr>
          <w:rFonts w:ascii="Garamond" w:cs="Garamond" w:eastAsia="Garamond" w:hAnsi="Garamond"/>
          <w:color w:val="2a2520"/>
          <w:sz w:val="22"/>
          <w:szCs w:val="22"/>
        </w:rPr>
        <w:t xml:space="preserve">These six rights are absolute under any circumstances: the prohibition on torture (§1.3); slavery (§1.4); habeas corpus (§1.14); the right to a public trial (§1.18); no retroactive punishment (§1.19); and non-refoulement (§1.28). No emergency declaration, executive order, or legislative act may derogate any of these rights. They are non-derogable by their nature — their value derives precisely from the fact that they hold under the worst circumstances, not only the ordinary ones.</w:t>
      </w:r>
    </w:p>
    <w:p>
      <w:pPr>
        <w:spacing w:after="60" w:before="200"/>
        <w:ind w:left="863"/>
      </w:pPr>
      <w:r>
        <w:rPr>
          <w:rFonts w:ascii="Courier New" w:cs="Courier New" w:eastAsia="Courier New" w:hAnsi="Courier New"/>
          <w:b/>
          <w:bCs/>
          <w:color w:val="1B2A4A"/>
          <w:sz w:val="18"/>
          <w:szCs w:val="18"/>
        </w:rPr>
        <w:t xml:space="preserve">§1.26.c  </w:t>
      </w:r>
      <w:r>
        <w:rPr>
          <w:rFonts w:ascii="Garamond" w:cs="Garamond" w:eastAsia="Garamond" w:hAnsi="Garamond"/>
          <w:b/>
          <w:bCs/>
          <w:color w:val="1B2A4A"/>
          <w:sz w:val="22"/>
          <w:szCs w:val="22"/>
        </w:rPr>
        <w:t xml:space="preserve">Inspectorate Continuity</w:t>
      </w:r>
    </w:p>
    <w:p>
      <w:pPr>
        <w:spacing w:after="120" w:before="0"/>
        <w:ind w:left="863"/>
        <w:jc w:val="both"/>
      </w:pPr>
      <w:r>
        <w:rPr>
          <w:rFonts w:ascii="Garamond" w:cs="Garamond" w:eastAsia="Garamond" w:hAnsi="Garamond"/>
          <w:color w:val="2a2520"/>
          <w:sz w:val="22"/>
          <w:szCs w:val="22"/>
        </w:rPr>
        <w:t xml:space="preserve">The three Inspectorates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863"/>
      </w:pPr>
      <w:r>
        <w:rPr>
          <w:rFonts w:ascii="Courier New" w:cs="Courier New" w:eastAsia="Courier New" w:hAnsi="Courier New"/>
          <w:b/>
          <w:bCs/>
          <w:color w:val="1B2A4A"/>
          <w:sz w:val="18"/>
          <w:szCs w:val="18"/>
        </w:rPr>
        <w:t xml:space="preserve">§1.26.d  </w:t>
      </w:r>
      <w:r>
        <w:rPr>
          <w:rFonts w:ascii="Garamond" w:cs="Garamond" w:eastAsia="Garamond" w:hAnsi="Garamond"/>
          <w:b/>
          <w:bCs/>
          <w:color w:val="1B2A4A"/>
          <w:sz w:val="22"/>
          <w:szCs w:val="22"/>
        </w:rPr>
        <w:t xml:space="preserve">Automatic Expiry and Judicial Review</w:t>
      </w:r>
    </w:p>
    <w:p>
      <w:pPr>
        <w:spacing w:after="120" w:before="0"/>
        <w:ind w:left="863"/>
        <w:jc w:val="both"/>
      </w:pPr>
      <w:r>
        <w:rPr>
          <w:rFonts w:ascii="Garamond" w:cs="Garamond" w:eastAsia="Garamond" w:hAnsi="Garamond"/>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863"/>
      </w:pPr>
      <w:r>
        <w:rPr>
          <w:rFonts w:ascii="Courier New" w:cs="Courier New" w:eastAsia="Courier New" w:hAnsi="Courier New"/>
          <w:b/>
          <w:bCs/>
          <w:color w:val="1B2A4A"/>
          <w:sz w:val="18"/>
          <w:szCs w:val="18"/>
        </w:rPr>
        <w:t xml:space="preserve">§1.26.e  </w:t>
      </w:r>
      <w:r>
        <w:rPr>
          <w:rFonts w:ascii="Garamond" w:cs="Garamond" w:eastAsia="Garamond" w:hAnsi="Garamond"/>
          <w:b/>
          <w:bCs/>
          <w:color w:val="1B2A4A"/>
          <w:sz w:val="22"/>
          <w:szCs w:val="22"/>
        </w:rPr>
        <w:t xml:space="preserve">No Permanent Emergency</w:t>
      </w:r>
    </w:p>
    <w:p>
      <w:pPr>
        <w:spacing w:after="120" w:before="0"/>
        <w:ind w:left="863"/>
        <w:jc w:val="both"/>
      </w:pPr>
      <w:r>
        <w:rPr>
          <w:rFonts w:ascii="Garamond" w:cs="Garamond" w:eastAsia="Garamond" w:hAnsi="Garamond"/>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extend an emergency measure by re-declaration within 60 days of its expiry, or at all unless a 2/3 majority certifies continued necessity.</w:t>
      </w:r>
    </w:p>
    <w:p>
      <w:pPr>
        <w:spacing w:after="60" w:before="200"/>
        <w:ind w:left="431"/>
      </w:pPr>
      <w:r>
        <w:rPr>
          <w:rFonts w:ascii="Courier New" w:cs="Courier New" w:eastAsia="Courier New" w:hAnsi="Courier New"/>
          <w:b/>
          <w:bCs/>
          <w:color w:val="1B2A4A"/>
          <w:sz w:val="18"/>
          <w:szCs w:val="18"/>
        </w:rPr>
        <w:t xml:space="preserve">§1.27  </w:t>
      </w:r>
      <w:r>
        <w:rPr>
          <w:rFonts w:ascii="Garamond" w:cs="Garamond" w:eastAsia="Garamond" w:hAnsi="Garamond"/>
          <w:b/>
          <w:bCs/>
          <w:color w:val="1B2A4A"/>
          <w:sz w:val="22"/>
          <w:szCs w:val="22"/>
        </w:rPr>
        <w:t xml:space="preserve">Associated Community Residents</w:t>
      </w:r>
    </w:p>
    <w:p>
      <w:pPr>
        <w:spacing w:after="120" w:before="0"/>
        <w:ind w:left="431"/>
        <w:jc w:val="both"/>
      </w:pPr>
      <w:r>
        <w:rPr>
          <w:rFonts w:ascii="Garamond" w:cs="Garamond" w:eastAsia="Garamond" w:hAnsi="Garamond"/>
          <w:color w:val="2a2520"/>
          <w:sz w:val="22"/>
          <w:szCs w:val="22"/>
        </w:rPr>
        <w:t xml:space="preserve">Every person residing within any Associated Community operating under a compact with the Republic holds the full protections of Article I, enforceable directly by federal courts regardless of the Associated Community's internal governance structure. No compact provision may limit or qualify any Article I right for any resident of Associated Community territory.</w:t>
      </w:r>
    </w:p>
    <w:p>
      <w:pPr>
        <w:spacing w:after="60" w:before="200"/>
        <w:ind w:left="431"/>
      </w:pPr>
      <w:r>
        <w:rPr>
          <w:rFonts w:ascii="Courier New" w:cs="Courier New" w:eastAsia="Courier New" w:hAnsi="Courier New"/>
          <w:b/>
          <w:bCs/>
          <w:color w:val="1B2A4A"/>
          <w:sz w:val="18"/>
          <w:szCs w:val="18"/>
        </w:rPr>
        <w:t xml:space="preserve">§1.28  </w:t>
      </w:r>
      <w:r>
        <w:rPr>
          <w:rFonts w:ascii="Garamond" w:cs="Garamond" w:eastAsia="Garamond" w:hAnsi="Garamond"/>
          <w:b/>
          <w:bCs/>
          <w:color w:val="1B2A4A"/>
          <w:sz w:val="22"/>
          <w:szCs w:val="22"/>
        </w:rPr>
        <w:t xml:space="preserve">Non-Refoulement</w:t>
      </w:r>
    </w:p>
    <w:p>
      <w:pPr>
        <w:spacing w:after="120" w:before="0"/>
        <w:ind w:left="431"/>
        <w:jc w:val="both"/>
      </w:pPr>
      <w:r>
        <w:rPr>
          <w:rFonts w:ascii="Garamond" w:cs="Garamond" w:eastAsia="Garamond" w:hAnsi="Garamond"/>
          <w:color w:val="2a2520"/>
          <w:sz w:val="22"/>
          <w:szCs w:val="22"/>
        </w:rPr>
        <w:t xml:space="preserve">No person within the Republic's jurisdiction may be returned, expelled, or extradited to any territory where they face genuine risk of persecution, torture, or deprivation of life based on race, religion, nationality, political opinion, or group membership. No exception applies for immigration status, mode of entry, or any emergency declaration. A pending §6.4 asylum application stays removal.</w:t>
      </w:r>
    </w:p>
    <w:p>
      <w:pPr>
        <w:spacing w:after="60" w:before="200"/>
        <w:ind w:left="431"/>
      </w:pPr>
      <w:r>
        <w:rPr>
          <w:rFonts w:ascii="Courier New" w:cs="Courier New" w:eastAsia="Courier New" w:hAnsi="Courier New"/>
          <w:b/>
          <w:bCs/>
          <w:color w:val="1B2A4A"/>
          <w:sz w:val="18"/>
          <w:szCs w:val="18"/>
        </w:rPr>
        <w:t xml:space="preserve">§1.29  </w:t>
      </w:r>
      <w:r>
        <w:rPr>
          <w:rFonts w:ascii="Garamond" w:cs="Garamond" w:eastAsia="Garamond" w:hAnsi="Garamond"/>
          <w:b/>
          <w:bCs/>
          <w:color w:val="1B2A4A"/>
          <w:sz w:val="22"/>
          <w:szCs w:val="22"/>
        </w:rPr>
        <w:t xml:space="preserve">Medical Autonomy</w:t>
      </w:r>
    </w:p>
    <w:p>
      <w:pPr>
        <w:spacing w:after="120" w:before="0"/>
        <w:ind w:left="431"/>
        <w:jc w:val="both"/>
      </w:pPr>
      <w:r>
        <w:rPr>
          <w:rFonts w:ascii="Garamond" w:cs="Garamond" w:eastAsia="Garamond" w:hAnsi="Garamond"/>
          <w:color w:val="2a2520"/>
          <w:sz w:val="22"/>
          <w:szCs w:val="22"/>
        </w:rPr>
        <w:t xml:space="preserve">Medical decisions belong to the patient and their licensed provider. The State's legitimate role is safety and standards: licensing, scope of practice, and quality regulation. State governments may regulate which services licensed professionals offer within their jurisdiction. No State may impose civil or criminal liability on a person for receiving lawful medical care outside that State's jurisdiction, on a person who assists another in travelling to receive such care, on a provider within the State who refers a patient to out-of-state care or provides information about it, or on an out-of-state provider who performs care lawful where it is performed.</w:t>
      </w:r>
    </w:p>
    <w:p>
      <w:pPr>
        <w:spacing w:after="60" w:before="200"/>
        <w:ind w:left="431"/>
      </w:pPr>
      <w:r>
        <w:rPr>
          <w:rFonts w:ascii="Courier New" w:cs="Courier New" w:eastAsia="Courier New" w:hAnsi="Courier New"/>
          <w:b/>
          <w:bCs/>
          <w:color w:val="1B2A4A"/>
          <w:sz w:val="18"/>
          <w:szCs w:val="18"/>
        </w:rPr>
        <w:t xml:space="preserve">§1.30  </w:t>
      </w:r>
      <w:r>
        <w:rPr>
          <w:rFonts w:ascii="Garamond" w:cs="Garamond" w:eastAsia="Garamond" w:hAnsi="Garamond"/>
          <w:b/>
          <w:bCs/>
          <w:color w:val="1B2A4A"/>
          <w:sz w:val="22"/>
          <w:szCs w:val="22"/>
        </w:rPr>
        <w:t xml:space="preserve">Right to Privacy</w:t>
      </w:r>
    </w:p>
    <w:p>
      <w:pPr>
        <w:spacing w:after="120" w:before="0"/>
        <w:ind w:left="431"/>
        <w:jc w:val="both"/>
      </w:pPr>
      <w:r>
        <w:rPr>
          <w:rFonts w:ascii="Garamond" w:cs="Garamond" w:eastAsia="Garamond" w:hAnsi="Garamond"/>
          <w:color w:val="2a2520"/>
          <w:sz w:val="22"/>
          <w:szCs w:val="22"/>
        </w:rPr>
        <w:t xml:space="preserve">Every person holds a right to privacy in their person, home, communications, associations, health, and personal data. The government may abridge this right only on a showing of specific, articulable necessity and only to the minimum extent that necessity requires. The general right governs wherever no specific sub-provision addresses the question; the more specific provision controls where one exists.</w:t>
      </w:r>
    </w:p>
    <w:p>
      <w:pPr>
        <w:spacing w:after="60" w:before="200"/>
        <w:ind w:left="863"/>
      </w:pPr>
      <w:r>
        <w:rPr>
          <w:rFonts w:ascii="Courier New" w:cs="Courier New" w:eastAsia="Courier New" w:hAnsi="Courier New"/>
          <w:b/>
          <w:bCs/>
          <w:color w:val="1B2A4A"/>
          <w:sz w:val="18"/>
          <w:szCs w:val="18"/>
        </w:rPr>
        <w:t xml:space="preserve">§1.30.a  </w:t>
      </w:r>
      <w:r>
        <w:rPr>
          <w:rFonts w:ascii="Garamond" w:cs="Garamond" w:eastAsia="Garamond" w:hAnsi="Garamond"/>
          <w:b/>
          <w:bCs/>
          <w:color w:val="1B2A4A"/>
          <w:sz w:val="22"/>
          <w:szCs w:val="22"/>
        </w:rPr>
        <w:t xml:space="preserve">Searches and Seizures</w:t>
      </w:r>
    </w:p>
    <w:p>
      <w:pPr>
        <w:spacing w:after="120" w:before="0"/>
        <w:ind w:left="863"/>
        <w:jc w:val="both"/>
      </w:pPr>
      <w:r>
        <w:rPr>
          <w:rFonts w:ascii="Garamond" w:cs="Garamond" w:eastAsia="Garamond" w:hAnsi="Garamond"/>
          <w:color w:val="2a2520"/>
          <w:sz w:val="22"/>
          <w:szCs w:val="22"/>
        </w:rPr>
        <w:t xml:space="preserve">No unreasonable search or seizure of person, home, property, communications, or data. Any authorized search must be narrowly scoped, judicially approved before execution, and recorded on the NRS. General warrants — broad or unspecified authorizations — are absolutely prohibited. Digital spaces secured by private cryptographic keys are treated as equivalent to a physical home.</w:t>
      </w:r>
    </w:p>
    <w:p>
      <w:pPr>
        <w:spacing w:after="60" w:before="200"/>
        <w:ind w:left="863"/>
      </w:pPr>
      <w:r>
        <w:rPr>
          <w:rFonts w:ascii="Courier New" w:cs="Courier New" w:eastAsia="Courier New" w:hAnsi="Courier New"/>
          <w:b/>
          <w:bCs/>
          <w:color w:val="1B2A4A"/>
          <w:sz w:val="18"/>
          <w:szCs w:val="18"/>
        </w:rPr>
        <w:t xml:space="preserve">§1.30.b  </w:t>
      </w:r>
      <w:r>
        <w:rPr>
          <w:rFonts w:ascii="Garamond" w:cs="Garamond" w:eastAsia="Garamond" w:hAnsi="Garamond"/>
          <w:b/>
          <w:bCs/>
          <w:color w:val="1B2A4A"/>
          <w:sz w:val="22"/>
          <w:szCs w:val="22"/>
        </w:rPr>
        <w:t xml:space="preserve">Medical Privacy</w:t>
      </w:r>
    </w:p>
    <w:p>
      <w:pPr>
        <w:spacing w:after="120" w:before="0"/>
        <w:ind w:left="863"/>
        <w:jc w:val="both"/>
      </w:pPr>
      <w:r>
        <w:rPr>
          <w:rFonts w:ascii="Garamond" w:cs="Garamond" w:eastAsia="Garamond" w:hAnsi="Garamond"/>
          <w:color w:val="2a2520"/>
          <w:sz w:val="22"/>
          <w:szCs w:val="22"/>
        </w:rPr>
        <w:t xml:space="preserve">Medical information, health records, genetic data, and bodily condition are private. Government compulsion requires a specific judicial order in active legal proceedings, limited to what those proceedings directly require. Public health law disclosures must be proportionate, time-limited, and NRS-recorded.</w:t>
      </w:r>
    </w:p>
    <w:p>
      <w:pPr>
        <w:spacing w:after="60" w:before="200"/>
        <w:ind w:left="863"/>
      </w:pPr>
      <w:r>
        <w:rPr>
          <w:rFonts w:ascii="Courier New" w:cs="Courier New" w:eastAsia="Courier New" w:hAnsi="Courier New"/>
          <w:b/>
          <w:bCs/>
          <w:color w:val="1B2A4A"/>
          <w:sz w:val="18"/>
          <w:szCs w:val="18"/>
        </w:rPr>
        <w:t xml:space="preserve">§1.30.c  </w:t>
      </w:r>
      <w:r>
        <w:rPr>
          <w:rFonts w:ascii="Garamond" w:cs="Garamond" w:eastAsia="Garamond" w:hAnsi="Garamond"/>
          <w:b/>
          <w:bCs/>
          <w:color w:val="1B2A4A"/>
          <w:sz w:val="22"/>
          <w:szCs w:val="22"/>
        </w:rPr>
        <w:t xml:space="preserve">Communications and Data</w:t>
      </w:r>
    </w:p>
    <w:p>
      <w:pPr>
        <w:spacing w:after="120" w:before="0"/>
        <w:ind w:left="863"/>
        <w:jc w:val="both"/>
      </w:pPr>
      <w:r>
        <w:rPr>
          <w:rFonts w:ascii="Garamond" w:cs="Garamond" w:eastAsia="Garamond" w:hAnsi="Garamond"/>
          <w:color w:val="2a2520"/>
          <w:sz w:val="22"/>
          <w:szCs w:val="22"/>
        </w:rPr>
        <w:t xml:space="preserve">Government collection of private communications or personal data requires specific judicial authorization identifying the person, the data sought, and the collection period. Bulk collection without individual identification is prohibited outright. Private-sector entities cannot be compelled to collect or disclose on the government's behalf beyond what independent judicial authorization would permit. The Legislature may establish data minimization and retention limits for government-held data.</w:t>
      </w:r>
    </w:p>
    <w:p>
      <w:pPr>
        <w:spacing w:after="60" w:before="200"/>
        <w:ind w:left="863"/>
      </w:pPr>
      <w:r>
        <w:rPr>
          <w:rFonts w:ascii="Courier New" w:cs="Courier New" w:eastAsia="Courier New" w:hAnsi="Courier New"/>
          <w:b/>
          <w:bCs/>
          <w:color w:val="1B2A4A"/>
          <w:sz w:val="18"/>
          <w:szCs w:val="18"/>
        </w:rPr>
        <w:t xml:space="preserve">§1.30.d  </w:t>
      </w:r>
      <w:r>
        <w:rPr>
          <w:rFonts w:ascii="Garamond" w:cs="Garamond" w:eastAsia="Garamond" w:hAnsi="Garamond"/>
          <w:b/>
          <w:bCs/>
          <w:color w:val="1B2A4A"/>
          <w:sz w:val="22"/>
          <w:szCs w:val="22"/>
        </w:rPr>
        <w:t xml:space="preserve">Intelligence Firewall</w:t>
      </w:r>
    </w:p>
    <w:p>
      <w:pPr>
        <w:spacing w:after="120" w:before="0"/>
        <w:ind w:left="863"/>
        <w:jc w:val="both"/>
      </w:pPr>
      <w:r>
        <w:rPr>
          <w:rFonts w:ascii="Garamond" w:cs="Garamond" w:eastAsia="Garamond" w:hAnsi="Garamond"/>
          <w:color w:val="2a2520"/>
          <w:sz w:val="22"/>
          <w:szCs w:val="22"/>
        </w:rPr>
        <w:t xml:space="preserve">All domestic intelligence operations against Republic citizens are prohibited and constitutionally void. Any such order is reported to the NRS by the EI. This prohibition is non-derogable — no emergency, treaty, or statute can suspend it.</w:t>
      </w:r>
    </w:p>
    <w:p>
      <w:pPr>
        <w:spacing w:after="60" w:before="200"/>
        <w:ind w:left="863"/>
      </w:pPr>
      <w:r>
        <w:rPr>
          <w:rFonts w:ascii="Courier New" w:cs="Courier New" w:eastAsia="Courier New" w:hAnsi="Courier New"/>
          <w:b/>
          <w:bCs/>
          <w:color w:val="1B2A4A"/>
          <w:sz w:val="18"/>
          <w:szCs w:val="18"/>
        </w:rPr>
        <w:t xml:space="preserve">§1.30.e  </w:t>
      </w:r>
      <w:r>
        <w:rPr>
          <w:rFonts w:ascii="Garamond" w:cs="Garamond" w:eastAsia="Garamond" w:hAnsi="Garamond"/>
          <w:b/>
          <w:bCs/>
          <w:color w:val="1B2A4A"/>
          <w:sz w:val="22"/>
          <w:szCs w:val="22"/>
        </w:rPr>
        <w:t xml:space="preserve">Associational Privacy</w:t>
      </w:r>
    </w:p>
    <w:p>
      <w:pPr>
        <w:spacing w:after="120" w:before="0"/>
        <w:ind w:left="863"/>
        <w:jc w:val="both"/>
      </w:pPr>
      <w:r>
        <w:rPr>
          <w:rFonts w:ascii="Garamond" w:cs="Garamond" w:eastAsia="Garamond" w:hAnsi="Garamond"/>
          <w:color w:val="2a2520"/>
          <w:sz w:val="22"/>
          <w:szCs w:val="22"/>
        </w:rPr>
        <w:t xml:space="preserve">Government mapping of associations — who a person knows, meets, communicates with, or joins — requires the same specific judicial authorization as communications collection under §1.30.c. Bulk mapping of associational activity is prohibited on the same terms as bulk collection. The privacy of associational membership is protected separately from the right to associate under §1.7 — a government may not compel disclosure of membership even where it refrains from prohibiting association.</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II — The Dual Executive</w:t>
      </w:r>
    </w:p>
    <w:p>
      <w:pPr>
        <w:spacing w:after="120"/>
      </w:pPr>
    </w:p>
    <w:p>
      <w:pPr>
        <w:spacing w:after="60" w:before="200"/>
        <w:ind w:left="431"/>
      </w:pPr>
      <w:r>
        <w:rPr>
          <w:rFonts w:ascii="Courier New" w:cs="Courier New" w:eastAsia="Courier New" w:hAnsi="Courier New"/>
          <w:b/>
          <w:bCs/>
          <w:color w:val="1B2A4A"/>
          <w:sz w:val="18"/>
          <w:szCs w:val="18"/>
        </w:rPr>
        <w:t xml:space="preserve">§2.1  </w:t>
      </w:r>
      <w:r>
        <w:rPr>
          <w:rFonts w:ascii="Garamond" w:cs="Garamond" w:eastAsia="Garamond" w:hAnsi="Garamond"/>
          <w:b/>
          <w:bCs/>
          <w:color w:val="1B2A4A"/>
          <w:sz w:val="22"/>
          <w:szCs w:val="22"/>
        </w:rPr>
        <w:t xml:space="preserve">The President — Term and Transfer</w:t>
      </w:r>
    </w:p>
    <w:p>
      <w:pPr>
        <w:spacing w:after="120" w:before="0"/>
        <w:ind w:left="431"/>
        <w:jc w:val="both"/>
      </w:pPr>
      <w:r>
        <w:rPr>
          <w:rFonts w:ascii="Garamond" w:cs="Garamond" w:eastAsia="Garamond" w:hAnsi="Garamond"/>
          <w:color w:val="2a2520"/>
          <w:sz w:val="22"/>
          <w:szCs w:val="22"/>
        </w:rPr>
        <w:t xml:space="preserve">The President holds enumerated executive authority over: military command, foreign affairs, intelligence, treaty negotiation, trade agreements, and domain officer appointments. Presidential authority is enumerated; PM authority is residual. Upon expiration of the presidential term, all authority transfers immediately to the incoming President. No holdover power, acting authority, or transitional executive capacity remains with the outgoing President after the moment of transfer. The outgoing President retains no access to classified information, government systems, or official residence beyond the day of transfer.</w:t>
      </w:r>
    </w:p>
    <w:p>
      <w:pPr>
        <w:spacing w:after="60" w:before="200"/>
        <w:ind w:left="863"/>
      </w:pPr>
      <w:r>
        <w:rPr>
          <w:rFonts w:ascii="Courier New" w:cs="Courier New" w:eastAsia="Courier New" w:hAnsi="Courier New"/>
          <w:b/>
          <w:bCs/>
          <w:color w:val="1B2A4A"/>
          <w:sz w:val="18"/>
          <w:szCs w:val="18"/>
        </w:rPr>
        <w:t xml:space="preserve">§2.1.a  </w:t>
      </w:r>
      <w:r>
        <w:rPr>
          <w:rFonts w:ascii="Garamond" w:cs="Garamond" w:eastAsia="Garamond" w:hAnsi="Garamond"/>
          <w:b/>
          <w:bCs/>
          <w:color w:val="1B2A4A"/>
          <w:sz w:val="22"/>
          <w:szCs w:val="22"/>
        </w:rPr>
        <w:t xml:space="preserve">Tier 1 — Immediate Defensive Response</w:t>
      </w:r>
    </w:p>
    <w:p>
      <w:pPr>
        <w:spacing w:after="120" w:before="0"/>
        <w:ind w:left="863"/>
        <w:jc w:val="both"/>
      </w:pPr>
      <w:r>
        <w:rPr>
          <w:rFonts w:ascii="Garamond" w:cs="Garamond" w:eastAsia="Garamond" w:hAnsi="Garamond"/>
          <w:color w:val="2a2520"/>
          <w:sz w:val="22"/>
          <w:szCs w:val="22"/>
        </w:rPr>
        <w:t xml:space="preserve">The President may respond immediately to an active, imminent, or ongoing attack on Republic territory, Republic citizens abroad, or treaty allies without prior legislative authorization. The only presidential power that can be exercised without legislative consent. Strictly bounded: defensive operations only, expires when the immediate threat is neutralized, 12-hour notification to both chambers and the PM. Cannot initiate a conflict or extend operations — those require Tier 2 authorization within 96 hours.</w:t>
      </w:r>
    </w:p>
    <w:p>
      <w:pPr>
        <w:spacing w:after="60" w:before="200"/>
        <w:ind w:left="863"/>
      </w:pPr>
      <w:r>
        <w:rPr>
          <w:rFonts w:ascii="Courier New" w:cs="Courier New" w:eastAsia="Courier New" w:hAnsi="Courier New"/>
          <w:b/>
          <w:bCs/>
          <w:color w:val="1B2A4A"/>
          <w:sz w:val="18"/>
          <w:szCs w:val="18"/>
        </w:rPr>
        <w:t xml:space="preserve">§2.1.b  </w:t>
      </w:r>
      <w:r>
        <w:rPr>
          <w:rFonts w:ascii="Garamond" w:cs="Garamond" w:eastAsia="Garamond" w:hAnsi="Garamond"/>
          <w:b/>
          <w:bCs/>
          <w:color w:val="1B2A4A"/>
          <w:sz w:val="22"/>
          <w:szCs w:val="22"/>
        </w:rPr>
        <w:t xml:space="preserve">Tier 2 — Senate Armed Services Authorization</w:t>
      </w:r>
    </w:p>
    <w:p>
      <w:pPr>
        <w:spacing w:after="120" w:before="0"/>
        <w:ind w:left="863"/>
        <w:jc w:val="both"/>
      </w:pPr>
      <w:r>
        <w:rPr>
          <w:rFonts w:ascii="Garamond" w:cs="Garamond" w:eastAsia="Garamond" w:hAnsi="Garamond"/>
          <w:color w:val="2a2520"/>
          <w:sz w:val="22"/>
          <w:szCs w:val="22"/>
        </w:rPr>
        <w:t xml:space="preserve">Required within 96 hours for any offensive operation or sustained defensive deployment. Simple majority of the Committee following a classified presidential briefing. Covers 30 days. If the full Legislature does not pass a Tier 3 Declaration within 30 days, all operations except immediate territorial defense must cease automatically. No presidential override.</w:t>
      </w:r>
    </w:p>
    <w:p>
      <w:pPr>
        <w:spacing w:after="60" w:before="200"/>
        <w:ind w:left="863"/>
      </w:pPr>
      <w:r>
        <w:rPr>
          <w:rFonts w:ascii="Courier New" w:cs="Courier New" w:eastAsia="Courier New" w:hAnsi="Courier New"/>
          <w:b/>
          <w:bCs/>
          <w:color w:val="1B2A4A"/>
          <w:sz w:val="18"/>
          <w:szCs w:val="18"/>
        </w:rPr>
        <w:t xml:space="preserve">§2.1.c  </w:t>
      </w:r>
      <w:r>
        <w:rPr>
          <w:rFonts w:ascii="Garamond" w:cs="Garamond" w:eastAsia="Garamond" w:hAnsi="Garamond"/>
          <w:b/>
          <w:bCs/>
          <w:color w:val="1B2A4A"/>
          <w:sz w:val="22"/>
          <w:szCs w:val="22"/>
        </w:rPr>
        <w:t xml:space="preserve">Tier 3 — Legislative Declaration of Defense</w:t>
      </w:r>
    </w:p>
    <w:p>
      <w:pPr>
        <w:spacing w:after="120" w:before="0"/>
        <w:ind w:left="863"/>
        <w:jc w:val="both"/>
      </w:pPr>
      <w:r>
        <w:rPr>
          <w:rFonts w:ascii="Garamond" w:cs="Garamond" w:eastAsia="Garamond" w:hAnsi="Garamond"/>
          <w:color w:val="2a2520"/>
          <w:sz w:val="22"/>
          <w:szCs w:val="22"/>
        </w:rPr>
        <w:t xml:space="preserve">The full democratic authorization. 2/3 concurrent majority of both chambers. Must state the §12.1 authorized purpose. Renewable every 180 days — failure to renew terminates all operations and expenditure with no presidential override. Maximum 5 years then mandatory 90-day cessation.</w:t>
      </w:r>
    </w:p>
    <w:p>
      <w:pPr>
        <w:spacing w:after="60" w:before="200"/>
        <w:ind w:left="863"/>
      </w:pPr>
      <w:r>
        <w:rPr>
          <w:rFonts w:ascii="Courier New" w:cs="Courier New" w:eastAsia="Courier New" w:hAnsi="Courier New"/>
          <w:b/>
          <w:bCs/>
          <w:color w:val="1B2A4A"/>
          <w:sz w:val="18"/>
          <w:szCs w:val="18"/>
        </w:rPr>
        <w:t xml:space="preserve">§2.1.d  </w:t>
      </w:r>
      <w:r>
        <w:rPr>
          <w:rFonts w:ascii="Garamond" w:cs="Garamond" w:eastAsia="Garamond" w:hAnsi="Garamond"/>
          <w:b/>
          <w:bCs/>
          <w:color w:val="1B2A4A"/>
          <w:sz w:val="22"/>
          <w:szCs w:val="22"/>
        </w:rPr>
        <w:t xml:space="preserve">Funding Lock</w:t>
      </w:r>
    </w:p>
    <w:p>
      <w:pPr>
        <w:spacing w:after="120" w:before="0"/>
        <w:ind w:left="863"/>
        <w:jc w:val="both"/>
      </w:pPr>
      <w:r>
        <w:rPr>
          <w:rFonts w:ascii="Garamond" w:cs="Garamond" w:eastAsia="Garamond" w:hAnsi="Garamond"/>
          <w:color w:val="2a2520"/>
          <w:sz w:val="22"/>
          <w:szCs w:val="22"/>
        </w:rPr>
        <w:t xml:space="preserve">The funding lock: the President has no authority to spend domestic funds. All military expenditure requires PM certification. Tier 1 defensive operations carry an automatic 96-hour Emergency Defense Allocation — self-executing, not subject to PM Fiscal Objection. Beyond 96 hours, PM must certify or uncertified spending is void, triggering an immediate pay freeze on military personnel and federal civilian employees directly supporting military operations. Separates the decision to use force from the decision to fund it.</w:t>
      </w:r>
    </w:p>
    <w:p>
      <w:pPr>
        <w:spacing w:after="60" w:before="200"/>
        <w:ind w:left="863"/>
      </w:pPr>
      <w:r>
        <w:rPr>
          <w:rFonts w:ascii="Courier New" w:cs="Courier New" w:eastAsia="Courier New" w:hAnsi="Courier New"/>
          <w:b/>
          <w:bCs/>
          <w:color w:val="1B2A4A"/>
          <w:sz w:val="18"/>
          <w:szCs w:val="18"/>
        </w:rPr>
        <w:t xml:space="preserve">§2.1.e  </w:t>
      </w:r>
      <w:r>
        <w:rPr>
          <w:rFonts w:ascii="Garamond" w:cs="Garamond" w:eastAsia="Garamond" w:hAnsi="Garamond"/>
          <w:b/>
          <w:bCs/>
          <w:color w:val="1B2A4A"/>
          <w:sz w:val="22"/>
          <w:szCs w:val="22"/>
        </w:rPr>
        <w:t xml:space="preserve">Presidential Intelligence Limits</w:t>
      </w:r>
    </w:p>
    <w:p>
      <w:pPr>
        <w:spacing w:after="120" w:before="0"/>
        <w:ind w:left="863"/>
        <w:jc w:val="both"/>
      </w:pPr>
      <w:r>
        <w:rPr>
          <w:rFonts w:ascii="Garamond" w:cs="Garamond" w:eastAsia="Garamond" w:hAnsi="Garamond"/>
          <w:color w:val="2a2520"/>
          <w:sz w:val="22"/>
          <w:szCs w:val="22"/>
        </w:rPr>
        <w:t xml:space="preserve">The prohibition on domestic intelligence operations against Republic citizens is non-derogable and permanent under §1.30.d. Any order authorizing domestic intelligence operations against Republic citizens is constitutionally void. The EI reports any such order to the NRS.</w:t>
      </w:r>
    </w:p>
    <w:p>
      <w:pPr>
        <w:spacing w:after="60" w:before="200"/>
        <w:ind w:left="863"/>
      </w:pPr>
      <w:r>
        <w:rPr>
          <w:rFonts w:ascii="Courier New" w:cs="Courier New" w:eastAsia="Courier New" w:hAnsi="Courier New"/>
          <w:b/>
          <w:bCs/>
          <w:color w:val="1B2A4A"/>
          <w:sz w:val="18"/>
          <w:szCs w:val="18"/>
        </w:rPr>
        <w:t xml:space="preserve">§2.1.f  </w:t>
      </w:r>
      <w:r>
        <w:rPr>
          <w:rFonts w:ascii="Garamond" w:cs="Garamond" w:eastAsia="Garamond" w:hAnsi="Garamond"/>
          <w:b/>
          <w:bCs/>
          <w:color w:val="1B2A4A"/>
          <w:sz w:val="22"/>
          <w:szCs w:val="22"/>
        </w:rPr>
        <w:t xml:space="preserve">Presidential Veto — Scope</w:t>
      </w:r>
    </w:p>
    <w:p>
      <w:pPr>
        <w:spacing w:after="120" w:before="0"/>
        <w:ind w:left="863"/>
        <w:jc w:val="both"/>
      </w:pPr>
      <w:r>
        <w:rPr>
          <w:rFonts w:ascii="Garamond" w:cs="Garamond" w:eastAsia="Garamond" w:hAnsi="Garamond"/>
          <w:color w:val="2a2520"/>
          <w:sz w:val="22"/>
          <w:szCs w:val="22"/>
        </w:rPr>
        <w:t xml:space="preserve">The President may veto only bills that raise a genuine constitutional concern within the security domain: military operations, intelligence, treaty obligations, or border security. A general or speculative security connection is not sufficient. The SC reviews any Presidential veto within 48 hours on petition from either Speaker.</w:t>
      </w:r>
    </w:p>
    <w:p>
      <w:pPr>
        <w:spacing w:after="60" w:before="200"/>
        <w:ind w:left="1296"/>
      </w:pPr>
      <w:r>
        <w:rPr>
          <w:rFonts w:ascii="Courier New" w:cs="Courier New" w:eastAsia="Courier New" w:hAnsi="Courier New"/>
          <w:b/>
          <w:bCs/>
          <w:color w:val="1B2A4A"/>
          <w:sz w:val="18"/>
          <w:szCs w:val="18"/>
        </w:rPr>
        <w:t xml:space="preserve">§2.1.f.i  </w:t>
      </w:r>
      <w:r>
        <w:rPr>
          <w:rFonts w:ascii="Garamond" w:cs="Garamond" w:eastAsia="Garamond" w:hAnsi="Garamond"/>
          <w:b/>
          <w:bCs/>
          <w:color w:val="1B2A4A"/>
          <w:sz w:val="22"/>
          <w:szCs w:val="22"/>
        </w:rPr>
        <w:t xml:space="preserve">Judicial Review and Override</w:t>
      </w:r>
    </w:p>
    <w:p>
      <w:pPr>
        <w:spacing w:after="120" w:before="0"/>
        <w:ind w:left="1296"/>
        <w:jc w:val="both"/>
      </w:pPr>
      <w:r>
        <w:rPr>
          <w:rFonts w:ascii="Garamond" w:cs="Garamond" w:eastAsia="Garamond" w:hAnsi="Garamond"/>
          <w:color w:val="2a2520"/>
          <w:sz w:val="22"/>
          <w:szCs w:val="22"/>
        </w:rPr>
        <w:t xml:space="preserve">Automatic expedited SC review within 48 hours of petition by either Speaker. The Court determines only whether the bill genuinely raises a constitutional concern within the President's defined domain — not whether the President's security judgment is correct. If the bill does not raise a genuine domain concern, the veto fails.</w:t>
      </w:r>
    </w:p>
    <w:p>
      <w:pPr>
        <w:spacing w:after="60" w:before="200"/>
        <w:ind w:left="1296"/>
      </w:pPr>
      <w:r>
        <w:rPr>
          <w:rFonts w:ascii="Courier New" w:cs="Courier New" w:eastAsia="Courier New" w:hAnsi="Courier New"/>
          <w:b/>
          <w:bCs/>
          <w:color w:val="1B2A4A"/>
          <w:sz w:val="18"/>
          <w:szCs w:val="18"/>
        </w:rPr>
        <w:t xml:space="preserve">§2.1.f.ii  </w:t>
      </w:r>
      <w:r>
        <w:rPr>
          <w:rFonts w:ascii="Garamond" w:cs="Garamond" w:eastAsia="Garamond" w:hAnsi="Garamond"/>
          <w:b/>
          <w:bCs/>
          <w:color w:val="1B2A4A"/>
          <w:sz w:val="22"/>
          <w:szCs w:val="22"/>
        </w:rPr>
        <w:t xml:space="preserve">Veto Suspension for Repeated Void Vetoes</w:t>
      </w:r>
    </w:p>
    <w:p>
      <w:pPr>
        <w:spacing w:after="120" w:before="0"/>
        <w:ind w:left="1296"/>
        <w:jc w:val="both"/>
      </w:pPr>
      <w:r>
        <w:rPr>
          <w:rFonts w:ascii="Garamond" w:cs="Garamond" w:eastAsia="Garamond" w:hAnsi="Garamond"/>
          <w:color w:val="2a2520"/>
          <w:sz w:val="22"/>
          <w:szCs w:val="22"/>
        </w:rPr>
        <w:t xml:space="preserve">If the Supreme Court voids three Presidential vetoes on scope or justification grounds within any 180-day period, the President's veto authority is suspended for the remainder of that period. The Legislative Inspectorate publishes a finding to the NRS upon suspension. Suspension affects only the veto power — all other presidential authority, including Tier 1 through Tier 3 military authorization, remains fully operative.</w:t>
      </w:r>
    </w:p>
    <w:p>
      <w:pPr>
        <w:spacing w:after="60" w:before="200"/>
        <w:ind w:left="863"/>
      </w:pPr>
      <w:r>
        <w:rPr>
          <w:rFonts w:ascii="Courier New" w:cs="Courier New" w:eastAsia="Courier New" w:hAnsi="Courier New"/>
          <w:b/>
          <w:bCs/>
          <w:color w:val="1B2A4A"/>
          <w:sz w:val="18"/>
          <w:szCs w:val="18"/>
        </w:rPr>
        <w:t xml:space="preserve">§2.1.g  </w:t>
      </w:r>
      <w:r>
        <w:rPr>
          <w:rFonts w:ascii="Garamond" w:cs="Garamond" w:eastAsia="Garamond" w:hAnsi="Garamond"/>
          <w:b/>
          <w:bCs/>
          <w:color w:val="1B2A4A"/>
          <w:sz w:val="22"/>
          <w:szCs w:val="22"/>
        </w:rPr>
        <w:t xml:space="preserve">Presidential Clemency</w:t>
      </w:r>
    </w:p>
    <w:p>
      <w:pPr>
        <w:spacing w:after="120" w:before="0"/>
        <w:ind w:left="863"/>
        <w:jc w:val="both"/>
      </w:pPr>
      <w:r>
        <w:rPr>
          <w:rFonts w:ascii="Garamond" w:cs="Garamond" w:eastAsia="Garamond" w:hAnsi="Garamond"/>
          <w:color w:val="2a2520"/>
          <w:sz w:val="22"/>
          <w:szCs w:val="22"/>
        </w:rPr>
        <w:t xml:space="preserve">Presidential clemency is domain-scoped: military law and national security offenses only. Before any grant, the EI publishes a factual background report to the NRS. Clemency may not be granted for: any offense in which the President was a participant, co-conspirator, or direct beneficiary; any offense committed by a current or former official abusing their official position; or any offense for which the convicted person is simultaneously subject to constitutional violation proceedings. Self-clemency is prohibited under §2.9.b. Every petition, every EI report, and every grant or decline is published to the NRS permanently. Every grant is subject to cross-chamber legislative review under §2.9.c.</w:t>
      </w:r>
    </w:p>
    <w:p>
      <w:pPr>
        <w:spacing w:after="60" w:before="200"/>
        <w:ind w:left="863"/>
      </w:pPr>
      <w:r>
        <w:rPr>
          <w:rFonts w:ascii="Courier New" w:cs="Courier New" w:eastAsia="Courier New" w:hAnsi="Courier New"/>
          <w:b/>
          <w:bCs/>
          <w:color w:val="1B2A4A"/>
          <w:sz w:val="18"/>
          <w:szCs w:val="18"/>
        </w:rPr>
        <w:t xml:space="preserve">§2.1.h  </w:t>
      </w:r>
      <w:r>
        <w:rPr>
          <w:rFonts w:ascii="Garamond" w:cs="Garamond" w:eastAsia="Garamond" w:hAnsi="Garamond"/>
          <w:b/>
          <w:bCs/>
          <w:color w:val="1B2A4A"/>
          <w:sz w:val="22"/>
          <w:szCs w:val="22"/>
        </w:rPr>
        <w:t xml:space="preserve">Dual Executive Conflict Resolution During Active Operations</w:t>
      </w:r>
    </w:p>
    <w:p>
      <w:pPr>
        <w:spacing w:after="120" w:before="0"/>
        <w:ind w:left="863"/>
        <w:jc w:val="both"/>
      </w:pPr>
      <w:r>
        <w:rPr>
          <w:rFonts w:ascii="Garamond" w:cs="Garamond" w:eastAsia="Garamond" w:hAnsi="Garamond"/>
          <w:color w:val="2a2520"/>
          <w:sz w:val="22"/>
          <w:szCs w:val="22"/>
        </w:rPr>
        <w:t xml:space="preserve">Where both executives disagree on whether a military operation falls within the Presidential military domain during active operations, either executive may file a written NRS objection within 6 hours. The executives have 12 hours to resolve the dispute by negotiation. Where no resolution is reached, either executive may petition the Supreme Court for an emergency domain determination; the Court must rule within 24 hours of petition. Pending an SC ruling, the Presidential order governs only operations directly connected to the active military situation while all other government functions follow the PM. Where an SC emergency domain determination under this provision is pending, Tier 1 defensive operations continue on the authority of the Presidential order and are deemed certified for funding purposes until the ruling is published, provided the SC petition was filed before the Emergency Defense Allocation window expired.</w:t>
      </w:r>
    </w:p>
    <w:p>
      <w:pPr>
        <w:spacing w:after="60" w:before="200"/>
        <w:ind w:left="863"/>
      </w:pPr>
      <w:r>
        <w:rPr>
          <w:rFonts w:ascii="Courier New" w:cs="Courier New" w:eastAsia="Courier New" w:hAnsi="Courier New"/>
          <w:b/>
          <w:bCs/>
          <w:color w:val="1B2A4A"/>
          <w:sz w:val="18"/>
          <w:szCs w:val="18"/>
        </w:rPr>
        <w:t xml:space="preserve">§2.1.i  </w:t>
      </w:r>
      <w:r>
        <w:rPr>
          <w:rFonts w:ascii="Garamond" w:cs="Garamond" w:eastAsia="Garamond" w:hAnsi="Garamond"/>
          <w:b/>
          <w:bCs/>
          <w:color w:val="1B2A4A"/>
          <w:sz w:val="22"/>
          <w:szCs w:val="22"/>
        </w:rPr>
        <w:t xml:space="preserve">International Trade Authority</w:t>
      </w:r>
    </w:p>
    <w:p>
      <w:pPr>
        <w:spacing w:after="120" w:before="0"/>
        <w:ind w:left="863"/>
        <w:jc w:val="both"/>
      </w:pPr>
      <w:r>
        <w:rPr>
          <w:rFonts w:ascii="Garamond" w:cs="Garamond" w:eastAsia="Garamond" w:hAnsi="Garamond"/>
          <w:color w:val="2a2520"/>
          <w:sz w:val="22"/>
          <w:szCs w:val="22"/>
        </w:rPr>
        <w:t xml:space="preserve">The President negotiates and concludes trade agreements; PM written concurrence is required where the agreement materially affects the domestic economy. National treatment obligations within Republic territory require PM concurrence, as they directly govern how domestic industry is regulated. Where PM concurrence is withheld, domestic provisions may be transmitted to the House Speaker as ordinary legislation. Ratification requires a 2/3 Senate majority under §3.2.e.</w:t>
      </w:r>
    </w:p>
    <w:p>
      <w:pPr>
        <w:spacing w:after="60" w:before="200"/>
        <w:ind w:left="863"/>
      </w:pPr>
      <w:r>
        <w:rPr>
          <w:rFonts w:ascii="Courier New" w:cs="Courier New" w:eastAsia="Courier New" w:hAnsi="Courier New"/>
          <w:b/>
          <w:bCs/>
          <w:color w:val="1B2A4A"/>
          <w:sz w:val="18"/>
          <w:szCs w:val="18"/>
        </w:rPr>
        <w:t xml:space="preserve">§2.1.j  </w:t>
      </w:r>
      <w:r>
        <w:rPr>
          <w:rFonts w:ascii="Garamond" w:cs="Garamond" w:eastAsia="Garamond" w:hAnsi="Garamond"/>
          <w:b/>
          <w:bCs/>
          <w:color w:val="1B2A4A"/>
          <w:sz w:val="22"/>
          <w:szCs w:val="22"/>
        </w:rPr>
        <w:t xml:space="preserve">Presidential Officer Appointments and Removal</w:t>
      </w:r>
    </w:p>
    <w:p>
      <w:pPr>
        <w:spacing w:after="120" w:before="0"/>
        <w:ind w:left="863"/>
        <w:jc w:val="both"/>
      </w:pPr>
      <w:r>
        <w:rPr>
          <w:rFonts w:ascii="Garamond" w:cs="Garamond" w:eastAsia="Garamond" w:hAnsi="Garamond"/>
          <w:color w:val="2a2520"/>
          <w:sz w:val="22"/>
          <w:szCs w:val="22"/>
        </w:rPr>
        <w:t xml:space="preserve">The President nominates the Director of Intelligence, Secretary for Foreign Affairs, and Secretary for Defense. The Senate confirms each nomination by simple majority within a period the Legislature defines by statute; failure to vote within that period results in Deemed Confirmation. All nominations, confirmations, and Deemed Confirmations are published to the NRS within 24 hours. An officer subject to an active §3.8 impeachment proceeding may not be removed by the President until those proceedings conclude.</w:t>
      </w:r>
    </w:p>
    <w:p>
      <w:pPr>
        <w:spacing w:after="60" w:before="200"/>
        <w:ind w:left="431"/>
      </w:pPr>
      <w:r>
        <w:rPr>
          <w:rFonts w:ascii="Courier New" w:cs="Courier New" w:eastAsia="Courier New" w:hAnsi="Courier New"/>
          <w:b/>
          <w:bCs/>
          <w:color w:val="1B2A4A"/>
          <w:sz w:val="18"/>
          <w:szCs w:val="18"/>
        </w:rPr>
        <w:t xml:space="preserve">§2.2  </w:t>
      </w:r>
      <w:r>
        <w:rPr>
          <w:rFonts w:ascii="Garamond" w:cs="Garamond" w:eastAsia="Garamond" w:hAnsi="Garamond"/>
          <w:b/>
          <w:bCs/>
          <w:color w:val="1B2A4A"/>
          <w:sz w:val="22"/>
          <w:szCs w:val="22"/>
        </w:rPr>
        <w:t xml:space="preserve">The Prime Minister — Domestic Executive Domain</w:t>
      </w:r>
    </w:p>
    <w:p>
      <w:pPr>
        <w:spacing w:after="120" w:before="0"/>
        <w:ind w:left="431"/>
        <w:jc w:val="both"/>
      </w:pPr>
      <w:r>
        <w:rPr>
          <w:rFonts w:ascii="Garamond" w:cs="Garamond" w:eastAsia="Garamond" w:hAnsi="Garamond"/>
          <w:color w:val="2a2520"/>
          <w:sz w:val="22"/>
          <w:szCs w:val="22"/>
        </w:rPr>
        <w:t xml:space="preserve">The PM holds residual executive authority over all functions not enumerated as Presidential. To be eligible, a person must have held citizenship for at least 10 years. The PM answers to the House through the confidence mechanism and does not require presidential confirmation for the exercise of the domestic domain.</w:t>
      </w:r>
    </w:p>
    <w:p>
      <w:pPr>
        <w:spacing w:after="60" w:before="200"/>
        <w:ind w:left="863"/>
      </w:pPr>
      <w:r>
        <w:rPr>
          <w:rFonts w:ascii="Courier New" w:cs="Courier New" w:eastAsia="Courier New" w:hAnsi="Courier New"/>
          <w:b/>
          <w:bCs/>
          <w:color w:val="1B2A4A"/>
          <w:sz w:val="18"/>
          <w:szCs w:val="18"/>
        </w:rPr>
        <w:t xml:space="preserve">§2.2.a  </w:t>
      </w:r>
      <w:r>
        <w:rPr>
          <w:rFonts w:ascii="Garamond" w:cs="Garamond" w:eastAsia="Garamond" w:hAnsi="Garamond"/>
          <w:b/>
          <w:bCs/>
          <w:color w:val="1B2A4A"/>
          <w:sz w:val="22"/>
          <w:szCs w:val="22"/>
        </w:rPr>
        <w:t xml:space="preserve">Domestic Policy Authority</w:t>
      </w:r>
    </w:p>
    <w:p>
      <w:pPr>
        <w:spacing w:after="120" w:before="0"/>
        <w:ind w:left="863"/>
        <w:jc w:val="both"/>
      </w:pPr>
      <w:r>
        <w:rPr>
          <w:rFonts w:ascii="Garamond" w:cs="Garamond" w:eastAsia="Garamond" w:hAnsi="Garamond"/>
          <w:color w:val="2a2520"/>
          <w:sz w:val="22"/>
          <w:szCs w:val="22"/>
        </w:rPr>
        <w:t xml:space="preserve">The Prime Minister holds authority over all domestic policy — healthcare, education, infrastructure, housing, labour, environment, and all domestic regulatory frameworks. This authority is residual: it covers every function not expressly enumerated as Presidential under §2.1.</w:t>
      </w:r>
    </w:p>
    <w:p>
      <w:pPr>
        <w:spacing w:after="60" w:before="200"/>
        <w:ind w:left="863"/>
      </w:pPr>
      <w:r>
        <w:rPr>
          <w:rFonts w:ascii="Courier New" w:cs="Courier New" w:eastAsia="Courier New" w:hAnsi="Courier New"/>
          <w:b/>
          <w:bCs/>
          <w:color w:val="1B2A4A"/>
          <w:sz w:val="18"/>
          <w:szCs w:val="18"/>
        </w:rPr>
        <w:t xml:space="preserve">§2.2.b  </w:t>
      </w:r>
      <w:r>
        <w:rPr>
          <w:rFonts w:ascii="Garamond" w:cs="Garamond" w:eastAsia="Garamond" w:hAnsi="Garamond"/>
          <w:b/>
          <w:bCs/>
          <w:color w:val="1B2A4A"/>
          <w:sz w:val="22"/>
          <w:szCs w:val="22"/>
        </w:rPr>
        <w:t xml:space="preserve">Ministerial Appointments</w:t>
      </w:r>
    </w:p>
    <w:p>
      <w:pPr>
        <w:spacing w:after="120" w:before="0"/>
        <w:ind w:left="863"/>
        <w:jc w:val="both"/>
      </w:pPr>
      <w:r>
        <w:rPr>
          <w:rFonts w:ascii="Garamond" w:cs="Garamond" w:eastAsia="Garamond" w:hAnsi="Garamond"/>
          <w:color w:val="2a2520"/>
          <w:sz w:val="22"/>
          <w:szCs w:val="22"/>
        </w:rPr>
        <w:t xml:space="preserve">PM appoints senior domestic officers from JI-maintained candidate registries. The registry requirement prevents purely political appointments. Senate confirmation provides a further check. PM removal of appointed officers requires published NRS reasons — arbitrary or politically motivated removal is constitutionally visible.</w:t>
      </w:r>
    </w:p>
    <w:p>
      <w:pPr>
        <w:spacing w:after="60" w:before="200"/>
        <w:ind w:left="863"/>
      </w:pPr>
      <w:r>
        <w:rPr>
          <w:rFonts w:ascii="Courier New" w:cs="Courier New" w:eastAsia="Courier New" w:hAnsi="Courier New"/>
          <w:b/>
          <w:bCs/>
          <w:color w:val="1B2A4A"/>
          <w:sz w:val="18"/>
          <w:szCs w:val="18"/>
        </w:rPr>
        <w:t xml:space="preserve">§2.2.c  </w:t>
      </w:r>
      <w:r>
        <w:rPr>
          <w:rFonts w:ascii="Garamond" w:cs="Garamond" w:eastAsia="Garamond" w:hAnsi="Garamond"/>
          <w:b/>
          <w:bCs/>
          <w:color w:val="1B2A4A"/>
          <w:sz w:val="22"/>
          <w:szCs w:val="22"/>
        </w:rPr>
        <w:t xml:space="preserve">PM Fiscal and Budget Authority</w:t>
      </w:r>
    </w:p>
    <w:p>
      <w:pPr>
        <w:spacing w:after="120" w:before="0"/>
        <w:ind w:left="863"/>
        <w:jc w:val="both"/>
      </w:pPr>
      <w:r>
        <w:rPr>
          <w:rFonts w:ascii="Garamond" w:cs="Garamond" w:eastAsia="Garamond" w:hAnsi="Garamond"/>
          <w:color w:val="2a2520"/>
          <w:sz w:val="22"/>
          <w:szCs w:val="22"/>
        </w:rPr>
        <w:t xml:space="preserve">The PM's central domestic power. The annual budget originates with the PM and requires House passage. The PM's certification function for military expenditure is the financial check on the President's domain: no military operation runs without PM-certified funds.</w:t>
      </w:r>
    </w:p>
    <w:p>
      <w:pPr>
        <w:spacing w:after="60" w:before="200"/>
        <w:ind w:left="863"/>
      </w:pPr>
      <w:r>
        <w:rPr>
          <w:rFonts w:ascii="Courier New" w:cs="Courier New" w:eastAsia="Courier New" w:hAnsi="Courier New"/>
          <w:b/>
          <w:bCs/>
          <w:color w:val="1B2A4A"/>
          <w:sz w:val="18"/>
          <w:szCs w:val="18"/>
        </w:rPr>
        <w:t xml:space="preserve">§2.2.d  </w:t>
      </w:r>
      <w:r>
        <w:rPr>
          <w:rFonts w:ascii="Garamond" w:cs="Garamond" w:eastAsia="Garamond" w:hAnsi="Garamond"/>
          <w:b/>
          <w:bCs/>
          <w:color w:val="1B2A4A"/>
          <w:sz w:val="22"/>
          <w:szCs w:val="22"/>
        </w:rPr>
        <w:t xml:space="preserve">Legislative Review Period</w:t>
      </w:r>
    </w:p>
    <w:p>
      <w:pPr>
        <w:spacing w:after="120" w:before="0"/>
        <w:ind w:left="863"/>
        <w:jc w:val="both"/>
      </w:pPr>
      <w:r>
        <w:rPr>
          <w:rFonts w:ascii="Garamond" w:cs="Garamond" w:eastAsia="Garamond" w:hAnsi="Garamond"/>
          <w:color w:val="2a2520"/>
          <w:sz w:val="22"/>
          <w:szCs w:val="22"/>
        </w:rPr>
        <w:t xml:space="preserve">The PM reviews all enacted legislation. Three options: sign (or remain silent, triggering Deemed Enactment), Fiscal Objection, or Suspensive Veto. The PM's silence enacts a bill — there is no veto by inaction. The Suspensive Veto returns the bill to the Legislature, which may override by 2/3 of both chambers simultaneously.</w:t>
      </w:r>
    </w:p>
    <w:p>
      <w:pPr>
        <w:spacing w:after="60" w:before="200"/>
        <w:ind w:left="863"/>
      </w:pPr>
      <w:r>
        <w:rPr>
          <w:rFonts w:ascii="Courier New" w:cs="Courier New" w:eastAsia="Courier New" w:hAnsi="Courier New"/>
          <w:b/>
          <w:bCs/>
          <w:color w:val="1B2A4A"/>
          <w:sz w:val="18"/>
          <w:szCs w:val="18"/>
        </w:rPr>
        <w:t xml:space="preserve">§2.2.e  </w:t>
      </w:r>
      <w:r>
        <w:rPr>
          <w:rFonts w:ascii="Garamond" w:cs="Garamond" w:eastAsia="Garamond" w:hAnsi="Garamond"/>
          <w:b/>
          <w:bCs/>
          <w:color w:val="1B2A4A"/>
          <w:sz w:val="22"/>
          <w:szCs w:val="22"/>
        </w:rPr>
        <w:t xml:space="preserve">Domestic Emergency Authority</w:t>
      </w:r>
    </w:p>
    <w:p>
      <w:pPr>
        <w:spacing w:after="120" w:before="0"/>
        <w:ind w:left="863"/>
        <w:jc w:val="both"/>
      </w:pPr>
      <w:r>
        <w:rPr>
          <w:rFonts w:ascii="Garamond" w:cs="Garamond" w:eastAsia="Garamond" w:hAnsi="Garamond"/>
          <w:color w:val="2a2520"/>
          <w:sz w:val="22"/>
          <w:szCs w:val="22"/>
        </w:rPr>
        <w:t xml:space="preserve">The PM may declare a domestic emergency in response to natural disaster, public health crisis, or civil infrastructure failure. Strictly bounded: no suspension of Article I rights, 30-day initial period renewable by House approval, all emergency orders published to the NRS within 6 hours. The President has no role in domestic emergencies.</w:t>
      </w:r>
    </w:p>
    <w:p>
      <w:pPr>
        <w:spacing w:after="60" w:before="200"/>
        <w:ind w:left="863"/>
      </w:pPr>
      <w:r>
        <w:rPr>
          <w:rFonts w:ascii="Courier New" w:cs="Courier New" w:eastAsia="Courier New" w:hAnsi="Courier New"/>
          <w:b/>
          <w:bCs/>
          <w:color w:val="1B2A4A"/>
          <w:sz w:val="18"/>
          <w:szCs w:val="18"/>
        </w:rPr>
        <w:t xml:space="preserve">§2.2.f  </w:t>
      </w:r>
      <w:r>
        <w:rPr>
          <w:rFonts w:ascii="Garamond" w:cs="Garamond" w:eastAsia="Garamond" w:hAnsi="Garamond"/>
          <w:b/>
          <w:bCs/>
          <w:color w:val="1B2A4A"/>
          <w:sz w:val="22"/>
          <w:szCs w:val="22"/>
        </w:rPr>
        <w:t xml:space="preserve">PM Clemency</w:t>
      </w:r>
    </w:p>
    <w:p>
      <w:pPr>
        <w:spacing w:after="120" w:before="0"/>
        <w:ind w:left="863"/>
        <w:jc w:val="both"/>
      </w:pPr>
      <w:r>
        <w:rPr>
          <w:rFonts w:ascii="Garamond" w:cs="Garamond" w:eastAsia="Garamond" w:hAnsi="Garamond"/>
          <w:color w:val="2a2520"/>
          <w:sz w:val="22"/>
          <w:szCs w:val="22"/>
        </w:rPr>
        <w:t xml:space="preserve">Same procedural structure as Presidential clemency: EI factual report published to NRS before any grant. Self-clemency prohibited under §2.9.b. The PM may not pardon Presidential domain offenses under §2.9.c. Broad amnesty for groups requires legislative action under §2.9.a.</w:t>
      </w:r>
    </w:p>
    <w:p>
      <w:pPr>
        <w:spacing w:after="60" w:before="200"/>
        <w:ind w:left="863"/>
      </w:pPr>
      <w:r>
        <w:rPr>
          <w:rFonts w:ascii="Courier New" w:cs="Courier New" w:eastAsia="Courier New" w:hAnsi="Courier New"/>
          <w:b/>
          <w:bCs/>
          <w:color w:val="1B2A4A"/>
          <w:sz w:val="18"/>
          <w:szCs w:val="18"/>
        </w:rPr>
        <w:t xml:space="preserve">§2.2.g  </w:t>
      </w:r>
      <w:r>
        <w:rPr>
          <w:rFonts w:ascii="Garamond" w:cs="Garamond" w:eastAsia="Garamond" w:hAnsi="Garamond"/>
          <w:b/>
          <w:bCs/>
          <w:color w:val="1B2A4A"/>
          <w:sz w:val="22"/>
          <w:szCs w:val="22"/>
        </w:rPr>
        <w:t xml:space="preserve">PM Information Rights</w:t>
      </w:r>
    </w:p>
    <w:p>
      <w:pPr>
        <w:spacing w:after="120" w:before="0"/>
        <w:ind w:left="863"/>
        <w:jc w:val="both"/>
      </w:pPr>
      <w:r>
        <w:rPr>
          <w:rFonts w:ascii="Garamond" w:cs="Garamond" w:eastAsia="Garamond" w:hAnsi="Garamond"/>
          <w:color w:val="2a2520"/>
          <w:sz w:val="22"/>
          <w:szCs w:val="22"/>
        </w:rPr>
        <w:t xml:space="preserve">The PM has a constitutional right to full and timely briefing on all national security matters affecting domestic interests. The President may not withhold information from the PM on grounds of security classification where those matters bear on the PM's domestic responsibilities. The Intelligence Firewall under §1.30.d applies equally to both executives.</w:t>
      </w:r>
    </w:p>
    <w:p>
      <w:pPr>
        <w:spacing w:after="60" w:before="200"/>
        <w:ind w:left="863"/>
      </w:pPr>
      <w:r>
        <w:rPr>
          <w:rFonts w:ascii="Courier New" w:cs="Courier New" w:eastAsia="Courier New" w:hAnsi="Courier New"/>
          <w:b/>
          <w:bCs/>
          <w:color w:val="1B2A4A"/>
          <w:sz w:val="18"/>
          <w:szCs w:val="18"/>
        </w:rPr>
        <w:t xml:space="preserve">§2.2.h  </w:t>
      </w:r>
      <w:r>
        <w:rPr>
          <w:rFonts w:ascii="Garamond" w:cs="Garamond" w:eastAsia="Garamond" w:hAnsi="Garamond"/>
          <w:b/>
          <w:bCs/>
          <w:color w:val="1B2A4A"/>
          <w:sz w:val="22"/>
          <w:szCs w:val="22"/>
        </w:rPr>
        <w:t xml:space="preserve">Administrative Acting Officer Framework</w:t>
      </w:r>
    </w:p>
    <w:p>
      <w:pPr>
        <w:spacing w:after="120" w:before="0"/>
        <w:ind w:left="863"/>
        <w:jc w:val="both"/>
      </w:pPr>
      <w:r>
        <w:rPr>
          <w:rFonts w:ascii="Garamond" w:cs="Garamond" w:eastAsia="Garamond" w:hAnsi="Garamond"/>
          <w:color w:val="2a2520"/>
          <w:sz w:val="22"/>
          <w:szCs w:val="22"/>
        </w:rPr>
        <w:t xml:space="preserve">Where the PM is temporarily unable to exercise authority, the most senior Domestic Affairs Council Officer (SDACO) serves as Caretaker PM. The SDACO's authority is limited to maintaining existing policy and emergency functions. Caretaker status expires when a new PM is confirmed by the House.</w:t>
      </w:r>
    </w:p>
    <w:p>
      <w:pPr>
        <w:spacing w:after="60" w:before="200"/>
        <w:ind w:left="863"/>
      </w:pPr>
      <w:r>
        <w:rPr>
          <w:rFonts w:ascii="Courier New" w:cs="Courier New" w:eastAsia="Courier New" w:hAnsi="Courier New"/>
          <w:b/>
          <w:bCs/>
          <w:color w:val="1B2A4A"/>
          <w:sz w:val="18"/>
          <w:szCs w:val="18"/>
        </w:rPr>
        <w:t xml:space="preserve">§2.2.i  </w:t>
      </w:r>
      <w:r>
        <w:rPr>
          <w:rFonts w:ascii="Garamond" w:cs="Garamond" w:eastAsia="Garamond" w:hAnsi="Garamond"/>
          <w:b/>
          <w:bCs/>
          <w:color w:val="1B2A4A"/>
          <w:sz w:val="22"/>
          <w:szCs w:val="22"/>
        </w:rPr>
        <w:t xml:space="preserve">Duty of Refusal</w:t>
      </w:r>
    </w:p>
    <w:p>
      <w:pPr>
        <w:spacing w:after="120" w:before="0"/>
        <w:ind w:left="863"/>
        <w:jc w:val="both"/>
      </w:pPr>
      <w:r>
        <w:rPr>
          <w:rFonts w:ascii="Garamond" w:cs="Garamond" w:eastAsia="Garamond" w:hAnsi="Garamond"/>
          <w:color w:val="2a2520"/>
          <w:sz w:val="22"/>
          <w:szCs w:val="22"/>
        </w:rPr>
        <w:t xml:space="preserve">Civil servants must refuse and report any order that lacks required PM fund certification, violates any Article I right, or has not been recorded on the National Record System. A civil servant who refuses an unconstitutional order may not be dismissed, demoted, or penalized for that refusal. The EI reports any attempt to penalize a refusing civil servant to the NRS.</w:t>
      </w:r>
    </w:p>
    <w:p>
      <w:pPr>
        <w:spacing w:after="60" w:before="200"/>
        <w:ind w:left="863"/>
      </w:pPr>
      <w:r>
        <w:rPr>
          <w:rFonts w:ascii="Courier New" w:cs="Courier New" w:eastAsia="Courier New" w:hAnsi="Courier New"/>
          <w:b/>
          <w:bCs/>
          <w:color w:val="1B2A4A"/>
          <w:sz w:val="18"/>
          <w:szCs w:val="18"/>
        </w:rPr>
        <w:t xml:space="preserve">§2.2.j  </w:t>
      </w:r>
      <w:r>
        <w:rPr>
          <w:rFonts w:ascii="Garamond" w:cs="Garamond" w:eastAsia="Garamond" w:hAnsi="Garamond"/>
          <w:b/>
          <w:bCs/>
          <w:color w:val="1B2A4A"/>
          <w:sz w:val="22"/>
          <w:szCs w:val="22"/>
        </w:rPr>
        <w:t xml:space="preserve">Civil Service Integrity</w:t>
      </w:r>
    </w:p>
    <w:p>
      <w:pPr>
        <w:spacing w:after="120" w:before="0"/>
        <w:ind w:left="863"/>
        <w:jc w:val="both"/>
      </w:pPr>
      <w:r>
        <w:rPr>
          <w:rFonts w:ascii="Garamond" w:cs="Garamond" w:eastAsia="Garamond" w:hAnsi="Garamond"/>
          <w:color w:val="2a2520"/>
          <w:sz w:val="22"/>
          <w:szCs w:val="22"/>
        </w:rPr>
        <w:t xml:space="preserve">The PM has constitutional responsibility for the integrity of the civil service. Civil service appointments, promotions, and assignments must be made on the basis of merit and qualification, not political affiliation. Civil servants are protected from retaliation for exercising their duty of refusal under §2.2.i. The Legislature must by statute establish a Civil Service Commission with independent oversight of hiring, promotion, and disciplinary processes within the civil service.</w:t>
      </w:r>
    </w:p>
    <w:p>
      <w:pPr>
        <w:spacing w:after="60" w:before="200"/>
        <w:ind w:left="431"/>
      </w:pPr>
      <w:r>
        <w:rPr>
          <w:rFonts w:ascii="Courier New" w:cs="Courier New" w:eastAsia="Courier New" w:hAnsi="Courier New"/>
          <w:b/>
          <w:bCs/>
          <w:color w:val="1B2A4A"/>
          <w:sz w:val="18"/>
          <w:szCs w:val="18"/>
        </w:rPr>
        <w:t xml:space="preserve">§2.3  </w:t>
      </w:r>
      <w:r>
        <w:rPr>
          <w:rFonts w:ascii="Garamond" w:cs="Garamond" w:eastAsia="Garamond" w:hAnsi="Garamond"/>
          <w:b/>
          <w:bCs/>
          <w:color w:val="1B2A4A"/>
          <w:sz w:val="22"/>
          <w:szCs w:val="22"/>
        </w:rPr>
        <w:t xml:space="preserve">Prime Minister — Accountability and Formation</w:t>
      </w:r>
    </w:p>
    <w:p>
      <w:pPr>
        <w:spacing w:after="120" w:before="0"/>
        <w:ind w:left="431"/>
        <w:jc w:val="both"/>
      </w:pPr>
      <w:r>
        <w:rPr>
          <w:rFonts w:ascii="Garamond" w:cs="Garamond" w:eastAsia="Garamond" w:hAnsi="Garamond"/>
          <w:color w:val="2a2520"/>
          <w:sz w:val="22"/>
          <w:szCs w:val="22"/>
        </w:rPr>
        <w:t xml:space="preserve">The Prime Minister is accountable to the House through the mechanisms of this section. The House's power to remove the PM is matched by its constitutional obligation to maintain a functioning government.</w:t>
      </w:r>
    </w:p>
    <w:p>
      <w:pPr>
        <w:spacing w:after="60" w:before="200"/>
        <w:ind w:left="863"/>
      </w:pPr>
      <w:r>
        <w:rPr>
          <w:rFonts w:ascii="Courier New" w:cs="Courier New" w:eastAsia="Courier New" w:hAnsi="Courier New"/>
          <w:b/>
          <w:bCs/>
          <w:color w:val="1B2A4A"/>
          <w:sz w:val="18"/>
          <w:szCs w:val="18"/>
        </w:rPr>
        <w:t xml:space="preserve">§2.3.a  </w:t>
      </w:r>
      <w:r>
        <w:rPr>
          <w:rFonts w:ascii="Garamond" w:cs="Garamond" w:eastAsia="Garamond" w:hAnsi="Garamond"/>
          <w:b/>
          <w:bCs/>
          <w:color w:val="1B2A4A"/>
          <w:sz w:val="22"/>
          <w:szCs w:val="22"/>
        </w:rPr>
        <w:t xml:space="preserve">Constructive Vote of No Confidence</w:t>
      </w:r>
    </w:p>
    <w:p>
      <w:pPr>
        <w:spacing w:after="120" w:before="0"/>
        <w:ind w:left="863"/>
        <w:jc w:val="both"/>
      </w:pPr>
      <w:r>
        <w:rPr>
          <w:rFonts w:ascii="Garamond" w:cs="Garamond" w:eastAsia="Garamond" w:hAnsi="Garamond"/>
          <w:color w:val="2a2520"/>
          <w:sz w:val="22"/>
          <w:szCs w:val="22"/>
        </w:rPr>
        <w:t xml:space="preserve">The House cannot simply vote 'no confidence' and leave a vacuum; it must simultaneously elect a replacement by absolute majority of full seated House membership. Both the removal and successor election occur in the same vote.</w:t>
      </w:r>
    </w:p>
    <w:p>
      <w:pPr>
        <w:spacing w:after="60" w:before="200"/>
        <w:ind w:left="863"/>
      </w:pPr>
      <w:r>
        <w:rPr>
          <w:rFonts w:ascii="Courier New" w:cs="Courier New" w:eastAsia="Courier New" w:hAnsi="Courier New"/>
          <w:b/>
          <w:bCs/>
          <w:color w:val="1B2A4A"/>
          <w:sz w:val="18"/>
          <w:szCs w:val="18"/>
        </w:rPr>
        <w:t xml:space="preserve">§2.3.b  </w:t>
      </w:r>
      <w:r>
        <w:rPr>
          <w:rFonts w:ascii="Garamond" w:cs="Garamond" w:eastAsia="Garamond" w:hAnsi="Garamond"/>
          <w:b/>
          <w:bCs/>
          <w:color w:val="1B2A4A"/>
          <w:sz w:val="22"/>
          <w:szCs w:val="22"/>
        </w:rPr>
        <w:t xml:space="preserve">PM Maximum Consecutive Service</w:t>
      </w:r>
    </w:p>
    <w:p>
      <w:pPr>
        <w:spacing w:after="120" w:before="0"/>
        <w:ind w:left="863"/>
        <w:jc w:val="both"/>
      </w:pPr>
      <w:r>
        <w:rPr>
          <w:rFonts w:ascii="Garamond" w:cs="Garamond" w:eastAsia="Garamond" w:hAnsi="Garamond"/>
          <w:color w:val="2a2520"/>
          <w:sz w:val="22"/>
          <w:szCs w:val="22"/>
        </w:rPr>
        <w:t xml:space="preserve">The 8-year maximum — no PM may serve more than 8 consecutive years. After 8 years, the PM must stand down even if the House would re-elect them. The 8-year maximum and the constructive vote operate independently — a PM reaching 8 years is replaced through a House election of a successor.</w:t>
      </w:r>
    </w:p>
    <w:p>
      <w:pPr>
        <w:spacing w:after="60" w:before="200"/>
        <w:ind w:left="863"/>
      </w:pPr>
      <w:r>
        <w:rPr>
          <w:rFonts w:ascii="Courier New" w:cs="Courier New" w:eastAsia="Courier New" w:hAnsi="Courier New"/>
          <w:b/>
          <w:bCs/>
          <w:color w:val="1B2A4A"/>
          <w:sz w:val="18"/>
          <w:szCs w:val="18"/>
        </w:rPr>
        <w:t xml:space="preserve">§2.3.c  </w:t>
      </w:r>
      <w:r>
        <w:rPr>
          <w:rFonts w:ascii="Garamond" w:cs="Garamond" w:eastAsia="Garamond" w:hAnsi="Garamond"/>
          <w:b/>
          <w:bCs/>
          <w:color w:val="1B2A4A"/>
          <w:sz w:val="22"/>
          <w:szCs w:val="22"/>
        </w:rPr>
        <w:t xml:space="preserve">PM Formation and Senate Designation</w:t>
      </w:r>
    </w:p>
    <w:p>
      <w:pPr>
        <w:spacing w:after="120" w:before="0"/>
        <w:ind w:left="863"/>
        <w:jc w:val="both"/>
      </w:pPr>
      <w:r>
        <w:rPr>
          <w:rFonts w:ascii="Garamond" w:cs="Garamond" w:eastAsia="Garamond" w:hAnsi="Garamond"/>
          <w:color w:val="2a2520"/>
          <w:sz w:val="22"/>
          <w:szCs w:val="22"/>
        </w:rPr>
        <w:t xml:space="preserve">The House elects the PM by absolute majority of full seated membership within 30 days of any general election. The House may attempt to elect a PM at any time. If the House has not elected a PM within 30 days, the SDACO continues as Caretaker PM. Where the House has not elected a PM within 30 days, the Senate may, by 2/3 supermajority of full seated membership, designate a serving House member as PM. A PM designated under this provision holds full constitutional PM authority and is subject to the same obligations, term limits, and removal procedures as a PM elected by the House, including constructive no-confidence under §2.3.a and the 8-year maximum under §2.3.b. If the House subsequently elects a PM by absolute majority, that election terminates the Senate designation. Where the House has not seated a PM within 30 days, the Legislative Inspectorate publishes a weekly report to the NRS naming each member's participation record — votes taken, candidates proposed, and each member's individual participation — forming the permanent constitutional accountability record for that term.</w:t>
      </w:r>
    </w:p>
    <w:p>
      <w:pPr>
        <w:spacing w:after="60" w:before="200"/>
        <w:ind w:left="431"/>
      </w:pPr>
      <w:r>
        <w:rPr>
          <w:rFonts w:ascii="Courier New" w:cs="Courier New" w:eastAsia="Courier New" w:hAnsi="Courier New"/>
          <w:b/>
          <w:bCs/>
          <w:color w:val="1B2A4A"/>
          <w:sz w:val="18"/>
          <w:szCs w:val="18"/>
        </w:rPr>
        <w:t xml:space="preserve">§2.4  </w:t>
      </w:r>
      <w:r>
        <w:rPr>
          <w:rFonts w:ascii="Garamond" w:cs="Garamond" w:eastAsia="Garamond" w:hAnsi="Garamond"/>
          <w:b/>
          <w:bCs/>
          <w:color w:val="1B2A4A"/>
          <w:sz w:val="22"/>
          <w:szCs w:val="22"/>
        </w:rPr>
        <w:t xml:space="preserve">Prime Minister — Legislative Instruments</w:t>
      </w:r>
    </w:p>
    <w:p>
      <w:pPr>
        <w:spacing w:after="120" w:before="0"/>
        <w:ind w:left="431"/>
        <w:jc w:val="both"/>
      </w:pPr>
      <w:r>
        <w:rPr>
          <w:rFonts w:ascii="Garamond" w:cs="Garamond" w:eastAsia="Garamond" w:hAnsi="Garamond"/>
          <w:color w:val="2a2520"/>
          <w:sz w:val="22"/>
          <w:szCs w:val="22"/>
        </w:rPr>
        <w:t xml:space="preserve">The PM holds two instruments for engaging the Legislature on enacted bills: the Suspensive Veto and the Fiscal Objection. These are tools of constitutional dialogue, not obstruction; the Legislature retains final authority in both cases.</w:t>
      </w:r>
    </w:p>
    <w:p>
      <w:pPr>
        <w:spacing w:after="60" w:before="200"/>
        <w:ind w:left="863"/>
      </w:pPr>
      <w:r>
        <w:rPr>
          <w:rFonts w:ascii="Courier New" w:cs="Courier New" w:eastAsia="Courier New" w:hAnsi="Courier New"/>
          <w:b/>
          <w:bCs/>
          <w:color w:val="1B2A4A"/>
          <w:sz w:val="18"/>
          <w:szCs w:val="18"/>
        </w:rPr>
        <w:t xml:space="preserve">§2.4.a  </w:t>
      </w:r>
      <w:r>
        <w:rPr>
          <w:rFonts w:ascii="Garamond" w:cs="Garamond" w:eastAsia="Garamond" w:hAnsi="Garamond"/>
          <w:b/>
          <w:bCs/>
          <w:color w:val="1B2A4A"/>
          <w:sz w:val="22"/>
          <w:szCs w:val="22"/>
        </w:rPr>
        <w:t xml:space="preserve">Suspensive Veto</w:t>
      </w:r>
    </w:p>
    <w:p>
      <w:pPr>
        <w:spacing w:after="120" w:before="0"/>
        <w:ind w:left="863"/>
        <w:jc w:val="both"/>
      </w:pPr>
      <w:r>
        <w:rPr>
          <w:rFonts w:ascii="Garamond" w:cs="Garamond" w:eastAsia="Garamond" w:hAnsi="Garamond"/>
          <w:color w:val="2a2520"/>
          <w:sz w:val="22"/>
          <w:szCs w:val="22"/>
        </w:rPr>
        <w:t xml:space="preserve">The PM may return any bill to the Legislature with a written Statement of Objection specifying the constitutional, fiscal, or operational grounds. The statement is recorded permanently on the NRS. The Legislature may override by 2/3 of both chambers simultaneously. The suspensive veto may not be used on: the annual budget; any bill the Legislature has certified as directly implementing a constitutional obligation; or any bill passed under the §2.8 Emergency Governance Protocol. If the Legislature does not hold an override vote within the session in which the bill was returned, the bill lapses. The PM may apply the suspensive veto to any single bill only once.</w:t>
      </w:r>
    </w:p>
    <w:p>
      <w:pPr>
        <w:spacing w:after="60" w:before="200"/>
        <w:ind w:left="863"/>
      </w:pPr>
      <w:r>
        <w:rPr>
          <w:rFonts w:ascii="Courier New" w:cs="Courier New" w:eastAsia="Courier New" w:hAnsi="Courier New"/>
          <w:b/>
          <w:bCs/>
          <w:color w:val="1B2A4A"/>
          <w:sz w:val="18"/>
          <w:szCs w:val="18"/>
        </w:rPr>
        <w:t xml:space="preserve">§2.4.b  </w:t>
      </w:r>
      <w:r>
        <w:rPr>
          <w:rFonts w:ascii="Garamond" w:cs="Garamond" w:eastAsia="Garamond" w:hAnsi="Garamond"/>
          <w:b/>
          <w:bCs/>
          <w:color w:val="1B2A4A"/>
          <w:sz w:val="22"/>
          <w:szCs w:val="22"/>
        </w:rPr>
        <w:t xml:space="preserve">Fiscal Objection</w:t>
      </w:r>
    </w:p>
    <w:p>
      <w:pPr>
        <w:spacing w:after="120" w:before="0"/>
        <w:ind w:left="863"/>
        <w:jc w:val="both"/>
      </w:pPr>
      <w:r>
        <w:rPr>
          <w:rFonts w:ascii="Garamond" w:cs="Garamond" w:eastAsia="Garamond" w:hAnsi="Garamond"/>
          <w:color w:val="2a2520"/>
          <w:sz w:val="22"/>
          <w:szCs w:val="22"/>
        </w:rPr>
        <w:t xml:space="preserve">A narrower tool than the Suspensive Veto. The PM may object to legislation on specific solvency grounds: the bill, if enacted, would cause or materially worsen a structural deficit beyond constitutional thresholds. Requires MA assessment within 21 days. House may override by simple majority after receiving the assessment.</w:t>
      </w:r>
    </w:p>
    <w:p>
      <w:pPr>
        <w:spacing w:after="60" w:before="200"/>
        <w:ind w:left="863"/>
      </w:pPr>
      <w:r>
        <w:rPr>
          <w:rFonts w:ascii="Courier New" w:cs="Courier New" w:eastAsia="Courier New" w:hAnsi="Courier New"/>
          <w:b/>
          <w:bCs/>
          <w:color w:val="1B2A4A"/>
          <w:sz w:val="18"/>
          <w:szCs w:val="18"/>
        </w:rPr>
        <w:t xml:space="preserve">§2.4.c  </w:t>
      </w:r>
      <w:r>
        <w:rPr>
          <w:rFonts w:ascii="Garamond" w:cs="Garamond" w:eastAsia="Garamond" w:hAnsi="Garamond"/>
          <w:b/>
          <w:bCs/>
          <w:color w:val="1B2A4A"/>
          <w:sz w:val="22"/>
          <w:szCs w:val="22"/>
        </w:rPr>
        <w:t xml:space="preserve">Deemed Enactment</w:t>
      </w:r>
    </w:p>
    <w:p>
      <w:pPr>
        <w:spacing w:after="120" w:before="0"/>
        <w:ind w:left="863"/>
        <w:jc w:val="both"/>
      </w:pPr>
      <w:r>
        <w:rPr>
          <w:rFonts w:ascii="Garamond" w:cs="Garamond" w:eastAsia="Garamond" w:hAnsi="Garamond"/>
          <w:color w:val="2a2520"/>
          <w:sz w:val="22"/>
          <w:szCs w:val="22"/>
        </w:rPr>
        <w:t xml:space="preserve">If the PM neither signs nor objects within the Legislative Review Period, the bill is automatically enacted. Silence is not a veto.</w:t>
      </w:r>
    </w:p>
    <w:p>
      <w:pPr>
        <w:spacing w:after="60" w:before="200"/>
        <w:ind w:left="431"/>
      </w:pPr>
      <w:r>
        <w:rPr>
          <w:rFonts w:ascii="Courier New" w:cs="Courier New" w:eastAsia="Courier New" w:hAnsi="Courier New"/>
          <w:b/>
          <w:bCs/>
          <w:color w:val="1B2A4A"/>
          <w:sz w:val="18"/>
          <w:szCs w:val="18"/>
        </w:rPr>
        <w:t xml:space="preserve">§2.5  </w:t>
      </w:r>
      <w:r>
        <w:rPr>
          <w:rFonts w:ascii="Garamond" w:cs="Garamond" w:eastAsia="Garamond" w:hAnsi="Garamond"/>
          <w:b/>
          <w:bCs/>
          <w:color w:val="1B2A4A"/>
          <w:sz w:val="22"/>
          <w:szCs w:val="22"/>
        </w:rPr>
        <w:t xml:space="preserve">Legislative Review Period</w:t>
      </w:r>
    </w:p>
    <w:p>
      <w:pPr>
        <w:spacing w:after="120" w:before="0"/>
        <w:ind w:left="431"/>
        <w:jc w:val="both"/>
      </w:pPr>
      <w:r>
        <w:rPr>
          <w:rFonts w:ascii="Garamond" w:cs="Garamond" w:eastAsia="Garamond" w:hAnsi="Garamond"/>
          <w:color w:val="2a2520"/>
          <w:sz w:val="22"/>
          <w:szCs w:val="22"/>
        </w:rPr>
        <w:t xml:space="preserve">Both executives hold a concurrent review period following final passage of any bill. The periods and their interaction are governed by this section.</w:t>
      </w:r>
    </w:p>
    <w:p>
      <w:pPr>
        <w:spacing w:after="60" w:before="200"/>
        <w:ind w:left="863"/>
      </w:pPr>
      <w:r>
        <w:rPr>
          <w:rFonts w:ascii="Courier New" w:cs="Courier New" w:eastAsia="Courier New" w:hAnsi="Courier New"/>
          <w:b/>
          <w:bCs/>
          <w:color w:val="1B2A4A"/>
          <w:sz w:val="18"/>
          <w:szCs w:val="18"/>
        </w:rPr>
        <w:t xml:space="preserve">§2.5.a  </w:t>
      </w:r>
      <w:r>
        <w:rPr>
          <w:rFonts w:ascii="Garamond" w:cs="Garamond" w:eastAsia="Garamond" w:hAnsi="Garamond"/>
          <w:b/>
          <w:bCs/>
          <w:color w:val="1B2A4A"/>
          <w:sz w:val="22"/>
          <w:szCs w:val="22"/>
        </w:rPr>
        <w:t xml:space="preserve">Legislative Review Period — Duration</w:t>
      </w:r>
    </w:p>
    <w:p>
      <w:pPr>
        <w:spacing w:after="120" w:before="0"/>
        <w:ind w:left="863"/>
        <w:jc w:val="both"/>
      </w:pPr>
      <w:r>
        <w:rPr>
          <w:rFonts w:ascii="Garamond" w:cs="Garamond" w:eastAsia="Garamond" w:hAnsi="Garamond"/>
          <w:color w:val="2a2520"/>
          <w:sz w:val="22"/>
          <w:szCs w:val="22"/>
        </w:rPr>
        <w:t xml:space="preserve">The presidential veto period may not exceed 20 days; the PM objection period may not exceed 45 days. The periods run concurrently from the date of final passage in both chambers. If neither executive acts within their respective period, the bill is deemed enacted. The President and PM may jointly agree to shorten a review period but may not extend it beyond the statutory maximum. Where both executives act on the same bill, the instruments operate in parallel. A legislative override of a Presidential veto restores the bill; any pending PM objection period continues from where it stands. Resolution of one executive's instrument does not moot the other's.</w:t>
      </w:r>
    </w:p>
    <w:p>
      <w:pPr>
        <w:spacing w:after="60" w:before="200"/>
        <w:ind w:left="431"/>
      </w:pPr>
      <w:r>
        <w:rPr>
          <w:rFonts w:ascii="Courier New" w:cs="Courier New" w:eastAsia="Courier New" w:hAnsi="Courier New"/>
          <w:b/>
          <w:bCs/>
          <w:color w:val="1B2A4A"/>
          <w:sz w:val="18"/>
          <w:szCs w:val="18"/>
        </w:rPr>
        <w:t xml:space="preserve">§2.6  </w:t>
      </w:r>
      <w:r>
        <w:rPr>
          <w:rFonts w:ascii="Garamond" w:cs="Garamond" w:eastAsia="Garamond" w:hAnsi="Garamond"/>
          <w:b/>
          <w:bCs/>
          <w:color w:val="1B2A4A"/>
          <w:sz w:val="22"/>
          <w:szCs w:val="22"/>
        </w:rPr>
        <w:t xml:space="preserve">Presidential Succession</w:t>
      </w:r>
    </w:p>
    <w:p>
      <w:pPr>
        <w:spacing w:after="120" w:before="0"/>
        <w:ind w:left="431"/>
        <w:jc w:val="both"/>
      </w:pPr>
      <w:r>
        <w:rPr>
          <w:rFonts w:ascii="Garamond" w:cs="Garamond" w:eastAsia="Garamond" w:hAnsi="Garamond"/>
          <w:color w:val="2a2520"/>
          <w:sz w:val="22"/>
          <w:szCs w:val="22"/>
        </w:rPr>
        <w:t xml:space="preserve">The President's succession framework covers two distinct situations: full succession where the Presidency becomes permanently vacant under §2.6.a, and temporary acting authority where the President is temporarily unable to exercise presidential functions under §2.6.b. Full succession vacates the Senate Speaker's Senate seat and triggers a special election; temporary acting authority does neither.</w:t>
      </w:r>
    </w:p>
    <w:p>
      <w:pPr>
        <w:spacing w:after="60" w:before="200"/>
        <w:ind w:left="863"/>
      </w:pPr>
      <w:r>
        <w:rPr>
          <w:rFonts w:ascii="Courier New" w:cs="Courier New" w:eastAsia="Courier New" w:hAnsi="Courier New"/>
          <w:b/>
          <w:bCs/>
          <w:color w:val="1B2A4A"/>
          <w:sz w:val="18"/>
          <w:szCs w:val="18"/>
        </w:rPr>
        <w:t xml:space="preserve">§2.6.a  </w:t>
      </w:r>
      <w:r>
        <w:rPr>
          <w:rFonts w:ascii="Garamond" w:cs="Garamond" w:eastAsia="Garamond" w:hAnsi="Garamond"/>
          <w:b/>
          <w:bCs/>
          <w:color w:val="1B2A4A"/>
          <w:sz w:val="22"/>
          <w:szCs w:val="22"/>
        </w:rPr>
        <w:t xml:space="preserve">Presidential Succession Line</w:t>
      </w:r>
    </w:p>
    <w:p>
      <w:pPr>
        <w:spacing w:after="120" w:before="0"/>
        <w:ind w:left="863"/>
        <w:jc w:val="both"/>
      </w:pPr>
      <w:r>
        <w:rPr>
          <w:rFonts w:ascii="Garamond" w:cs="Garamond" w:eastAsia="Garamond" w:hAnsi="Garamond"/>
          <w:color w:val="2a2520"/>
          <w:sz w:val="22"/>
          <w:szCs w:val="22"/>
        </w:rPr>
        <w:t xml:space="preserve">Full succession activates on Presidential death, resignation, removal, or certified permanent incapacity under §2.6.b. Authority transfers in order: (1) the Senate Speaker; (2) the Senate Deputy Speaker; (3) the most senior member of the Senate Armed Services Committee by years of Senate service. Where the Senate Speaker assumes the presidency — a permanent succession event — their Senate seat is immediately vacated and the Deputy Speaker assumes the Speaker role. A special presidential election must be held within 90 days of the vacancy. This seat vacation applies only to §2.6.a permanent succession; it does not apply to Temporary Acting Presidential Authority under §2.6.b.</w:t>
      </w:r>
    </w:p>
    <w:p>
      <w:pPr>
        <w:spacing w:after="60" w:before="200"/>
        <w:ind w:left="863"/>
      </w:pPr>
      <w:r>
        <w:rPr>
          <w:rFonts w:ascii="Courier New" w:cs="Courier New" w:eastAsia="Courier New" w:hAnsi="Courier New"/>
          <w:b/>
          <w:bCs/>
          <w:color w:val="1B2A4A"/>
          <w:sz w:val="18"/>
          <w:szCs w:val="18"/>
        </w:rPr>
        <w:t xml:space="preserve">§2.6.b  </w:t>
      </w:r>
      <w:r>
        <w:rPr>
          <w:rFonts w:ascii="Garamond" w:cs="Garamond" w:eastAsia="Garamond" w:hAnsi="Garamond"/>
          <w:b/>
          <w:bCs/>
          <w:color w:val="1B2A4A"/>
          <w:sz w:val="22"/>
          <w:szCs w:val="22"/>
        </w:rPr>
        <w:t xml:space="preserve">Temporary Acting Presidential Authority</w:t>
      </w:r>
    </w:p>
    <w:p>
      <w:pPr>
        <w:spacing w:after="120" w:before="0"/>
        <w:ind w:left="863"/>
        <w:jc w:val="both"/>
      </w:pPr>
      <w:r>
        <w:rPr>
          <w:rFonts w:ascii="Garamond" w:cs="Garamond" w:eastAsia="Garamond" w:hAnsi="Garamond"/>
          <w:color w:val="2a2520"/>
          <w:sz w:val="22"/>
          <w:szCs w:val="22"/>
        </w:rPr>
        <w:t xml:space="preserve">Temporary Acting Presidential Authority activates through one of two mechanisms. (a) Voluntary transfer: the President publishes a declaration of temporary transfer to the NRS specifying the reason and expected duration; Acting Presidential Authority activates at the moment of NRS publication. (b) Involuntary certification: where the President is suddenly incapacitated and cannot make a voluntary declaration, the PM and the Senate Speaker jointly certify the incapacity and publish the certification to the NRS within 6 hours; Acting Presidential Authority activates upon publication. Where the PM is next in the presidential succession line and therefore holds a direct interest in the transfer, the Deputy Speaker substitutes for the PM in the certification. During any period of Temporary Acting Presidential Authority: (1) the Senate Speaker exercises all constitutional powers of the presidential office, including Tier 1 through Tier 3 military authority, treaty functions, and intelligence oversight; (2) the Senate Speaker retains their Senate seat, which is not vacated; (3) the Deputy Speaker assumes the Senate's presiding functions and the Speaker's position in the presidential succession line for the duration; (4) no special presidential election is triggered; (5) the acting period does not constitute a succession event under §2.6.a and does not expend or initiate any presidential term. Temporary Acting Presidential Authority ends upon: the President publishing a restoration declaration to the NRS, at which point the President immediately resumes full authority and the Deputy Speaker reverts to their role; or the PM and the Senate Speaker jointly certifying and publishing that the incapacity has ended. Where Temporary Acting Presidential Authority extends beyond 90 consecutive days without restoration, the PM and Senate Speaker must jointly assess whether the incapacity has become permanent and publish their assessment to the NRS within 7 days of the 90-day mark. If they certify permanent incapacity, §2.6.a succession activates immediately — Acting Presidential Authority converts to full succession, the Speaker's Senate seat is vacated, and the Deputy Speaker assumes the Speaker role permanently. If they certify continued temporary incapacity, Acting Presidential Authority continues and the assessment repeats every 30 days until restoration or permanent certification. Failure to conduct and publish the mandatory 90-day assessment is a constitutional failure for both the PM and the Senate Speaker.</w:t>
      </w:r>
    </w:p>
    <w:p>
      <w:pPr>
        <w:spacing w:after="60" w:before="200"/>
        <w:ind w:left="863"/>
      </w:pPr>
      <w:r>
        <w:rPr>
          <w:rFonts w:ascii="Courier New" w:cs="Courier New" w:eastAsia="Courier New" w:hAnsi="Courier New"/>
          <w:b/>
          <w:bCs/>
          <w:color w:val="1B2A4A"/>
          <w:sz w:val="18"/>
          <w:szCs w:val="18"/>
        </w:rPr>
        <w:t xml:space="preserve">§2.6.c  </w:t>
      </w:r>
      <w:r>
        <w:rPr>
          <w:rFonts w:ascii="Garamond" w:cs="Garamond" w:eastAsia="Garamond" w:hAnsi="Garamond"/>
          <w:b/>
          <w:bCs/>
          <w:color w:val="1B2A4A"/>
          <w:sz w:val="22"/>
          <w:szCs w:val="22"/>
        </w:rPr>
        <w:t xml:space="preserve">Succession-Based Presidential Term</w:t>
      </w:r>
    </w:p>
    <w:p>
      <w:pPr>
        <w:spacing w:after="120" w:before="0"/>
        <w:ind w:left="863"/>
        <w:jc w:val="both"/>
      </w:pPr>
      <w:r>
        <w:rPr>
          <w:rFonts w:ascii="Garamond" w:cs="Garamond" w:eastAsia="Garamond" w:hAnsi="Garamond"/>
          <w:color w:val="2a2520"/>
          <w:sz w:val="22"/>
          <w:szCs w:val="22"/>
        </w:rPr>
        <w:t xml:space="preserve">A person who assumes the presidency by succession under §2.6.a does not thereby expend their single non-renewable term. They must stand for election at the next regular National Election Day presidential cycle, or at a special presidential election called by the Legislature within 90 days of succession, to continue serving beyond the succession period. If elected, that term constitutes their single non-renewable term. If not elected, the next person in the succession line assumes the office or a new election is called.</w:t>
      </w:r>
    </w:p>
    <w:p>
      <w:pPr>
        <w:spacing w:after="60" w:before="200"/>
        <w:ind w:left="431"/>
      </w:pPr>
      <w:r>
        <w:rPr>
          <w:rFonts w:ascii="Courier New" w:cs="Courier New" w:eastAsia="Courier New" w:hAnsi="Courier New"/>
          <w:b/>
          <w:bCs/>
          <w:color w:val="1B2A4A"/>
          <w:sz w:val="18"/>
          <w:szCs w:val="18"/>
        </w:rPr>
        <w:t xml:space="preserve">§2.7  </w:t>
      </w:r>
      <w:r>
        <w:rPr>
          <w:rFonts w:ascii="Garamond" w:cs="Garamond" w:eastAsia="Garamond" w:hAnsi="Garamond"/>
          <w:b/>
          <w:bCs/>
          <w:color w:val="1B2A4A"/>
          <w:sz w:val="22"/>
          <w:szCs w:val="22"/>
        </w:rPr>
        <w:t xml:space="preserve">Executive Transparency and NRS Obligations</w:t>
      </w:r>
    </w:p>
    <w:p>
      <w:pPr>
        <w:spacing w:after="120" w:before="0"/>
        <w:ind w:left="431"/>
        <w:jc w:val="both"/>
      </w:pPr>
      <w:r>
        <w:rPr>
          <w:rFonts w:ascii="Garamond" w:cs="Garamond" w:eastAsia="Garamond" w:hAnsi="Garamond"/>
          <w:color w:val="2a2520"/>
          <w:sz w:val="22"/>
          <w:szCs w:val="22"/>
        </w:rPr>
        <w:t xml:space="preserve">Both executives must publish all official acts — orders, certifications, vetoes, objections, determinations — to the NRS within 48 hours of issuance. No executive may classify, delay, or suppress publication of an act this constitution requires to be published. Failure to publish within 48 hours is a constitutional compliance breach; a late-published act is not void.</w:t>
      </w:r>
    </w:p>
    <w:p>
      <w:pPr>
        <w:spacing w:after="60" w:before="200"/>
        <w:ind w:left="431"/>
      </w:pPr>
      <w:r>
        <w:rPr>
          <w:rFonts w:ascii="Courier New" w:cs="Courier New" w:eastAsia="Courier New" w:hAnsi="Courier New"/>
          <w:b/>
          <w:bCs/>
          <w:color w:val="1B2A4A"/>
          <w:sz w:val="18"/>
          <w:szCs w:val="18"/>
        </w:rPr>
        <w:t xml:space="preserve">§2.8  </w:t>
      </w:r>
      <w:r>
        <w:rPr>
          <w:rFonts w:ascii="Garamond" w:cs="Garamond" w:eastAsia="Garamond" w:hAnsi="Garamond"/>
          <w:b/>
          <w:bCs/>
          <w:color w:val="1B2A4A"/>
          <w:sz w:val="22"/>
          <w:szCs w:val="22"/>
        </w:rPr>
        <w:t xml:space="preserve">Emergency Governance Protocol</w:t>
      </w:r>
    </w:p>
    <w:p>
      <w:pPr>
        <w:spacing w:after="120" w:before="0"/>
        <w:ind w:left="431"/>
        <w:jc w:val="both"/>
      </w:pPr>
      <w:r>
        <w:rPr>
          <w:rFonts w:ascii="Garamond" w:cs="Garamond" w:eastAsia="Garamond" w:hAnsi="Garamond"/>
          <w:color w:val="2a2520"/>
          <w:sz w:val="22"/>
          <w:szCs w:val="22"/>
        </w:rPr>
        <w:t xml:space="preserve">Where the Caretaker PM period extends beyond 90 days without a seated House — accounting for a 60-day election period and a 30-day seating grace period — the Senate automatically assumes joint emergency legislative authority by simple majority for three functions only: election administration, Basic Needs funding continuity, and active national security obligations. All Senate emergency actions under this provision require co-signature of the Caretaker PM and are published to the NRS. This authority expires automatically the moment a new House is seated.</w:t>
      </w:r>
    </w:p>
    <w:p>
      <w:pPr>
        <w:spacing w:after="60" w:before="200"/>
        <w:ind w:left="863"/>
      </w:pPr>
      <w:r>
        <w:rPr>
          <w:rFonts w:ascii="Courier New" w:cs="Courier New" w:eastAsia="Courier New" w:hAnsi="Courier New"/>
          <w:b/>
          <w:bCs/>
          <w:color w:val="1B2A4A"/>
          <w:sz w:val="18"/>
          <w:szCs w:val="18"/>
        </w:rPr>
        <w:t xml:space="preserve">§2.8.a  </w:t>
      </w:r>
      <w:r>
        <w:rPr>
          <w:rFonts w:ascii="Garamond" w:cs="Garamond" w:eastAsia="Garamond" w:hAnsi="Garamond"/>
          <w:b/>
          <w:bCs/>
          <w:color w:val="1B2A4A"/>
          <w:sz w:val="22"/>
          <w:szCs w:val="22"/>
        </w:rPr>
        <w:t xml:space="preserve">Expedited Activation</w:t>
      </w:r>
    </w:p>
    <w:p>
      <w:pPr>
        <w:spacing w:after="120" w:before="0"/>
        <w:ind w:left="863"/>
        <w:jc w:val="both"/>
      </w:pPr>
      <w:r>
        <w:rPr>
          <w:rFonts w:ascii="Garamond" w:cs="Garamond" w:eastAsia="Garamond" w:hAnsi="Garamond"/>
          <w:color w:val="2a2520"/>
          <w:sz w:val="22"/>
          <w:szCs w:val="22"/>
        </w:rPr>
        <w:t xml:space="preserve">Where the Legislature has been physically unable to convene due to an attack on the seat of government or other catastrophic external event, the 90-day waiting period of §2.8 is waived. Expedited activation requires joint certification by the Caretaker PM and the most senior available Supreme Court justice, published to the NRS, stating that the Legislature cannot convene due to catastrophic external circumstances. Upon such certification, the Senate may immediately assume the three emergency functions of §2.8 by majority of surviving members. Expedited activation expires automatically upon the House maintaining quorum and electing a Speaker.</w:t>
      </w:r>
    </w:p>
    <w:p>
      <w:pPr>
        <w:spacing w:after="60" w:before="200"/>
        <w:ind w:left="431"/>
      </w:pPr>
      <w:r>
        <w:rPr>
          <w:rFonts w:ascii="Courier New" w:cs="Courier New" w:eastAsia="Courier New" w:hAnsi="Courier New"/>
          <w:b/>
          <w:bCs/>
          <w:color w:val="1B2A4A"/>
          <w:sz w:val="18"/>
          <w:szCs w:val="18"/>
        </w:rPr>
        <w:t xml:space="preserve">§2.9  </w:t>
      </w:r>
      <w:r>
        <w:rPr>
          <w:rFonts w:ascii="Garamond" w:cs="Garamond" w:eastAsia="Garamond" w:hAnsi="Garamond"/>
          <w:b/>
          <w:bCs/>
          <w:color w:val="1B2A4A"/>
          <w:sz w:val="22"/>
          <w:szCs w:val="22"/>
        </w:rPr>
        <w:t xml:space="preserve">Clemency and Amnesty</w:t>
      </w:r>
    </w:p>
    <w:p>
      <w:pPr>
        <w:spacing w:after="120" w:before="0"/>
        <w:ind w:left="431"/>
        <w:jc w:val="both"/>
      </w:pPr>
      <w:r>
        <w:rPr>
          <w:rFonts w:ascii="Garamond" w:cs="Garamond" w:eastAsia="Garamond" w:hAnsi="Garamond"/>
          <w:color w:val="2a2520"/>
          <w:sz w:val="22"/>
          <w:szCs w:val="22"/>
        </w:rPr>
        <w:t xml:space="preserve">The pardon power is constitutionally divided and constrained. Clemency may only be granted within each executive's domain, with full transparency, and subject to cross-chamber review. Presidential clemency is subject to cross-chamber review under §2.9.c. Self-clemency is absolutely prohibited for all constitutional officers.</w:t>
      </w:r>
    </w:p>
    <w:p>
      <w:pPr>
        <w:spacing w:after="60" w:before="200"/>
        <w:ind w:left="863"/>
      </w:pPr>
      <w:r>
        <w:rPr>
          <w:rFonts w:ascii="Courier New" w:cs="Courier New" w:eastAsia="Courier New" w:hAnsi="Courier New"/>
          <w:b/>
          <w:bCs/>
          <w:color w:val="1B2A4A"/>
          <w:sz w:val="18"/>
          <w:szCs w:val="18"/>
        </w:rPr>
        <w:t xml:space="preserve">§2.9.a  </w:t>
      </w:r>
      <w:r>
        <w:rPr>
          <w:rFonts w:ascii="Garamond" w:cs="Garamond" w:eastAsia="Garamond" w:hAnsi="Garamond"/>
          <w:b/>
          <w:bCs/>
          <w:color w:val="1B2A4A"/>
          <w:sz w:val="22"/>
          <w:szCs w:val="22"/>
        </w:rPr>
        <w:t xml:space="preserve">Legislative Amnesty</w:t>
      </w:r>
    </w:p>
    <w:p>
      <w:pPr>
        <w:spacing w:after="120" w:before="0"/>
        <w:ind w:left="863"/>
        <w:jc w:val="both"/>
      </w:pPr>
      <w:r>
        <w:rPr>
          <w:rFonts w:ascii="Garamond" w:cs="Garamond" w:eastAsia="Garamond" w:hAnsi="Garamond"/>
          <w:color w:val="2a2520"/>
          <w:sz w:val="22"/>
          <w:szCs w:val="22"/>
        </w:rPr>
        <w:t xml:space="preserve">Only the Legislature may grant group amnesty, by simple majority of both chambers. No executive may grant group amnesty. Cannot extend to constitutional violations, official misconduct offenses, or crimes against the fundamental rights of §1.3 and §1.4. Subject to judicial review within 60 days of enactment.</w:t>
      </w:r>
    </w:p>
    <w:p>
      <w:pPr>
        <w:spacing w:after="60" w:before="200"/>
        <w:ind w:left="863"/>
      </w:pPr>
      <w:r>
        <w:rPr>
          <w:rFonts w:ascii="Courier New" w:cs="Courier New" w:eastAsia="Courier New" w:hAnsi="Courier New"/>
          <w:b/>
          <w:bCs/>
          <w:color w:val="1B2A4A"/>
          <w:sz w:val="18"/>
          <w:szCs w:val="18"/>
        </w:rPr>
        <w:t xml:space="preserve">§2.9.b  </w:t>
      </w:r>
      <w:r>
        <w:rPr>
          <w:rFonts w:ascii="Garamond" w:cs="Garamond" w:eastAsia="Garamond" w:hAnsi="Garamond"/>
          <w:b/>
          <w:bCs/>
          <w:color w:val="1B2A4A"/>
          <w:sz w:val="22"/>
          <w:szCs w:val="22"/>
        </w:rPr>
        <w:t xml:space="preserve">Self-Clemency Absolute Prohibition</w:t>
      </w:r>
    </w:p>
    <w:p>
      <w:pPr>
        <w:spacing w:after="120" w:before="0"/>
        <w:ind w:left="863"/>
        <w:jc w:val="both"/>
      </w:pPr>
      <w:r>
        <w:rPr>
          <w:rFonts w:ascii="Garamond" w:cs="Garamond" w:eastAsia="Garamond" w:hAnsi="Garamond"/>
          <w:color w:val="2a2520"/>
          <w:sz w:val="22"/>
          <w:szCs w:val="22"/>
        </w:rPr>
        <w:t xml:space="preserve">Self-clemency is absolutely prohibited. No elected or appointed official may grant clemency to themselves or to any person whose conviction, if enforced, would directly benefit the official financially, politically, or personally. An attempted self-clemency act is constitutionally void and itself a constitutional violation.</w:t>
      </w:r>
    </w:p>
    <w:p>
      <w:pPr>
        <w:spacing w:after="60" w:before="200"/>
        <w:ind w:left="863"/>
      </w:pPr>
      <w:r>
        <w:rPr>
          <w:rFonts w:ascii="Courier New" w:cs="Courier New" w:eastAsia="Courier New" w:hAnsi="Courier New"/>
          <w:b/>
          <w:bCs/>
          <w:color w:val="1B2A4A"/>
          <w:sz w:val="18"/>
          <w:szCs w:val="18"/>
        </w:rPr>
        <w:t xml:space="preserve">§2.9.c  </w:t>
      </w:r>
      <w:r>
        <w:rPr>
          <w:rFonts w:ascii="Garamond" w:cs="Garamond" w:eastAsia="Garamond" w:hAnsi="Garamond"/>
          <w:b/>
          <w:bCs/>
          <w:color w:val="1B2A4A"/>
          <w:sz w:val="22"/>
          <w:szCs w:val="22"/>
        </w:rPr>
        <w:t xml:space="preserve">Cross-Chamber Clemency Review</w:t>
      </w:r>
    </w:p>
    <w:p>
      <w:pPr>
        <w:spacing w:after="120" w:before="0"/>
        <w:ind w:left="863"/>
        <w:jc w:val="both"/>
      </w:pPr>
      <w:r>
        <w:rPr>
          <w:rFonts w:ascii="Garamond" w:cs="Garamond" w:eastAsia="Garamond" w:hAnsi="Garamond"/>
          <w:color w:val="2a2520"/>
          <w:sz w:val="22"/>
          <w:szCs w:val="22"/>
        </w:rPr>
        <w:t xml:space="preserve">Every clemency grant — whether by the President under §2.1.g or by the PM under §2.2.f — is subject to cross-chamber legislative review. The Senate reviews PM clemency grants. The House reviews Presidential clemency grants. Within 7 days of any grant, the granting executive files a written explanatory report with the Executive Inspectorate stating: the identity of the recipient, the nature of the offense pardoned, the grounds for the grant, and any relevant circumstances the executive considered. The EI reviews the report for factual accuracy and completeness within 14 days and publishes its findings to the NRS. The reviewing chamber then has 45 days from the date of EI publication to vote to disapprove the grant by simple majority of those present and voting. If no disapproval vote is held within the 45-day period, the grant is deemed approved and takes full effect. If the reviewing chamber votes to disapprove, the grant is void and the original sentence or legal status is reinstated. Where a grant is voided by disapproval, the executive may not resubmit clemency for the same recipient for one year from the date of the disapproval vote. The EI pre-grant factual background report required under §2.1.g and §2.2.f is distinct from the executive's post-grant explanatory report required by this provision — both are published to the NRS and together form the complete clemency record for any grant. The reviewing chamber's 45-day period begins from the date of EI publication. Neither executive may grant clemency for offenses committed within the other executive's domain; any such grant is void without requiring a disapproval vote.</w:t>
      </w:r>
    </w:p>
    <w:p>
      <w:pPr>
        <w:spacing w:after="60" w:before="200"/>
        <w:ind w:left="431"/>
      </w:pPr>
      <w:r>
        <w:rPr>
          <w:rFonts w:ascii="Courier New" w:cs="Courier New" w:eastAsia="Courier New" w:hAnsi="Courier New"/>
          <w:b/>
          <w:bCs/>
          <w:color w:val="1B2A4A"/>
          <w:sz w:val="18"/>
          <w:szCs w:val="18"/>
        </w:rPr>
        <w:t xml:space="preserve">§2.10  </w:t>
      </w:r>
      <w:r>
        <w:rPr>
          <w:rFonts w:ascii="Garamond" w:cs="Garamond" w:eastAsia="Garamond" w:hAnsi="Garamond"/>
          <w:b/>
          <w:bCs/>
          <w:color w:val="1B2A4A"/>
          <w:sz w:val="22"/>
          <w:szCs w:val="22"/>
        </w:rPr>
        <w:t xml:space="preserve">Presidential Removal — Two Political Tracks</w:t>
      </w:r>
    </w:p>
    <w:p>
      <w:pPr>
        <w:spacing w:after="120" w:before="0"/>
        <w:ind w:left="431"/>
        <w:jc w:val="both"/>
      </w:pPr>
      <w:r>
        <w:rPr>
          <w:rFonts w:ascii="Garamond" w:cs="Garamond" w:eastAsia="Garamond" w:hAnsi="Garamond"/>
          <w:color w:val="2a2520"/>
          <w:sz w:val="22"/>
          <w:szCs w:val="22"/>
        </w:rPr>
        <w:t xml:space="preserve">The President may be removed on two independent tracks. The legislative track requires 2/3 of both chambers simultaneously following Inspectorate-certified findings. The popular track requires a Senate majority referral to a national recall referendum under §2.10.b. Both tracks are governed by this section.</w:t>
      </w:r>
    </w:p>
    <w:p>
      <w:pPr>
        <w:spacing w:after="60" w:before="200"/>
        <w:ind w:left="863"/>
      </w:pPr>
      <w:r>
        <w:rPr>
          <w:rFonts w:ascii="Courier New" w:cs="Courier New" w:eastAsia="Courier New" w:hAnsi="Courier New"/>
          <w:b/>
          <w:bCs/>
          <w:color w:val="1B2A4A"/>
          <w:sz w:val="18"/>
          <w:szCs w:val="18"/>
        </w:rPr>
        <w:t xml:space="preserve">§2.10.a  </w:t>
      </w:r>
      <w:r>
        <w:rPr>
          <w:rFonts w:ascii="Garamond" w:cs="Garamond" w:eastAsia="Garamond" w:hAnsi="Garamond"/>
          <w:b/>
          <w:bCs/>
          <w:color w:val="1B2A4A"/>
          <w:sz w:val="22"/>
          <w:szCs w:val="22"/>
        </w:rPr>
        <w:t xml:space="preserve">Legislative Removal</w:t>
      </w:r>
    </w:p>
    <w:p>
      <w:pPr>
        <w:spacing w:after="120" w:before="0"/>
        <w:ind w:left="863"/>
        <w:jc w:val="both"/>
      </w:pPr>
      <w:r>
        <w:rPr>
          <w:rFonts w:ascii="Garamond" w:cs="Garamond" w:eastAsia="Garamond" w:hAnsi="Garamond"/>
          <w:color w:val="2a2520"/>
          <w:sz w:val="22"/>
          <w:szCs w:val="22"/>
        </w:rPr>
        <w:t xml:space="preserve">Legislative removal grounds: verified constitutional breach, demonstrated permanent incapacity, or conviction for a disqualifying criminal offense. The LI and EI must jointly certify the grounds before a removal vote can proceed.</w:t>
      </w:r>
    </w:p>
    <w:p>
      <w:pPr>
        <w:spacing w:after="60" w:before="200"/>
        <w:ind w:left="863"/>
      </w:pPr>
      <w:r>
        <w:rPr>
          <w:rFonts w:ascii="Courier New" w:cs="Courier New" w:eastAsia="Courier New" w:hAnsi="Courier New"/>
          <w:b/>
          <w:bCs/>
          <w:color w:val="1B2A4A"/>
          <w:sz w:val="18"/>
          <w:szCs w:val="18"/>
        </w:rPr>
        <w:t xml:space="preserve">§2.10.b  </w:t>
      </w:r>
      <w:r>
        <w:rPr>
          <w:rFonts w:ascii="Garamond" w:cs="Garamond" w:eastAsia="Garamond" w:hAnsi="Garamond"/>
          <w:b/>
          <w:bCs/>
          <w:color w:val="1B2A4A"/>
          <w:sz w:val="22"/>
          <w:szCs w:val="22"/>
        </w:rPr>
        <w:t xml:space="preserve">Senate Referral to Popular Recall</w:t>
      </w:r>
    </w:p>
    <w:p>
      <w:pPr>
        <w:spacing w:after="120" w:before="0"/>
        <w:ind w:left="863"/>
        <w:jc w:val="both"/>
      </w:pPr>
      <w:r>
        <w:rPr>
          <w:rFonts w:ascii="Garamond" w:cs="Garamond" w:eastAsia="Garamond" w:hAnsi="Garamond"/>
          <w:color w:val="2a2520"/>
          <w:sz w:val="22"/>
          <w:szCs w:val="22"/>
        </w:rPr>
        <w:t xml:space="preserve">A simple majority of the full Senate membership may refer the question of presidential removal to a national recall referendum. The EC administers the referendum within 90 days of the Senate vote. The President is removed if 60% of votes cast are affirmative with at least 55% citizen participation. A failed referendum cannot be re-initiated within the same presidential term. The Senate Speaker assumes Acting Presidential Authority under §2.6.b from the date the Senate votes to refer until the referendum result is certified — the Speaker's Senate seat is not vacated during this period. If the referendum fails, the President resumes full authority immediately upon certification. If the referendum succeeds, §2.6.a permanent succession activates at the moment of result certification.</w:t>
      </w:r>
    </w:p>
    <w:p>
      <w:pPr>
        <w:spacing w:after="60" w:before="200"/>
        <w:ind w:left="863"/>
      </w:pPr>
      <w:r>
        <w:rPr>
          <w:rFonts w:ascii="Courier New" w:cs="Courier New" w:eastAsia="Courier New" w:hAnsi="Courier New"/>
          <w:b/>
          <w:bCs/>
          <w:color w:val="1B2A4A"/>
          <w:sz w:val="18"/>
          <w:szCs w:val="18"/>
        </w:rPr>
        <w:t xml:space="preserve">§2.10.c  </w:t>
      </w:r>
      <w:r>
        <w:rPr>
          <w:rFonts w:ascii="Garamond" w:cs="Garamond" w:eastAsia="Garamond" w:hAnsi="Garamond"/>
          <w:b/>
          <w:bCs/>
          <w:color w:val="1B2A4A"/>
          <w:sz w:val="22"/>
          <w:szCs w:val="22"/>
        </w:rPr>
        <w:t xml:space="preserve">One Referral Per Term</w:t>
      </w:r>
    </w:p>
    <w:p>
      <w:pPr>
        <w:spacing w:after="120" w:before="0"/>
        <w:ind w:left="863"/>
        <w:jc w:val="both"/>
      </w:pPr>
      <w:r>
        <w:rPr>
          <w:rFonts w:ascii="Garamond" w:cs="Garamond" w:eastAsia="Garamond" w:hAnsi="Garamond"/>
          <w:color w:val="2a2520"/>
          <w:sz w:val="22"/>
          <w:szCs w:val="22"/>
        </w:rPr>
        <w:t xml:space="preserve">No second Senate referral to popular recall within the same presidential term. One-shot rule prevents a hostile Senate from using repeated recall elections as attrition. After a failed recall, the President serves out their term with the NRS record intact.</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III — The Legislature</w:t>
      </w:r>
    </w:p>
    <w:p>
      <w:pPr>
        <w:spacing w:after="120"/>
      </w:pPr>
    </w:p>
    <w:p>
      <w:pPr>
        <w:spacing w:after="60" w:before="200"/>
        <w:ind w:left="431"/>
      </w:pPr>
      <w:r>
        <w:rPr>
          <w:rFonts w:ascii="Courier New" w:cs="Courier New" w:eastAsia="Courier New" w:hAnsi="Courier New"/>
          <w:b/>
          <w:bCs/>
          <w:color w:val="1B2A4A"/>
          <w:sz w:val="18"/>
          <w:szCs w:val="18"/>
        </w:rPr>
        <w:t xml:space="preserve">§3.1  </w:t>
      </w:r>
      <w:r>
        <w:rPr>
          <w:rFonts w:ascii="Garamond" w:cs="Garamond" w:eastAsia="Garamond" w:hAnsi="Garamond"/>
          <w:b/>
          <w:bCs/>
          <w:color w:val="1B2A4A"/>
          <w:sz w:val="22"/>
          <w:szCs w:val="22"/>
        </w:rPr>
        <w:t xml:space="preserve">The House of Representatives</w:t>
      </w:r>
    </w:p>
    <w:p>
      <w:pPr>
        <w:spacing w:after="120" w:before="0"/>
        <w:ind w:left="431"/>
        <w:jc w:val="both"/>
      </w:pPr>
      <w:r>
        <w:rPr>
          <w:rFonts w:ascii="Garamond" w:cs="Garamond" w:eastAsia="Garamond" w:hAnsi="Garamond"/>
          <w:color w:val="2a2520"/>
          <w:sz w:val="22"/>
          <w:szCs w:val="22"/>
        </w:rPr>
        <w:t xml:space="preserve">The House of Representatives is the proportional chamber of the Legislature — directly elected by citizens on the basis of population. All legislation originates in the House and the PM is elected and accountable to it.</w:t>
      </w:r>
    </w:p>
    <w:p>
      <w:pPr>
        <w:spacing w:after="60" w:before="200"/>
        <w:ind w:left="863"/>
      </w:pPr>
      <w:r>
        <w:rPr>
          <w:rFonts w:ascii="Courier New" w:cs="Courier New" w:eastAsia="Courier New" w:hAnsi="Courier New"/>
          <w:b/>
          <w:bCs/>
          <w:color w:val="1B2A4A"/>
          <w:sz w:val="18"/>
          <w:szCs w:val="18"/>
        </w:rPr>
        <w:t xml:space="preserve">§3.1.a  </w:t>
      </w:r>
      <w:r>
        <w:rPr>
          <w:rFonts w:ascii="Garamond" w:cs="Garamond" w:eastAsia="Garamond" w:hAnsi="Garamond"/>
          <w:b/>
          <w:bCs/>
          <w:color w:val="1B2A4A"/>
          <w:sz w:val="22"/>
          <w:szCs w:val="22"/>
        </w:rPr>
        <w:t xml:space="preserve">House Membership Floor</w:t>
      </w:r>
    </w:p>
    <w:p>
      <w:pPr>
        <w:spacing w:after="120" w:before="0"/>
        <w:ind w:left="863"/>
        <w:jc w:val="both"/>
      </w:pPr>
      <w:r>
        <w:rPr>
          <w:rFonts w:ascii="Garamond" w:cs="Garamond" w:eastAsia="Garamond" w:hAnsi="Garamond"/>
          <w:color w:val="2a2520"/>
          <w:sz w:val="22"/>
          <w:szCs w:val="22"/>
        </w:rPr>
        <w:t xml:space="preserve">The House has a minimum of one seat per State and a floor of one seat per 750,000 citizens, with final allocation determined by the LI formula following each census. The LI publishes the updated seat allocation to the NRS within 30 days of census completion. Where a reapportionment event reduces a State's seats, the reduction takes effect at the next general election — no sitting member's term is cut short by reapportionment.</w:t>
      </w:r>
    </w:p>
    <w:p>
      <w:pPr>
        <w:spacing w:after="60" w:before="200"/>
        <w:ind w:left="863"/>
      </w:pPr>
      <w:r>
        <w:rPr>
          <w:rFonts w:ascii="Courier New" w:cs="Courier New" w:eastAsia="Courier New" w:hAnsi="Courier New"/>
          <w:b/>
          <w:bCs/>
          <w:color w:val="1B2A4A"/>
          <w:sz w:val="18"/>
          <w:szCs w:val="18"/>
        </w:rPr>
        <w:t xml:space="preserve">§3.1.b  </w:t>
      </w:r>
      <w:r>
        <w:rPr>
          <w:rFonts w:ascii="Garamond" w:cs="Garamond" w:eastAsia="Garamond" w:hAnsi="Garamond"/>
          <w:b/>
          <w:bCs/>
          <w:color w:val="1B2A4A"/>
          <w:sz w:val="22"/>
          <w:szCs w:val="22"/>
        </w:rPr>
        <w:t xml:space="preserve">Census Authority</w:t>
      </w:r>
    </w:p>
    <w:p>
      <w:pPr>
        <w:spacing w:after="120" w:before="0"/>
        <w:ind w:left="863"/>
        <w:jc w:val="both"/>
      </w:pPr>
      <w:r>
        <w:rPr>
          <w:rFonts w:ascii="Garamond" w:cs="Garamond" w:eastAsia="Garamond" w:hAnsi="Garamond"/>
          <w:color w:val="2a2520"/>
          <w:sz w:val="22"/>
          <w:szCs w:val="22"/>
        </w:rPr>
        <w:t xml:space="preserve">The population census is conducted by the Legislative Inspectorate every ten years and whenever the Legislature requires reapportionment. Census methodology is published to the NRS before each census. Results are published to the NRS within 90 days of completion and used as the basis for House seat allocation.</w:t>
      </w:r>
    </w:p>
    <w:p>
      <w:pPr>
        <w:spacing w:after="60" w:before="200"/>
        <w:ind w:left="863"/>
      </w:pPr>
      <w:r>
        <w:rPr>
          <w:rFonts w:ascii="Courier New" w:cs="Courier New" w:eastAsia="Courier New" w:hAnsi="Courier New"/>
          <w:b/>
          <w:bCs/>
          <w:color w:val="1B2A4A"/>
          <w:sz w:val="18"/>
          <w:szCs w:val="18"/>
        </w:rPr>
        <w:t xml:space="preserve">§3.1.c  </w:t>
      </w:r>
      <w:r>
        <w:rPr>
          <w:rFonts w:ascii="Garamond" w:cs="Garamond" w:eastAsia="Garamond" w:hAnsi="Garamond"/>
          <w:b/>
          <w:bCs/>
          <w:color w:val="1B2A4A"/>
          <w:sz w:val="22"/>
          <w:szCs w:val="22"/>
        </w:rPr>
        <w:t xml:space="preserve">Single-Subject Rule</w:t>
      </w:r>
    </w:p>
    <w:p>
      <w:pPr>
        <w:spacing w:after="120" w:before="0"/>
        <w:ind w:left="863"/>
        <w:jc w:val="both"/>
      </w:pPr>
      <w:r>
        <w:rPr>
          <w:rFonts w:ascii="Garamond" w:cs="Garamond" w:eastAsia="Garamond" w:hAnsi="Garamond"/>
          <w:color w:val="2a2520"/>
          <w:sz w:val="22"/>
          <w:szCs w:val="22"/>
        </w:rPr>
        <w:t xml:space="preserve">Every bill must address a single, clearly defined subject. Self-executing: a court finding that a bill addresses multiple unrelated subjects voids the entire act. The LI publishes a germaneness analysis for any amended bill returned to the House. No riders, no logrolling through combined legislation. The rule applies to the final text — a bill that begins as single-subject but picks up unrelated amendments in the Senate can still be voided.</w:t>
      </w:r>
    </w:p>
    <w:p>
      <w:pPr>
        <w:spacing w:after="60" w:before="200"/>
        <w:ind w:left="863"/>
      </w:pPr>
      <w:r>
        <w:rPr>
          <w:rFonts w:ascii="Courier New" w:cs="Courier New" w:eastAsia="Courier New" w:hAnsi="Courier New"/>
          <w:b/>
          <w:bCs/>
          <w:color w:val="1B2A4A"/>
          <w:sz w:val="18"/>
          <w:szCs w:val="18"/>
        </w:rPr>
        <w:t xml:space="preserve">§3.1.d  </w:t>
      </w:r>
      <w:r>
        <w:rPr>
          <w:rFonts w:ascii="Garamond" w:cs="Garamond" w:eastAsia="Garamond" w:hAnsi="Garamond"/>
          <w:b/>
          <w:bCs/>
          <w:color w:val="1B2A4A"/>
          <w:sz w:val="22"/>
          <w:szCs w:val="22"/>
        </w:rPr>
        <w:t xml:space="preserve">Bill Exposure</w:t>
      </w:r>
    </w:p>
    <w:p>
      <w:pPr>
        <w:spacing w:after="120" w:before="0"/>
        <w:ind w:left="863"/>
        <w:jc w:val="both"/>
      </w:pPr>
      <w:r>
        <w:rPr>
          <w:rFonts w:ascii="Garamond" w:cs="Garamond" w:eastAsia="Garamond" w:hAnsi="Garamond"/>
          <w:color w:val="2a2520"/>
          <w:sz w:val="22"/>
          <w:szCs w:val="22"/>
        </w:rPr>
        <w:t xml:space="preserve">The full text of every bill must be published to the NRS for the minimum exposure period (Legislature defines by statute, not less than 7 days) before any final passage vote. A substantially amended bill resets the exposure clock.</w:t>
      </w:r>
    </w:p>
    <w:p>
      <w:pPr>
        <w:spacing w:after="60" w:before="200"/>
        <w:ind w:left="863"/>
      </w:pPr>
      <w:r>
        <w:rPr>
          <w:rFonts w:ascii="Courier New" w:cs="Courier New" w:eastAsia="Courier New" w:hAnsi="Courier New"/>
          <w:b/>
          <w:bCs/>
          <w:color w:val="1B2A4A"/>
          <w:sz w:val="18"/>
          <w:szCs w:val="18"/>
        </w:rPr>
        <w:t xml:space="preserve">§3.1.e  </w:t>
      </w:r>
      <w:r>
        <w:rPr>
          <w:rFonts w:ascii="Garamond" w:cs="Garamond" w:eastAsia="Garamond" w:hAnsi="Garamond"/>
          <w:b/>
          <w:bCs/>
          <w:color w:val="1B2A4A"/>
          <w:sz w:val="22"/>
          <w:szCs w:val="22"/>
        </w:rPr>
        <w:t xml:space="preserve">Legislative Calendar and Session</w:t>
      </w:r>
    </w:p>
    <w:p>
      <w:pPr>
        <w:spacing w:after="120" w:before="0"/>
        <w:ind w:left="863"/>
        <w:jc w:val="both"/>
      </w:pPr>
      <w:r>
        <w:rPr>
          <w:rFonts w:ascii="Garamond" w:cs="Garamond" w:eastAsia="Garamond" w:hAnsi="Garamond"/>
          <w:color w:val="2a2520"/>
          <w:sz w:val="22"/>
          <w:szCs w:val="22"/>
        </w:rPr>
        <w:t xml:space="preserve">The Legislature must sit for a minimum number of days per year defined by statute. Emergency sessions may be called by the PM or by petition of 1/3 of either chamber. Prevents pocket-session governance — the Legislature cannot be prorogued into ineffectiveness.</w:t>
      </w:r>
    </w:p>
    <w:p>
      <w:pPr>
        <w:spacing w:after="60" w:before="200"/>
        <w:ind w:left="863"/>
      </w:pPr>
      <w:r>
        <w:rPr>
          <w:rFonts w:ascii="Courier New" w:cs="Courier New" w:eastAsia="Courier New" w:hAnsi="Courier New"/>
          <w:b/>
          <w:bCs/>
          <w:color w:val="1B2A4A"/>
          <w:sz w:val="18"/>
          <w:szCs w:val="18"/>
        </w:rPr>
        <w:t xml:space="preserve">§3.1.f  </w:t>
      </w:r>
      <w:r>
        <w:rPr>
          <w:rFonts w:ascii="Garamond" w:cs="Garamond" w:eastAsia="Garamond" w:hAnsi="Garamond"/>
          <w:b/>
          <w:bCs/>
          <w:color w:val="1B2A4A"/>
          <w:sz w:val="22"/>
          <w:szCs w:val="22"/>
        </w:rPr>
        <w:t xml:space="preserve">Legislative Compensation and Disclosure</w:t>
      </w:r>
    </w:p>
    <w:p>
      <w:pPr>
        <w:spacing w:after="120" w:before="0"/>
        <w:ind w:left="863"/>
        <w:jc w:val="both"/>
      </w:pPr>
      <w:r>
        <w:rPr>
          <w:rFonts w:ascii="Garamond" w:cs="Garamond" w:eastAsia="Garamond" w:hAnsi="Garamond"/>
          <w:color w:val="2a2520"/>
          <w:sz w:val="22"/>
          <w:szCs w:val="22"/>
        </w:rPr>
        <w:t xml:space="preserve">Legislative compensation is set by the LI on a formula tied to median citizen income, not by the Legislature itself. All financial interests of members must be disclosed to the EI and published to the NRS. The compensation formula prevents legislators from voting themselves raises.</w:t>
      </w:r>
    </w:p>
    <w:p>
      <w:pPr>
        <w:spacing w:after="60" w:before="200"/>
        <w:ind w:left="863"/>
      </w:pPr>
      <w:r>
        <w:rPr>
          <w:rFonts w:ascii="Courier New" w:cs="Courier New" w:eastAsia="Courier New" w:hAnsi="Courier New"/>
          <w:b/>
          <w:bCs/>
          <w:color w:val="1B2A4A"/>
          <w:sz w:val="18"/>
          <w:szCs w:val="18"/>
        </w:rPr>
        <w:t xml:space="preserve">§3.1.g  </w:t>
      </w:r>
      <w:r>
        <w:rPr>
          <w:rFonts w:ascii="Garamond" w:cs="Garamond" w:eastAsia="Garamond" w:hAnsi="Garamond"/>
          <w:b/>
          <w:bCs/>
          <w:color w:val="1B2A4A"/>
          <w:sz w:val="22"/>
          <w:szCs w:val="22"/>
        </w:rPr>
        <w:t xml:space="preserve">House Term Limits</w:t>
      </w:r>
    </w:p>
    <w:p>
      <w:pPr>
        <w:spacing w:after="120" w:before="0"/>
        <w:ind w:left="863"/>
        <w:jc w:val="both"/>
      </w:pPr>
      <w:r>
        <w:rPr>
          <w:rFonts w:ascii="Garamond" w:cs="Garamond" w:eastAsia="Garamond" w:hAnsi="Garamond"/>
          <w:color w:val="2a2520"/>
          <w:sz w:val="22"/>
          <w:szCs w:val="22"/>
        </w:rPr>
        <w:t xml:space="preserve">No person may serve more than six consecutive 2-year terms in the House — a maximum of 12 consecutive years. After six consecutive terms, the member must sit out one full House electoral cycle (2 years) before standing again. After the cooling-off period, the member is again eligible with no further cumulative lifetime restriction. A partial term served following a mid-term vacancy counts as a full consecutive term.</w:t>
      </w:r>
    </w:p>
    <w:p>
      <w:pPr>
        <w:spacing w:after="60" w:before="200"/>
        <w:ind w:left="431"/>
      </w:pPr>
      <w:r>
        <w:rPr>
          <w:rFonts w:ascii="Courier New" w:cs="Courier New" w:eastAsia="Courier New" w:hAnsi="Courier New"/>
          <w:b/>
          <w:bCs/>
          <w:color w:val="1B2A4A"/>
          <w:sz w:val="18"/>
          <w:szCs w:val="18"/>
        </w:rPr>
        <w:t xml:space="preserve">§3.2  </w:t>
      </w:r>
      <w:r>
        <w:rPr>
          <w:rFonts w:ascii="Garamond" w:cs="Garamond" w:eastAsia="Garamond" w:hAnsi="Garamond"/>
          <w:b/>
          <w:bCs/>
          <w:color w:val="1B2A4A"/>
          <w:sz w:val="22"/>
          <w:szCs w:val="22"/>
        </w:rPr>
        <w:t xml:space="preserve">The Senate — States as Constitutional Actors</w:t>
      </w:r>
    </w:p>
    <w:p>
      <w:pPr>
        <w:spacing w:after="120" w:before="0"/>
        <w:ind w:left="431"/>
        <w:jc w:val="both"/>
      </w:pPr>
      <w:r>
        <w:rPr>
          <w:rFonts w:ascii="Garamond" w:cs="Garamond" w:eastAsia="Garamond" w:hAnsi="Garamond"/>
          <w:color w:val="2a2520"/>
          <w:sz w:val="22"/>
          <w:szCs w:val="22"/>
        </w:rPr>
        <w:t xml:space="preserve">The Senate comprises two senators per State regardless of population, elected for 6-year staggered terms. The Senate serves as the checking chamber: it must act on every House-passed bill within the Legislature-defined period, may amend within the bounds of germaneness, and holds exclusive authority over judicial confirmations and treaty ratification.</w:t>
      </w:r>
    </w:p>
    <w:p>
      <w:pPr>
        <w:spacing w:after="60" w:before="200"/>
        <w:ind w:left="863"/>
      </w:pPr>
      <w:r>
        <w:rPr>
          <w:rFonts w:ascii="Courier New" w:cs="Courier New" w:eastAsia="Courier New" w:hAnsi="Courier New"/>
          <w:b/>
          <w:bCs/>
          <w:color w:val="1B2A4A"/>
          <w:sz w:val="18"/>
          <w:szCs w:val="18"/>
        </w:rPr>
        <w:t xml:space="preserve">§3.2.a  </w:t>
      </w:r>
      <w:r>
        <w:rPr>
          <w:rFonts w:ascii="Garamond" w:cs="Garamond" w:eastAsia="Garamond" w:hAnsi="Garamond"/>
          <w:b/>
          <w:bCs/>
          <w:color w:val="1B2A4A"/>
          <w:sz w:val="22"/>
          <w:szCs w:val="22"/>
        </w:rPr>
        <w:t xml:space="preserve">Senate Composition</w:t>
      </w:r>
    </w:p>
    <w:p>
      <w:pPr>
        <w:spacing w:after="120" w:before="0"/>
        <w:ind w:left="863"/>
        <w:jc w:val="both"/>
      </w:pPr>
      <w:r>
        <w:rPr>
          <w:rFonts w:ascii="Garamond" w:cs="Garamond" w:eastAsia="Garamond" w:hAnsi="Garamond"/>
          <w:color w:val="2a2520"/>
          <w:sz w:val="22"/>
          <w:szCs w:val="22"/>
        </w:rPr>
        <w:t xml:space="preserve">Two senators per State regardless of population, elected by citizens of that State for 6-year staggered terms. No Senator may serve more than two consecutive terms (12 consecutive years). After two consecutive terms, a Senator must sit out one full term (6 years) before standing for Senate election again. After the cooling-off period, the Senator is again eligible with no further cumulative lifetime restriction.</w:t>
      </w:r>
    </w:p>
    <w:p>
      <w:pPr>
        <w:spacing w:after="60" w:before="200"/>
        <w:ind w:left="863"/>
      </w:pPr>
      <w:r>
        <w:rPr>
          <w:rFonts w:ascii="Courier New" w:cs="Courier New" w:eastAsia="Courier New" w:hAnsi="Courier New"/>
          <w:b/>
          <w:bCs/>
          <w:color w:val="1B2A4A"/>
          <w:sz w:val="18"/>
          <w:szCs w:val="18"/>
        </w:rPr>
        <w:t xml:space="preserve">§3.2.b  </w:t>
      </w:r>
      <w:r>
        <w:rPr>
          <w:rFonts w:ascii="Garamond" w:cs="Garamond" w:eastAsia="Garamond" w:hAnsi="Garamond"/>
          <w:b/>
          <w:bCs/>
          <w:color w:val="1B2A4A"/>
          <w:sz w:val="22"/>
          <w:szCs w:val="22"/>
        </w:rPr>
        <w:t xml:space="preserve">Legislative Origination</w:t>
      </w:r>
    </w:p>
    <w:p>
      <w:pPr>
        <w:spacing w:after="120" w:before="0"/>
        <w:ind w:left="863"/>
        <w:jc w:val="both"/>
      </w:pPr>
      <w:r>
        <w:rPr>
          <w:rFonts w:ascii="Garamond" w:cs="Garamond" w:eastAsia="Garamond" w:hAnsi="Garamond"/>
          <w:color w:val="2a2520"/>
          <w:sz w:val="22"/>
          <w:szCs w:val="22"/>
        </w:rPr>
        <w:t xml:space="preserve">All legislation must originate in the House. The Senate reviews, may amend within the bounds of germaneness, and may pass or decline — but may not initiate any bill. All revenue measures, appropriations, and debt ceiling changes must additionally originate in the House; the Senate may amend fiscal legislation but cannot initiate it.</w:t>
      </w:r>
    </w:p>
    <w:p>
      <w:pPr>
        <w:spacing w:after="60" w:before="200"/>
        <w:ind w:left="863"/>
      </w:pPr>
      <w:r>
        <w:rPr>
          <w:rFonts w:ascii="Courier New" w:cs="Courier New" w:eastAsia="Courier New" w:hAnsi="Courier New"/>
          <w:b/>
          <w:bCs/>
          <w:color w:val="1B2A4A"/>
          <w:sz w:val="18"/>
          <w:szCs w:val="18"/>
        </w:rPr>
        <w:t xml:space="preserve">§3.2.c  </w:t>
      </w:r>
      <w:r>
        <w:rPr>
          <w:rFonts w:ascii="Garamond" w:cs="Garamond" w:eastAsia="Garamond" w:hAnsi="Garamond"/>
          <w:b/>
          <w:bCs/>
          <w:color w:val="1B2A4A"/>
          <w:sz w:val="22"/>
          <w:szCs w:val="22"/>
        </w:rPr>
        <w:t xml:space="preserve">Senate Must Act on Every House Bill</w:t>
      </w:r>
    </w:p>
    <w:p>
      <w:pPr>
        <w:spacing w:after="120" w:before="0"/>
        <w:ind w:left="863"/>
        <w:jc w:val="both"/>
      </w:pPr>
      <w:r>
        <w:rPr>
          <w:rFonts w:ascii="Garamond" w:cs="Garamond" w:eastAsia="Garamond" w:hAnsi="Garamond"/>
          <w:color w:val="2a2520"/>
          <w:sz w:val="22"/>
          <w:szCs w:val="22"/>
        </w:rPr>
        <w:t xml:space="preserve">Senate Must Act — the Senate cannot table or indefinitely delay House-passed legislation. Must vote within the Legislature-defined period. If it does not act, Deemed Approval triggers automatically. The Senate may, by simple majority vote before the original review period expires, extend its review period once by a duration defined by statute where a bill's complexity warrants expert testimony or additional committee review; the extension vote and its duration are published to the NRS. The Senate has three options: pass, amend (returned to House), or decline (bill dies). Inaction is not an option.</w:t>
      </w:r>
    </w:p>
    <w:p>
      <w:pPr>
        <w:spacing w:after="60" w:before="200"/>
        <w:ind w:left="863"/>
      </w:pPr>
      <w:r>
        <w:rPr>
          <w:rFonts w:ascii="Courier New" w:cs="Courier New" w:eastAsia="Courier New" w:hAnsi="Courier New"/>
          <w:b/>
          <w:bCs/>
          <w:color w:val="1B2A4A"/>
          <w:sz w:val="18"/>
          <w:szCs w:val="18"/>
        </w:rPr>
        <w:t xml:space="preserve">§3.2.d  </w:t>
      </w:r>
      <w:r>
        <w:rPr>
          <w:rFonts w:ascii="Garamond" w:cs="Garamond" w:eastAsia="Garamond" w:hAnsi="Garamond"/>
          <w:b/>
          <w:bCs/>
          <w:color w:val="1B2A4A"/>
          <w:sz w:val="22"/>
          <w:szCs w:val="22"/>
        </w:rPr>
        <w:t xml:space="preserve">Judicial Confirmation</w:t>
      </w:r>
    </w:p>
    <w:p>
      <w:pPr>
        <w:spacing w:after="120" w:before="0"/>
        <w:ind w:left="863"/>
        <w:jc w:val="both"/>
      </w:pPr>
      <w:r>
        <w:rPr>
          <w:rFonts w:ascii="Garamond" w:cs="Garamond" w:eastAsia="Garamond" w:hAnsi="Garamond"/>
          <w:color w:val="2a2520"/>
          <w:sz w:val="22"/>
          <w:szCs w:val="22"/>
        </w:rPr>
        <w:t xml:space="preserve">The Senate confirms all judicial appointments by a supermajority defined by statute (not less than 55%, not more than 67% of full Senate membership). Failure to vote within the confirmation period triggers Deemed Confirmation. The supermajority requirement ensures judicial appointments require cross-party support.</w:t>
      </w:r>
    </w:p>
    <w:p>
      <w:pPr>
        <w:spacing w:after="60" w:before="200"/>
        <w:ind w:left="863"/>
      </w:pPr>
      <w:r>
        <w:rPr>
          <w:rFonts w:ascii="Courier New" w:cs="Courier New" w:eastAsia="Courier New" w:hAnsi="Courier New"/>
          <w:b/>
          <w:bCs/>
          <w:color w:val="1B2A4A"/>
          <w:sz w:val="18"/>
          <w:szCs w:val="18"/>
        </w:rPr>
        <w:t xml:space="preserve">§3.2.e  </w:t>
      </w:r>
      <w:r>
        <w:rPr>
          <w:rFonts w:ascii="Garamond" w:cs="Garamond" w:eastAsia="Garamond" w:hAnsi="Garamond"/>
          <w:b/>
          <w:bCs/>
          <w:color w:val="1B2A4A"/>
          <w:sz w:val="22"/>
          <w:szCs w:val="22"/>
        </w:rPr>
        <w:t xml:space="preserve">Treaty Ratification</w:t>
      </w:r>
    </w:p>
    <w:p>
      <w:pPr>
        <w:spacing w:after="120" w:before="0"/>
        <w:ind w:left="863"/>
        <w:jc w:val="both"/>
      </w:pPr>
      <w:r>
        <w:rPr>
          <w:rFonts w:ascii="Garamond" w:cs="Garamond" w:eastAsia="Garamond" w:hAnsi="Garamond"/>
          <w:color w:val="2a2520"/>
          <w:sz w:val="22"/>
          <w:szCs w:val="22"/>
        </w:rPr>
        <w:t xml:space="preserve">Treaty ratification requires a 2/3 majority of the full seated Senate. Three sub-provisions govern treaty mechanics: §3.2.e.i (domestic provisions of unratified treaties that can stand independently as legislation), §3.2.e.ii (bilateral integrated treaties that cannot be disaggregated), and §3.2.e.iii (the presidential withdrawal process for ratified treaties).</w:t>
      </w:r>
    </w:p>
    <w:p>
      <w:pPr>
        <w:spacing w:after="60" w:before="200"/>
        <w:ind w:left="1296"/>
      </w:pPr>
      <w:r>
        <w:rPr>
          <w:rFonts w:ascii="Courier New" w:cs="Courier New" w:eastAsia="Courier New" w:hAnsi="Courier New"/>
          <w:b/>
          <w:bCs/>
          <w:color w:val="1B2A4A"/>
          <w:sz w:val="18"/>
          <w:szCs w:val="18"/>
        </w:rPr>
        <w:t xml:space="preserve">§3.2.e.i  </w:t>
      </w:r>
      <w:r>
        <w:rPr>
          <w:rFonts w:ascii="Garamond" w:cs="Garamond" w:eastAsia="Garamond" w:hAnsi="Garamond"/>
          <w:b/>
          <w:bCs/>
          <w:color w:val="1B2A4A"/>
          <w:sz w:val="22"/>
          <w:szCs w:val="22"/>
        </w:rPr>
        <w:t xml:space="preserve">Treaty Domestic Application</w:t>
      </w:r>
    </w:p>
    <w:p>
      <w:pPr>
        <w:spacing w:after="120" w:before="0"/>
        <w:ind w:left="1296"/>
        <w:jc w:val="both"/>
      </w:pPr>
      <w:r>
        <w:rPr>
          <w:rFonts w:ascii="Garamond" w:cs="Garamond" w:eastAsia="Garamond" w:hAnsi="Garamond"/>
          <w:color w:val="2a2520"/>
          <w:sz w:val="22"/>
          <w:szCs w:val="22"/>
        </w:rPr>
        <w:t xml:space="preserve">Where the Senate fails to ratify a treaty, if portions of the treaty's domestic provisions have standalone value independent of the international obligations, the President may transmit those portions to the House Speaker for consideration as ordinary domestic legislation. Prevents failed treaty ratification from defeating domestically beneficial measures when the failure was due to international concerns.</w:t>
      </w:r>
    </w:p>
    <w:p>
      <w:pPr>
        <w:spacing w:after="60" w:before="200"/>
        <w:ind w:left="1296"/>
      </w:pPr>
      <w:r>
        <w:rPr>
          <w:rFonts w:ascii="Courier New" w:cs="Courier New" w:eastAsia="Courier New" w:hAnsi="Courier New"/>
          <w:b/>
          <w:bCs/>
          <w:color w:val="1B2A4A"/>
          <w:sz w:val="18"/>
          <w:szCs w:val="18"/>
        </w:rPr>
        <w:t xml:space="preserve">§3.2.e.ii  </w:t>
      </w:r>
      <w:r>
        <w:rPr>
          <w:rFonts w:ascii="Garamond" w:cs="Garamond" w:eastAsia="Garamond" w:hAnsi="Garamond"/>
          <w:b/>
          <w:bCs/>
          <w:color w:val="1B2A4A"/>
          <w:sz w:val="22"/>
          <w:szCs w:val="22"/>
        </w:rPr>
        <w:t xml:space="preserve">Treaty Withdrawal</w:t>
      </w:r>
    </w:p>
    <w:p>
      <w:pPr>
        <w:spacing w:after="120" w:before="0"/>
        <w:ind w:left="1296"/>
        <w:jc w:val="both"/>
      </w:pPr>
      <w:r>
        <w:rPr>
          <w:rFonts w:ascii="Garamond" w:cs="Garamond" w:eastAsia="Garamond" w:hAnsi="Garamond"/>
          <w:color w:val="2a2520"/>
          <w:sz w:val="22"/>
          <w:szCs w:val="22"/>
        </w:rPr>
        <w:t xml:space="preserve">Where a treaty is bilateral and designed as an integrated whole — with reciprocal obligations that are interdependent — the President may not disaggregate and transmit domestic provisions separately. The treaty must be renegotiated or abandoned in its entirety.</w:t>
      </w:r>
    </w:p>
    <w:p>
      <w:pPr>
        <w:spacing w:after="60" w:before="200"/>
        <w:ind w:left="1296"/>
      </w:pPr>
      <w:r>
        <w:rPr>
          <w:rFonts w:ascii="Courier New" w:cs="Courier New" w:eastAsia="Courier New" w:hAnsi="Courier New"/>
          <w:b/>
          <w:bCs/>
          <w:color w:val="1B2A4A"/>
          <w:sz w:val="18"/>
          <w:szCs w:val="18"/>
        </w:rPr>
        <w:t xml:space="preserve">§3.2.e.iii  </w:t>
      </w:r>
      <w:r>
        <w:rPr>
          <w:rFonts w:ascii="Garamond" w:cs="Garamond" w:eastAsia="Garamond" w:hAnsi="Garamond"/>
          <w:b/>
          <w:bCs/>
          <w:color w:val="1B2A4A"/>
          <w:sz w:val="22"/>
          <w:szCs w:val="22"/>
        </w:rPr>
        <w:t xml:space="preserve">Treaty Withdrawal Process</w:t>
      </w:r>
    </w:p>
    <w:p>
      <w:pPr>
        <w:spacing w:after="120" w:before="0"/>
        <w:ind w:left="1296"/>
        <w:jc w:val="both"/>
      </w:pPr>
      <w:r>
        <w:rPr>
          <w:rFonts w:ascii="Garamond" w:cs="Garamond" w:eastAsia="Garamond" w:hAnsi="Garamond"/>
          <w:color w:val="2a2520"/>
          <w:sz w:val="22"/>
          <w:szCs w:val="22"/>
        </w:rPr>
        <w:t xml:space="preserve">The President may initiate withdrawal from any ratified treaty by publishing a formal notice of withdrawal to the NRS specifying the treaty, the effective withdrawal date (not less than 6 months from NRS publication), and the grounds. Withdrawal operates differently by treaty type: (a) General treaties — the Senate may block withdrawal by simple majority within the 6-month notice period; if the Senate does not vote to block, withdrawal takes effect automatically on the effective date; (b) Mutual defense treaties — the Senate must affirmatively confirm withdrawal by simple majority within the 6-month period; if the Senate does not confirm, the treaty remains in force; withdrawal from a mutual defense treaty may not be initiated while the Republic is engaged in active Tier 2 or Tier 3 operations under that treaty; (c) Indigenous treaties — no treaty with an indigenous nation recognized under Article XIV may be withdrawn or unilaterally modified; Article XIV governs. All withdrawal notices, blocking votes, confirmation votes, and withdrawal completion dates are published to the NRS as permanent records.</w:t>
      </w:r>
    </w:p>
    <w:p>
      <w:pPr>
        <w:spacing w:after="60" w:before="200"/>
        <w:ind w:left="863"/>
      </w:pPr>
      <w:r>
        <w:rPr>
          <w:rFonts w:ascii="Courier New" w:cs="Courier New" w:eastAsia="Courier New" w:hAnsi="Courier New"/>
          <w:b/>
          <w:bCs/>
          <w:color w:val="1B2A4A"/>
          <w:sz w:val="18"/>
          <w:szCs w:val="18"/>
        </w:rPr>
        <w:t xml:space="preserve">§3.2.f  </w:t>
      </w:r>
      <w:r>
        <w:rPr>
          <w:rFonts w:ascii="Garamond" w:cs="Garamond" w:eastAsia="Garamond" w:hAnsi="Garamond"/>
          <w:b/>
          <w:bCs/>
          <w:color w:val="1B2A4A"/>
          <w:sz w:val="22"/>
          <w:szCs w:val="22"/>
        </w:rPr>
        <w:t xml:space="preserve">Senate Electoral Functions</w:t>
      </w:r>
    </w:p>
    <w:p>
      <w:pPr>
        <w:spacing w:after="120" w:before="0"/>
        <w:ind w:left="863"/>
        <w:jc w:val="both"/>
      </w:pPr>
      <w:r>
        <w:rPr>
          <w:rFonts w:ascii="Garamond" w:cs="Garamond" w:eastAsia="Garamond" w:hAnsi="Garamond"/>
          <w:color w:val="2a2520"/>
          <w:sz w:val="22"/>
          <w:szCs w:val="22"/>
        </w:rPr>
        <w:t xml:space="preserve">The Senate administers the Presidential election in the absence of a functioning Electoral Commission, presides over contested electoral proceedings, and certifies Presidential election results. A direct role in executive accountability that does not depend on the House.</w:t>
      </w:r>
    </w:p>
    <w:p>
      <w:pPr>
        <w:spacing w:after="60" w:before="200"/>
        <w:ind w:left="863"/>
      </w:pPr>
      <w:r>
        <w:rPr>
          <w:rFonts w:ascii="Courier New" w:cs="Courier New" w:eastAsia="Courier New" w:hAnsi="Courier New"/>
          <w:b/>
          <w:bCs/>
          <w:color w:val="1B2A4A"/>
          <w:sz w:val="18"/>
          <w:szCs w:val="18"/>
        </w:rPr>
        <w:t xml:space="preserve">§3.2.g  </w:t>
      </w:r>
      <w:r>
        <w:rPr>
          <w:rFonts w:ascii="Garamond" w:cs="Garamond" w:eastAsia="Garamond" w:hAnsi="Garamond"/>
          <w:b/>
          <w:bCs/>
          <w:color w:val="1B2A4A"/>
          <w:sz w:val="22"/>
          <w:szCs w:val="22"/>
        </w:rPr>
        <w:t xml:space="preserve">Senate Internal Rules</w:t>
      </w:r>
    </w:p>
    <w:p>
      <w:pPr>
        <w:spacing w:after="120" w:before="0"/>
        <w:ind w:left="863"/>
        <w:jc w:val="both"/>
      </w:pPr>
      <w:r>
        <w:rPr>
          <w:rFonts w:ascii="Garamond" w:cs="Garamond" w:eastAsia="Garamond" w:hAnsi="Garamond"/>
          <w:color w:val="2a2520"/>
          <w:sz w:val="22"/>
          <w:szCs w:val="22"/>
        </w:rPr>
        <w:t xml:space="preserve">The Senate defines its own internal procedures by standing order, subject to constitutional constraints. The presiding officer is the Speaker of the Senate, elected by Senate members. The Senate's procedural autonomy prevents the House from using procedural leverage to control Senate deliberation.</w:t>
      </w:r>
    </w:p>
    <w:p>
      <w:pPr>
        <w:spacing w:after="60" w:before="200"/>
        <w:ind w:left="863"/>
      </w:pPr>
      <w:r>
        <w:rPr>
          <w:rFonts w:ascii="Courier New" w:cs="Courier New" w:eastAsia="Courier New" w:hAnsi="Courier New"/>
          <w:b/>
          <w:bCs/>
          <w:color w:val="1B2A4A"/>
          <w:sz w:val="18"/>
          <w:szCs w:val="18"/>
        </w:rPr>
        <w:t xml:space="preserve">§3.2.h  </w:t>
      </w:r>
      <w:r>
        <w:rPr>
          <w:rFonts w:ascii="Garamond" w:cs="Garamond" w:eastAsia="Garamond" w:hAnsi="Garamond"/>
          <w:b/>
          <w:bCs/>
          <w:color w:val="1B2A4A"/>
          <w:sz w:val="22"/>
          <w:szCs w:val="22"/>
        </w:rPr>
        <w:t xml:space="preserve">Senate Committees</w:t>
      </w:r>
    </w:p>
    <w:p>
      <w:pPr>
        <w:spacing w:after="120" w:before="0"/>
        <w:ind w:left="863"/>
        <w:jc w:val="both"/>
      </w:pPr>
      <w:r>
        <w:rPr>
          <w:rFonts w:ascii="Garamond" w:cs="Garamond" w:eastAsia="Garamond" w:hAnsi="Garamond"/>
          <w:color w:val="2a2520"/>
          <w:sz w:val="22"/>
          <w:szCs w:val="22"/>
        </w:rPr>
        <w:t xml:space="preserve">Standing committees are constitutionally mandated for certain functions (the Senate Armed Services Committee for Tier 2 military authorization is the most significant). Committee composition must reflect chamber balance — no party may hold all seats on a standing committee.</w:t>
      </w:r>
    </w:p>
    <w:p>
      <w:pPr>
        <w:spacing w:after="60" w:before="200"/>
        <w:ind w:left="863"/>
      </w:pPr>
      <w:r>
        <w:rPr>
          <w:rFonts w:ascii="Courier New" w:cs="Courier New" w:eastAsia="Courier New" w:hAnsi="Courier New"/>
          <w:b/>
          <w:bCs/>
          <w:color w:val="1B2A4A"/>
          <w:sz w:val="18"/>
          <w:szCs w:val="18"/>
        </w:rPr>
        <w:t xml:space="preserve">§3.2.i  </w:t>
      </w:r>
      <w:r>
        <w:rPr>
          <w:rFonts w:ascii="Garamond" w:cs="Garamond" w:eastAsia="Garamond" w:hAnsi="Garamond"/>
          <w:b/>
          <w:bCs/>
          <w:color w:val="1B2A4A"/>
          <w:sz w:val="22"/>
          <w:szCs w:val="22"/>
        </w:rPr>
        <w:t xml:space="preserve">Senate Amendment Authority</w:t>
      </w:r>
    </w:p>
    <w:p>
      <w:pPr>
        <w:spacing w:after="120" w:before="0"/>
        <w:ind w:left="863"/>
        <w:jc w:val="both"/>
      </w:pPr>
      <w:r>
        <w:rPr>
          <w:rFonts w:ascii="Garamond" w:cs="Garamond" w:eastAsia="Garamond" w:hAnsi="Garamond"/>
          <w:color w:val="2a2520"/>
          <w:sz w:val="22"/>
          <w:szCs w:val="22"/>
        </w:rPr>
        <w:t xml:space="preserve">The Senate may amend House-passed bills, but amendments must be germane to the bill's subject matter. The LI publishes a germaneness analysis before the amended bill is returned to the House. The PM must give the LI's analysis due consideration during the Legislative Review Period. Non-germane amendments can void the non-germane portion.</w:t>
      </w:r>
    </w:p>
    <w:p>
      <w:pPr>
        <w:spacing w:after="60" w:before="200"/>
        <w:ind w:left="863"/>
      </w:pPr>
      <w:r>
        <w:rPr>
          <w:rFonts w:ascii="Courier New" w:cs="Courier New" w:eastAsia="Courier New" w:hAnsi="Courier New"/>
          <w:b/>
          <w:bCs/>
          <w:color w:val="1B2A4A"/>
          <w:sz w:val="18"/>
          <w:szCs w:val="18"/>
        </w:rPr>
        <w:t xml:space="preserve">§3.2.j  </w:t>
      </w:r>
      <w:r>
        <w:rPr>
          <w:rFonts w:ascii="Garamond" w:cs="Garamond" w:eastAsia="Garamond" w:hAnsi="Garamond"/>
          <w:b/>
          <w:bCs/>
          <w:color w:val="1B2A4A"/>
          <w:sz w:val="22"/>
          <w:szCs w:val="22"/>
        </w:rPr>
        <w:t xml:space="preserve">Senate Speaker Role Limit</w:t>
      </w:r>
    </w:p>
    <w:p>
      <w:pPr>
        <w:spacing w:after="120" w:before="0"/>
        <w:ind w:left="863"/>
        <w:jc w:val="both"/>
      </w:pPr>
      <w:r>
        <w:rPr>
          <w:rFonts w:ascii="Garamond" w:cs="Garamond" w:eastAsia="Garamond" w:hAnsi="Garamond"/>
          <w:color w:val="2a2520"/>
          <w:sz w:val="22"/>
          <w:szCs w:val="22"/>
        </w:rPr>
        <w:t xml:space="preserve">No Senator may serve as Speaker for more than three consecutive sessions (6 years). After three consecutive sessions as Speaker, the Senator must sit out at least one full session as a non-Speaker Senator before standing for Speaker again. This limit applies to the Speaker role only and does not affect the Senator's ability to continue serving their State in their Senate seat.</w:t>
      </w:r>
    </w:p>
    <w:p>
      <w:pPr>
        <w:spacing w:after="60" w:before="200"/>
        <w:ind w:left="431"/>
      </w:pPr>
      <w:r>
        <w:rPr>
          <w:rFonts w:ascii="Courier New" w:cs="Courier New" w:eastAsia="Courier New" w:hAnsi="Courier New"/>
          <w:b/>
          <w:bCs/>
          <w:color w:val="1B2A4A"/>
          <w:sz w:val="18"/>
          <w:szCs w:val="18"/>
        </w:rPr>
        <w:t xml:space="preserve">§3.3  </w:t>
      </w:r>
      <w:r>
        <w:rPr>
          <w:rFonts w:ascii="Garamond" w:cs="Garamond" w:eastAsia="Garamond" w:hAnsi="Garamond"/>
          <w:b/>
          <w:bCs/>
          <w:color w:val="1B2A4A"/>
          <w:sz w:val="22"/>
          <w:szCs w:val="22"/>
        </w:rPr>
        <w:t xml:space="preserve">Legislative Process and Passage</w:t>
      </w:r>
    </w:p>
    <w:p>
      <w:pPr>
        <w:spacing w:after="120" w:before="0"/>
        <w:ind w:left="431"/>
        <w:jc w:val="both"/>
      </w:pPr>
      <w:r>
        <w:rPr>
          <w:rFonts w:ascii="Garamond" w:cs="Garamond" w:eastAsia="Garamond" w:hAnsi="Garamond"/>
          <w:color w:val="2a2520"/>
          <w:sz w:val="22"/>
          <w:szCs w:val="22"/>
        </w:rPr>
        <w:t xml:space="preserve">Bills become law through the process established in this section. The default passage standard is an absolute majority of the full seated membership of both chambers; higher thresholds apply as specified.</w:t>
      </w:r>
    </w:p>
    <w:p>
      <w:pPr>
        <w:spacing w:after="60" w:before="200"/>
        <w:ind w:left="863"/>
      </w:pPr>
      <w:r>
        <w:rPr>
          <w:rFonts w:ascii="Courier New" w:cs="Courier New" w:eastAsia="Courier New" w:hAnsi="Courier New"/>
          <w:b/>
          <w:bCs/>
          <w:color w:val="1B2A4A"/>
          <w:sz w:val="18"/>
          <w:szCs w:val="18"/>
        </w:rPr>
        <w:t xml:space="preserve">§3.3.a  </w:t>
      </w:r>
      <w:r>
        <w:rPr>
          <w:rFonts w:ascii="Garamond" w:cs="Garamond" w:eastAsia="Garamond" w:hAnsi="Garamond"/>
          <w:b/>
          <w:bCs/>
          <w:color w:val="1B2A4A"/>
          <w:sz w:val="22"/>
          <w:szCs w:val="22"/>
        </w:rPr>
        <w:t xml:space="preserve">Standard Passage</w:t>
      </w:r>
    </w:p>
    <w:p>
      <w:pPr>
        <w:spacing w:after="120" w:before="0"/>
        <w:ind w:left="863"/>
        <w:jc w:val="both"/>
      </w:pPr>
      <w:r>
        <w:rPr>
          <w:rFonts w:ascii="Garamond" w:cs="Garamond" w:eastAsia="Garamond" w:hAnsi="Garamond"/>
          <w:color w:val="2a2520"/>
          <w:sz w:val="22"/>
          <w:szCs w:val="22"/>
        </w:rPr>
        <w:t xml:space="preserve">Bills pass by absolute majority of the full seated membership of both chambers, not just those present. The 'full seated membership' standard prevents passage by small quorums. Applies to ordinary legislation; higher thresholds apply to constitutional amendments, veto overrides, and removal proceedings.</w:t>
      </w:r>
    </w:p>
    <w:p>
      <w:pPr>
        <w:spacing w:after="60" w:before="200"/>
        <w:ind w:left="863"/>
      </w:pPr>
      <w:r>
        <w:rPr>
          <w:rFonts w:ascii="Courier New" w:cs="Courier New" w:eastAsia="Courier New" w:hAnsi="Courier New"/>
          <w:b/>
          <w:bCs/>
          <w:color w:val="1B2A4A"/>
          <w:sz w:val="18"/>
          <w:szCs w:val="18"/>
        </w:rPr>
        <w:t xml:space="preserve">§3.3.b  </w:t>
      </w:r>
      <w:r>
        <w:rPr>
          <w:rFonts w:ascii="Garamond" w:cs="Garamond" w:eastAsia="Garamond" w:hAnsi="Garamond"/>
          <w:b/>
          <w:bCs/>
          <w:color w:val="1B2A4A"/>
          <w:sz w:val="22"/>
          <w:szCs w:val="22"/>
        </w:rPr>
        <w:t xml:space="preserve">Presidential Veto Override</w:t>
      </w:r>
    </w:p>
    <w:p>
      <w:pPr>
        <w:spacing w:after="120" w:before="0"/>
        <w:ind w:left="863"/>
        <w:jc w:val="both"/>
      </w:pPr>
      <w:r>
        <w:rPr>
          <w:rFonts w:ascii="Garamond" w:cs="Garamond" w:eastAsia="Garamond" w:hAnsi="Garamond"/>
          <w:color w:val="2a2520"/>
          <w:sz w:val="22"/>
          <w:szCs w:val="22"/>
        </w:rPr>
        <w:t xml:space="preserve">Requires 2/3 of both chambers simultaneously. The simultaneous requirement means both chambers must vote in the same session. The SC reviews the presidential veto under §2.1.f.i before any override vote may proceed.</w:t>
      </w:r>
    </w:p>
    <w:p>
      <w:pPr>
        <w:spacing w:after="60" w:before="200"/>
        <w:ind w:left="863"/>
      </w:pPr>
      <w:r>
        <w:rPr>
          <w:rFonts w:ascii="Courier New" w:cs="Courier New" w:eastAsia="Courier New" w:hAnsi="Courier New"/>
          <w:b/>
          <w:bCs/>
          <w:color w:val="1B2A4A"/>
          <w:sz w:val="18"/>
          <w:szCs w:val="18"/>
        </w:rPr>
        <w:t xml:space="preserve">§3.3.c  </w:t>
      </w:r>
      <w:r>
        <w:rPr>
          <w:rFonts w:ascii="Garamond" w:cs="Garamond" w:eastAsia="Garamond" w:hAnsi="Garamond"/>
          <w:b/>
          <w:bCs/>
          <w:color w:val="1B2A4A"/>
          <w:sz w:val="22"/>
          <w:szCs w:val="22"/>
        </w:rPr>
        <w:t xml:space="preserve">Record System Entry</w:t>
      </w:r>
    </w:p>
    <w:p>
      <w:pPr>
        <w:spacing w:after="120" w:before="0"/>
        <w:ind w:left="863"/>
        <w:jc w:val="both"/>
      </w:pPr>
      <w:r>
        <w:rPr>
          <w:rFonts w:ascii="Garamond" w:cs="Garamond" w:eastAsia="Garamond" w:hAnsi="Garamond"/>
          <w:color w:val="2a2520"/>
          <w:sz w:val="22"/>
          <w:szCs w:val="22"/>
        </w:rPr>
        <w:t xml:space="preserve">The presiding officer of each chamber must certify and publish the final text of every enacted law to the NRS within 24 hours. All prior versions, committee reports, Inspectorate findings, and veto records are indexed alongside the enacted text. The NRS entry is the definitive legal record.</w:t>
      </w:r>
    </w:p>
    <w:p>
      <w:pPr>
        <w:spacing w:after="60" w:before="200"/>
        <w:ind w:left="863"/>
      </w:pPr>
      <w:r>
        <w:rPr>
          <w:rFonts w:ascii="Courier New" w:cs="Courier New" w:eastAsia="Courier New" w:hAnsi="Courier New"/>
          <w:b/>
          <w:bCs/>
          <w:color w:val="1B2A4A"/>
          <w:sz w:val="18"/>
          <w:szCs w:val="18"/>
        </w:rPr>
        <w:t xml:space="preserve">§3.3.d  </w:t>
      </w:r>
      <w:r>
        <w:rPr>
          <w:rFonts w:ascii="Garamond" w:cs="Garamond" w:eastAsia="Garamond" w:hAnsi="Garamond"/>
          <w:b/>
          <w:bCs/>
          <w:color w:val="1B2A4A"/>
          <w:sz w:val="22"/>
          <w:szCs w:val="22"/>
        </w:rPr>
        <w:t xml:space="preserve">Legislative Mandate Enforcement</w:t>
      </w:r>
    </w:p>
    <w:p>
      <w:pPr>
        <w:spacing w:after="120" w:before="0"/>
        <w:ind w:left="863"/>
        <w:jc w:val="both"/>
      </w:pPr>
      <w:r>
        <w:rPr>
          <w:rFonts w:ascii="Garamond" w:cs="Garamond" w:eastAsia="Garamond" w:hAnsi="Garamond"/>
          <w:color w:val="2a2520"/>
          <w:sz w:val="22"/>
          <w:szCs w:val="22"/>
        </w:rPr>
        <w:t xml:space="preserve">Where the constitution requires the Legislature to enact specific legislation by statute and the Legislature fails to do so within a specified period: the LI publishes a non-compliance finding; the mandate becomes justiciable in the SC; for mandates tied to constitutional rights, affected parties may bring direct constitutional claims. The Legislature's statutory delegations are genuine constitutional mandates.</w:t>
      </w:r>
    </w:p>
    <w:p>
      <w:pPr>
        <w:spacing w:after="60" w:before="200"/>
        <w:ind w:left="431"/>
      </w:pPr>
      <w:r>
        <w:rPr>
          <w:rFonts w:ascii="Courier New" w:cs="Courier New" w:eastAsia="Courier New" w:hAnsi="Courier New"/>
          <w:b/>
          <w:bCs/>
          <w:color w:val="1B2A4A"/>
          <w:sz w:val="18"/>
          <w:szCs w:val="18"/>
        </w:rPr>
        <w:t xml:space="preserve">§3.4  </w:t>
      </w:r>
      <w:r>
        <w:rPr>
          <w:rFonts w:ascii="Garamond" w:cs="Garamond" w:eastAsia="Garamond" w:hAnsi="Garamond"/>
          <w:b/>
          <w:bCs/>
          <w:color w:val="1B2A4A"/>
          <w:sz w:val="22"/>
          <w:szCs w:val="22"/>
        </w:rPr>
        <w:t xml:space="preserve">Electoral Districts</w:t>
      </w:r>
    </w:p>
    <w:p>
      <w:pPr>
        <w:spacing w:after="120" w:before="0"/>
        <w:ind w:left="431"/>
        <w:jc w:val="both"/>
      </w:pPr>
      <w:r>
        <w:rPr>
          <w:rFonts w:ascii="Garamond" w:cs="Garamond" w:eastAsia="Garamond" w:hAnsi="Garamond"/>
          <w:color w:val="2a2520"/>
          <w:sz w:val="22"/>
          <w:szCs w:val="22"/>
        </w:rPr>
        <w:t xml:space="preserve">States draw their own House district maps following each census, subject to compliance review by the Legislative Inspectorate against the criteria established in §3.4.a. The LI may draw an interim compliant map where a State submission fails repeated review.</w:t>
      </w:r>
    </w:p>
    <w:p>
      <w:pPr>
        <w:spacing w:after="60" w:before="200"/>
        <w:ind w:left="863"/>
      </w:pPr>
      <w:r>
        <w:rPr>
          <w:rFonts w:ascii="Courier New" w:cs="Courier New" w:eastAsia="Courier New" w:hAnsi="Courier New"/>
          <w:b/>
          <w:bCs/>
          <w:color w:val="1B2A4A"/>
          <w:sz w:val="18"/>
          <w:szCs w:val="18"/>
        </w:rPr>
        <w:t xml:space="preserve">§3.4.a  </w:t>
      </w:r>
      <w:r>
        <w:rPr>
          <w:rFonts w:ascii="Garamond" w:cs="Garamond" w:eastAsia="Garamond" w:hAnsi="Garamond"/>
          <w:b/>
          <w:bCs/>
          <w:color w:val="1B2A4A"/>
          <w:sz w:val="22"/>
          <w:szCs w:val="22"/>
        </w:rPr>
        <w:t xml:space="preserve">Criteria Hierarchy</w:t>
      </w:r>
    </w:p>
    <w:p>
      <w:pPr>
        <w:spacing w:after="120" w:before="0"/>
        <w:ind w:left="863"/>
        <w:jc w:val="both"/>
      </w:pPr>
      <w:r>
        <w:rPr>
          <w:rFonts w:ascii="Garamond" w:cs="Garamond" w:eastAsia="Garamond" w:hAnsi="Garamond"/>
          <w:color w:val="2a2520"/>
          <w:sz w:val="22"/>
          <w:szCs w:val="22"/>
        </w:rPr>
        <w:t xml:space="preserve">State district maps must meet five criteria: population equality within tolerance, geographic contiguity, compliance with §1.9 non-discrimination, no intentional dilution of minority voting power, and reasonable geographic compactness. States have discretion within these bounds — there is no single correct map. The following data may not be used at any stage of the district-drawing process: partisan registration data, voting history data, incumbent or candidate residence, and racial or ethnic composition as a primary consideration.</w:t>
      </w:r>
    </w:p>
    <w:p>
      <w:pPr>
        <w:spacing w:after="60" w:before="200"/>
        <w:ind w:left="863"/>
      </w:pPr>
      <w:r>
        <w:rPr>
          <w:rFonts w:ascii="Courier New" w:cs="Courier New" w:eastAsia="Courier New" w:hAnsi="Courier New"/>
          <w:b/>
          <w:bCs/>
          <w:color w:val="1B2A4A"/>
          <w:sz w:val="18"/>
          <w:szCs w:val="18"/>
        </w:rPr>
        <w:t xml:space="preserve">§3.4.b  </w:t>
      </w:r>
      <w:r>
        <w:rPr>
          <w:rFonts w:ascii="Garamond" w:cs="Garamond" w:eastAsia="Garamond" w:hAnsi="Garamond"/>
          <w:b/>
          <w:bCs/>
          <w:color w:val="1B2A4A"/>
          <w:sz w:val="22"/>
          <w:szCs w:val="22"/>
        </w:rPr>
        <w:t xml:space="preserve">LI Redistricting Review</w:t>
      </w:r>
    </w:p>
    <w:p>
      <w:pPr>
        <w:spacing w:after="120" w:before="0"/>
        <w:ind w:left="863"/>
        <w:jc w:val="both"/>
      </w:pPr>
      <w:r>
        <w:rPr>
          <w:rFonts w:ascii="Garamond" w:cs="Garamond" w:eastAsia="Garamond" w:hAnsi="Garamond"/>
          <w:color w:val="2a2520"/>
          <w:sz w:val="22"/>
          <w:szCs w:val="22"/>
        </w:rPr>
        <w:t xml:space="preserve">The LI reviews all State-drawn district maps within 60 days of submission. If a map fails the §3.4.a criteria, the LI publishes specific findings and the State must submit a corrected map within 30 days. If the corrected map still fails, the LI draws a compliant interim map. The LI cannot draw a permanent map — only an interim one pending State compliance.</w:t>
      </w:r>
    </w:p>
    <w:p>
      <w:pPr>
        <w:spacing w:after="60" w:before="200"/>
        <w:ind w:left="863"/>
      </w:pPr>
      <w:r>
        <w:rPr>
          <w:rFonts w:ascii="Courier New" w:cs="Courier New" w:eastAsia="Courier New" w:hAnsi="Courier New"/>
          <w:b/>
          <w:bCs/>
          <w:color w:val="1B2A4A"/>
          <w:sz w:val="18"/>
          <w:szCs w:val="18"/>
        </w:rPr>
        <w:t xml:space="preserve">§3.4.c  </w:t>
      </w:r>
      <w:r>
        <w:rPr>
          <w:rFonts w:ascii="Garamond" w:cs="Garamond" w:eastAsia="Garamond" w:hAnsi="Garamond"/>
          <w:b/>
          <w:bCs/>
          <w:color w:val="1B2A4A"/>
          <w:sz w:val="22"/>
          <w:szCs w:val="22"/>
        </w:rPr>
        <w:t xml:space="preserve">Redistricting Cycle</w:t>
      </w:r>
    </w:p>
    <w:p>
      <w:pPr>
        <w:spacing w:after="120" w:before="0"/>
        <w:ind w:left="863"/>
        <w:jc w:val="both"/>
      </w:pPr>
      <w:r>
        <w:rPr>
          <w:rFonts w:ascii="Garamond" w:cs="Garamond" w:eastAsia="Garamond" w:hAnsi="Garamond"/>
          <w:color w:val="2a2520"/>
          <w:sz w:val="22"/>
          <w:szCs w:val="22"/>
        </w:rPr>
        <w:t xml:space="preserve">Maps are drawn after each census, every 10 years. Emergency redistricting may occur if a State's population changes significantly between census cycles. A State may not redistrict more than once per census cycle without LI approval.</w:t>
      </w:r>
    </w:p>
    <w:p>
      <w:pPr>
        <w:spacing w:after="60" w:before="200"/>
        <w:ind w:left="863"/>
      </w:pPr>
      <w:r>
        <w:rPr>
          <w:rFonts w:ascii="Courier New" w:cs="Courier New" w:eastAsia="Courier New" w:hAnsi="Courier New"/>
          <w:b/>
          <w:bCs/>
          <w:color w:val="1B2A4A"/>
          <w:sz w:val="18"/>
          <w:szCs w:val="18"/>
        </w:rPr>
        <w:t xml:space="preserve">§3.4.d  </w:t>
      </w:r>
      <w:r>
        <w:rPr>
          <w:rFonts w:ascii="Garamond" w:cs="Garamond" w:eastAsia="Garamond" w:hAnsi="Garamond"/>
          <w:b/>
          <w:bCs/>
          <w:color w:val="1B2A4A"/>
          <w:sz w:val="22"/>
          <w:szCs w:val="22"/>
        </w:rPr>
        <w:t xml:space="preserve">Drawing Authority — Federal Territories</w:t>
      </w:r>
    </w:p>
    <w:p>
      <w:pPr>
        <w:spacing w:after="120" w:before="0"/>
        <w:ind w:left="863"/>
        <w:jc w:val="both"/>
      </w:pPr>
      <w:r>
        <w:rPr>
          <w:rFonts w:ascii="Garamond" w:cs="Garamond" w:eastAsia="Garamond" w:hAnsi="Garamond"/>
          <w:color w:val="2a2520"/>
          <w:sz w:val="22"/>
          <w:szCs w:val="22"/>
        </w:rPr>
        <w:t xml:space="preserve">Federal Territorial Districts — where federal territories elect House representatives, the Electoral Commission draws the territorial districts in consultation with the territory's governance council. Territorial districts are drawn under the same criteria that apply to State districts.</w:t>
      </w:r>
    </w:p>
    <w:p>
      <w:pPr>
        <w:spacing w:after="60" w:before="200"/>
        <w:ind w:left="863"/>
      </w:pPr>
      <w:r>
        <w:rPr>
          <w:rFonts w:ascii="Courier New" w:cs="Courier New" w:eastAsia="Courier New" w:hAnsi="Courier New"/>
          <w:b/>
          <w:bCs/>
          <w:color w:val="1B2A4A"/>
          <w:sz w:val="18"/>
          <w:szCs w:val="18"/>
        </w:rPr>
        <w:t xml:space="preserve">§3.4.e  </w:t>
      </w:r>
      <w:r>
        <w:rPr>
          <w:rFonts w:ascii="Garamond" w:cs="Garamond" w:eastAsia="Garamond" w:hAnsi="Garamond"/>
          <w:b/>
          <w:bCs/>
          <w:color w:val="1B2A4A"/>
          <w:sz w:val="22"/>
          <w:szCs w:val="22"/>
        </w:rPr>
        <w:t xml:space="preserve">At-Large Seats</w:t>
      </w:r>
    </w:p>
    <w:p>
      <w:pPr>
        <w:spacing w:after="120" w:before="0"/>
        <w:ind w:left="863"/>
        <w:jc w:val="both"/>
      </w:pPr>
      <w:r>
        <w:rPr>
          <w:rFonts w:ascii="Garamond" w:cs="Garamond" w:eastAsia="Garamond" w:hAnsi="Garamond"/>
          <w:color w:val="2a2520"/>
          <w:sz w:val="22"/>
          <w:szCs w:val="22"/>
        </w:rPr>
        <w:t xml:space="preserve">States with a small population may elect House members at-large rather than by district, if the LI determines that the minimum district size would make geographic districting meaningless. At-large elections use proportional representation mechanisms — no plurality winner-take-all at-large elections.</w:t>
      </w:r>
    </w:p>
    <w:p>
      <w:pPr>
        <w:spacing w:after="60" w:before="200"/>
        <w:ind w:left="863"/>
      </w:pPr>
      <w:r>
        <w:rPr>
          <w:rFonts w:ascii="Courier New" w:cs="Courier New" w:eastAsia="Courier New" w:hAnsi="Courier New"/>
          <w:b/>
          <w:bCs/>
          <w:color w:val="1B2A4A"/>
          <w:sz w:val="18"/>
          <w:szCs w:val="18"/>
        </w:rPr>
        <w:t xml:space="preserve">§3.4.f  </w:t>
      </w:r>
      <w:r>
        <w:rPr>
          <w:rFonts w:ascii="Garamond" w:cs="Garamond" w:eastAsia="Garamond" w:hAnsi="Garamond"/>
          <w:b/>
          <w:bCs/>
          <w:color w:val="1B2A4A"/>
          <w:sz w:val="22"/>
          <w:szCs w:val="22"/>
        </w:rPr>
        <w:t xml:space="preserve">District Vacancy</w:t>
      </w:r>
    </w:p>
    <w:p>
      <w:pPr>
        <w:spacing w:after="120" w:before="0"/>
        <w:ind w:left="863"/>
        <w:jc w:val="both"/>
      </w:pPr>
      <w:r>
        <w:rPr>
          <w:rFonts w:ascii="Garamond" w:cs="Garamond" w:eastAsia="Garamond" w:hAnsi="Garamond"/>
          <w:color w:val="2a2520"/>
          <w:sz w:val="22"/>
          <w:szCs w:val="22"/>
        </w:rPr>
        <w:t xml:space="preserve">When a House district seat falls vacant mid-term, the Electoral Commission administers a special election within 90 days. The replacement serves only the remainder of the original term. If fewer than 90 days remain in the term, the vacancy is not filled.</w:t>
      </w:r>
    </w:p>
    <w:p>
      <w:pPr>
        <w:spacing w:after="60" w:before="200"/>
        <w:ind w:left="863"/>
      </w:pPr>
      <w:r>
        <w:rPr>
          <w:rFonts w:ascii="Courier New" w:cs="Courier New" w:eastAsia="Courier New" w:hAnsi="Courier New"/>
          <w:b/>
          <w:bCs/>
          <w:color w:val="1B2A4A"/>
          <w:sz w:val="18"/>
          <w:szCs w:val="18"/>
        </w:rPr>
        <w:t xml:space="preserve">§3.4.g  </w:t>
      </w:r>
      <w:r>
        <w:rPr>
          <w:rFonts w:ascii="Garamond" w:cs="Garamond" w:eastAsia="Garamond" w:hAnsi="Garamond"/>
          <w:b/>
          <w:bCs/>
          <w:color w:val="1B2A4A"/>
          <w:sz w:val="22"/>
          <w:szCs w:val="22"/>
        </w:rPr>
        <w:t xml:space="preserve">Redistricting Transparency</w:t>
      </w:r>
    </w:p>
    <w:p>
      <w:pPr>
        <w:spacing w:after="120" w:before="0"/>
        <w:ind w:left="863"/>
        <w:jc w:val="both"/>
      </w:pPr>
      <w:r>
        <w:rPr>
          <w:rFonts w:ascii="Garamond" w:cs="Garamond" w:eastAsia="Garamond" w:hAnsi="Garamond"/>
          <w:color w:val="2a2520"/>
          <w:sz w:val="22"/>
          <w:szCs w:val="22"/>
        </w:rPr>
        <w:t xml:space="preserve">All State submissions, LI analyses, and interim maps must be published to the NRS throughout the redistricting process. Citizens have the right to submit commentary to the LI during the review period. Redistricting decisions are judicially reviewable under §4.3.</w:t>
      </w:r>
    </w:p>
    <w:p>
      <w:pPr>
        <w:spacing w:after="60" w:before="200"/>
        <w:ind w:left="863"/>
      </w:pPr>
      <w:r>
        <w:rPr>
          <w:rFonts w:ascii="Courier New" w:cs="Courier New" w:eastAsia="Courier New" w:hAnsi="Courier New"/>
          <w:b/>
          <w:bCs/>
          <w:color w:val="1B2A4A"/>
          <w:sz w:val="18"/>
          <w:szCs w:val="18"/>
        </w:rPr>
        <w:t xml:space="preserve">§3.4.h  </w:t>
      </w:r>
      <w:r>
        <w:rPr>
          <w:rFonts w:ascii="Garamond" w:cs="Garamond" w:eastAsia="Garamond" w:hAnsi="Garamond"/>
          <w:b/>
          <w:bCs/>
          <w:color w:val="1B2A4A"/>
          <w:sz w:val="22"/>
          <w:szCs w:val="22"/>
        </w:rPr>
        <w:t xml:space="preserve">Redistricting Challenge</w:t>
      </w:r>
    </w:p>
    <w:p>
      <w:pPr>
        <w:spacing w:after="120" w:before="0"/>
        <w:ind w:left="863"/>
        <w:jc w:val="both"/>
      </w:pPr>
      <w:r>
        <w:rPr>
          <w:rFonts w:ascii="Garamond" w:cs="Garamond" w:eastAsia="Garamond" w:hAnsi="Garamond"/>
          <w:color w:val="2a2520"/>
          <w:sz w:val="22"/>
          <w:szCs w:val="22"/>
        </w:rPr>
        <w:t xml:space="preserve">Any citizen, State government, or parliamentary minority of 1/3 may challenge a proposed district map by petitioning the SC within the 60-day review period after LI compliance certification. The Court reviews whether criteria were correctly applied — not whether a different map would have been better.</w:t>
      </w:r>
    </w:p>
    <w:p>
      <w:pPr>
        <w:spacing w:after="60" w:before="200"/>
        <w:ind w:left="431"/>
      </w:pPr>
      <w:r>
        <w:rPr>
          <w:rFonts w:ascii="Courier New" w:cs="Courier New" w:eastAsia="Courier New" w:hAnsi="Courier New"/>
          <w:b/>
          <w:bCs/>
          <w:color w:val="1B2A4A"/>
          <w:sz w:val="18"/>
          <w:szCs w:val="18"/>
        </w:rPr>
        <w:t xml:space="preserve">§3.5  </w:t>
      </w:r>
      <w:r>
        <w:rPr>
          <w:rFonts w:ascii="Garamond" w:cs="Garamond" w:eastAsia="Garamond" w:hAnsi="Garamond"/>
          <w:b/>
          <w:bCs/>
          <w:color w:val="1B2A4A"/>
          <w:sz w:val="22"/>
          <w:szCs w:val="22"/>
        </w:rPr>
        <w:t xml:space="preserve">The House — Composition and Structure</w:t>
      </w:r>
    </w:p>
    <w:p>
      <w:pPr>
        <w:spacing w:after="120" w:before="0"/>
        <w:ind w:left="431"/>
        <w:jc w:val="both"/>
      </w:pPr>
      <w:r>
        <w:rPr>
          <w:rFonts w:ascii="Garamond" w:cs="Garamond" w:eastAsia="Garamond" w:hAnsi="Garamond"/>
          <w:color w:val="2a2520"/>
          <w:sz w:val="22"/>
          <w:szCs w:val="22"/>
        </w:rPr>
        <w:t xml:space="preserve">The House of Representatives is the proportional chamber. Seats are allocated by population under the formula in §3.1.a, with a minimum of one seat per State. All members serve 2-year terms. The House originates all legislation and fiscal measures and elects the Prime Minister.</w:t>
      </w:r>
    </w:p>
    <w:p>
      <w:pPr>
        <w:spacing w:after="60" w:before="200"/>
        <w:ind w:left="863"/>
      </w:pPr>
      <w:r>
        <w:rPr>
          <w:rFonts w:ascii="Courier New" w:cs="Courier New" w:eastAsia="Courier New" w:hAnsi="Courier New"/>
          <w:b/>
          <w:bCs/>
          <w:color w:val="1B2A4A"/>
          <w:sz w:val="18"/>
          <w:szCs w:val="18"/>
        </w:rPr>
        <w:t xml:space="preserve">§3.5.a  </w:t>
      </w:r>
      <w:r>
        <w:rPr>
          <w:rFonts w:ascii="Garamond" w:cs="Garamond" w:eastAsia="Garamond" w:hAnsi="Garamond"/>
          <w:b/>
          <w:bCs/>
          <w:color w:val="1B2A4A"/>
          <w:sz w:val="22"/>
          <w:szCs w:val="22"/>
        </w:rPr>
        <w:t xml:space="preserve">House Membership Formula</w:t>
      </w:r>
    </w:p>
    <w:p>
      <w:pPr>
        <w:spacing w:after="120" w:before="0"/>
        <w:ind w:left="863"/>
        <w:jc w:val="both"/>
      </w:pPr>
      <w:r>
        <w:rPr>
          <w:rFonts w:ascii="Garamond" w:cs="Garamond" w:eastAsia="Garamond" w:hAnsi="Garamond"/>
          <w:color w:val="2a2520"/>
          <w:sz w:val="22"/>
          <w:szCs w:val="22"/>
        </w:rPr>
        <w:t xml:space="preserve">Seat allocation follows the formula in §3.1.a. Where a reapportionment event creates or eliminates seats, the EC coordinates with affected States on district boundary adjustments before the next general election. The LI resolves any dispute between States about seat allocation methodology.</w:t>
      </w:r>
    </w:p>
    <w:p>
      <w:pPr>
        <w:spacing w:after="60" w:before="200"/>
        <w:ind w:left="863"/>
      </w:pPr>
      <w:r>
        <w:rPr>
          <w:rFonts w:ascii="Courier New" w:cs="Courier New" w:eastAsia="Courier New" w:hAnsi="Courier New"/>
          <w:b/>
          <w:bCs/>
          <w:color w:val="1B2A4A"/>
          <w:sz w:val="18"/>
          <w:szCs w:val="18"/>
        </w:rPr>
        <w:t xml:space="preserve">§3.5.b  </w:t>
      </w:r>
      <w:r>
        <w:rPr>
          <w:rFonts w:ascii="Garamond" w:cs="Garamond" w:eastAsia="Garamond" w:hAnsi="Garamond"/>
          <w:b/>
          <w:bCs/>
          <w:color w:val="1B2A4A"/>
          <w:sz w:val="22"/>
          <w:szCs w:val="22"/>
        </w:rPr>
        <w:t xml:space="preserve">House Speaker</w:t>
      </w:r>
    </w:p>
    <w:p>
      <w:pPr>
        <w:spacing w:after="120" w:before="0"/>
        <w:ind w:left="863"/>
        <w:jc w:val="both"/>
      </w:pPr>
      <w:r>
        <w:rPr>
          <w:rFonts w:ascii="Garamond" w:cs="Garamond" w:eastAsia="Garamond" w:hAnsi="Garamond"/>
          <w:color w:val="2a2520"/>
          <w:sz w:val="22"/>
          <w:szCs w:val="22"/>
        </w:rPr>
        <w:t xml:space="preserve">Elected by the House from among its members by absolute majority. Presides over House proceedings, manages the legislative calendar, and holds Acting Presidential Authority in the Presidential succession chain. The Speaker's dual role — legislative and succession — keeps the succession line within the elected legislative class.</w:t>
      </w:r>
    </w:p>
    <w:p>
      <w:pPr>
        <w:spacing w:after="60" w:before="200"/>
        <w:ind w:left="863"/>
      </w:pPr>
      <w:r>
        <w:rPr>
          <w:rFonts w:ascii="Courier New" w:cs="Courier New" w:eastAsia="Courier New" w:hAnsi="Courier New"/>
          <w:b/>
          <w:bCs/>
          <w:color w:val="1B2A4A"/>
          <w:sz w:val="18"/>
          <w:szCs w:val="18"/>
        </w:rPr>
        <w:t xml:space="preserve">§3.5.c  </w:t>
      </w:r>
      <w:r>
        <w:rPr>
          <w:rFonts w:ascii="Garamond" w:cs="Garamond" w:eastAsia="Garamond" w:hAnsi="Garamond"/>
          <w:b/>
          <w:bCs/>
          <w:color w:val="1B2A4A"/>
          <w:sz w:val="22"/>
          <w:szCs w:val="22"/>
        </w:rPr>
        <w:t xml:space="preserve">House Vacancy</w:t>
      </w:r>
    </w:p>
    <w:p>
      <w:pPr>
        <w:spacing w:after="120" w:before="0"/>
        <w:ind w:left="863"/>
        <w:jc w:val="both"/>
      </w:pPr>
      <w:r>
        <w:rPr>
          <w:rFonts w:ascii="Garamond" w:cs="Garamond" w:eastAsia="Garamond" w:hAnsi="Garamond"/>
          <w:color w:val="2a2520"/>
          <w:sz w:val="22"/>
          <w:szCs w:val="22"/>
        </w:rPr>
        <w:t xml:space="preserve">A House seat that falls vacant mid-term triggers a special election within 90 days if more than 90 days remain in the term. Short-term vacancies (fewer than 90 days) are not filled — the seat remains vacant for the remainder of the term.</w:t>
      </w:r>
    </w:p>
    <w:p>
      <w:pPr>
        <w:spacing w:after="60" w:before="200"/>
        <w:ind w:left="863"/>
      </w:pPr>
      <w:r>
        <w:rPr>
          <w:rFonts w:ascii="Courier New" w:cs="Courier New" w:eastAsia="Courier New" w:hAnsi="Courier New"/>
          <w:b/>
          <w:bCs/>
          <w:color w:val="1B2A4A"/>
          <w:sz w:val="18"/>
          <w:szCs w:val="18"/>
        </w:rPr>
        <w:t xml:space="preserve">§3.5.d  </w:t>
      </w:r>
      <w:r>
        <w:rPr>
          <w:rFonts w:ascii="Garamond" w:cs="Garamond" w:eastAsia="Garamond" w:hAnsi="Garamond"/>
          <w:b/>
          <w:bCs/>
          <w:color w:val="1B2A4A"/>
          <w:sz w:val="22"/>
          <w:szCs w:val="22"/>
        </w:rPr>
        <w:t xml:space="preserve">House Quorum</w:t>
      </w:r>
    </w:p>
    <w:p>
      <w:pPr>
        <w:spacing w:after="120" w:before="0"/>
        <w:ind w:left="863"/>
        <w:jc w:val="both"/>
      </w:pPr>
      <w:r>
        <w:rPr>
          <w:rFonts w:ascii="Garamond" w:cs="Garamond" w:eastAsia="Garamond" w:hAnsi="Garamond"/>
          <w:color w:val="2a2520"/>
          <w:sz w:val="22"/>
          <w:szCs w:val="22"/>
        </w:rPr>
        <w:t xml:space="preserve">A majority of the full seated House membership constitutes a quorum for ordinary business. The Speaker may compel attendance of absent members by warrant. No vote that requires an absolute majority of full membership may be held without quorum.</w:t>
      </w:r>
    </w:p>
    <w:p>
      <w:pPr>
        <w:spacing w:after="60" w:before="200"/>
        <w:ind w:left="431"/>
      </w:pPr>
      <w:r>
        <w:rPr>
          <w:rFonts w:ascii="Courier New" w:cs="Courier New" w:eastAsia="Courier New" w:hAnsi="Courier New"/>
          <w:b/>
          <w:bCs/>
          <w:color w:val="1B2A4A"/>
          <w:sz w:val="18"/>
          <w:szCs w:val="18"/>
        </w:rPr>
        <w:t xml:space="preserve">§3.6  </w:t>
      </w:r>
      <w:r>
        <w:rPr>
          <w:rFonts w:ascii="Garamond" w:cs="Garamond" w:eastAsia="Garamond" w:hAnsi="Garamond"/>
          <w:b/>
          <w:bCs/>
          <w:color w:val="1B2A4A"/>
          <w:sz w:val="22"/>
          <w:szCs w:val="22"/>
        </w:rPr>
        <w:t xml:space="preserve">Legislative Oversight and Transparency</w:t>
      </w:r>
    </w:p>
    <w:p>
      <w:pPr>
        <w:spacing w:after="120" w:before="0"/>
        <w:ind w:left="431"/>
        <w:jc w:val="both"/>
      </w:pPr>
      <w:r>
        <w:rPr>
          <w:rFonts w:ascii="Garamond" w:cs="Garamond" w:eastAsia="Garamond" w:hAnsi="Garamond"/>
          <w:color w:val="2a2520"/>
          <w:sz w:val="22"/>
          <w:szCs w:val="22"/>
        </w:rPr>
        <w:t xml:space="preserve">The Legislature operates under continuous Inspectorate oversight and is subject to the transparency obligations of this section. Oversight is informational only — the Inspectorates publish findings; they do not direct legislative outcomes.</w:t>
      </w:r>
    </w:p>
    <w:p>
      <w:pPr>
        <w:spacing w:after="60" w:before="200"/>
        <w:ind w:left="863"/>
      </w:pPr>
      <w:r>
        <w:rPr>
          <w:rFonts w:ascii="Courier New" w:cs="Courier New" w:eastAsia="Courier New" w:hAnsi="Courier New"/>
          <w:b/>
          <w:bCs/>
          <w:color w:val="1B2A4A"/>
          <w:sz w:val="18"/>
          <w:szCs w:val="18"/>
        </w:rPr>
        <w:t xml:space="preserve">§3.6.a  </w:t>
      </w:r>
      <w:r>
        <w:rPr>
          <w:rFonts w:ascii="Garamond" w:cs="Garamond" w:eastAsia="Garamond" w:hAnsi="Garamond"/>
          <w:b/>
          <w:bCs/>
          <w:color w:val="1B2A4A"/>
          <w:sz w:val="22"/>
          <w:szCs w:val="22"/>
        </w:rPr>
        <w:t xml:space="preserve">Inspectorate Access to Legislative Records</w:t>
      </w:r>
    </w:p>
    <w:p>
      <w:pPr>
        <w:spacing w:after="120" w:before="0"/>
        <w:ind w:left="863"/>
        <w:jc w:val="both"/>
      </w:pPr>
      <w:r>
        <w:rPr>
          <w:rFonts w:ascii="Garamond" w:cs="Garamond" w:eastAsia="Garamond" w:hAnsi="Garamond"/>
          <w:color w:val="2a2520"/>
          <w:sz w:val="22"/>
          <w:szCs w:val="22"/>
        </w:rPr>
        <w:t xml:space="preserve">All three Inspectorates have full access to legislative records, committee deliberations, voting records, and draft legislation. The Legislature may not classify records from the Inspectorates.</w:t>
      </w:r>
    </w:p>
    <w:p>
      <w:pPr>
        <w:spacing w:after="60" w:before="200"/>
        <w:ind w:left="863"/>
      </w:pPr>
      <w:r>
        <w:rPr>
          <w:rFonts w:ascii="Courier New" w:cs="Courier New" w:eastAsia="Courier New" w:hAnsi="Courier New"/>
          <w:b/>
          <w:bCs/>
          <w:color w:val="1B2A4A"/>
          <w:sz w:val="18"/>
          <w:szCs w:val="18"/>
        </w:rPr>
        <w:t xml:space="preserve">§3.6.b  </w:t>
      </w:r>
      <w:r>
        <w:rPr>
          <w:rFonts w:ascii="Garamond" w:cs="Garamond" w:eastAsia="Garamond" w:hAnsi="Garamond"/>
          <w:b/>
          <w:bCs/>
          <w:color w:val="1B2A4A"/>
          <w:sz w:val="22"/>
          <w:szCs w:val="22"/>
        </w:rPr>
        <w:t xml:space="preserve">LI Pre-Passage Constitutional Review</w:t>
      </w:r>
    </w:p>
    <w:p>
      <w:pPr>
        <w:spacing w:after="120" w:before="0"/>
        <w:ind w:left="863"/>
        <w:jc w:val="both"/>
      </w:pPr>
      <w:r>
        <w:rPr>
          <w:rFonts w:ascii="Garamond" w:cs="Garamond" w:eastAsia="Garamond" w:hAnsi="Garamond"/>
          <w:color w:val="2a2520"/>
          <w:sz w:val="22"/>
          <w:szCs w:val="22"/>
        </w:rPr>
        <w:t xml:space="preserve">The LI publishes a constitutional analysis of any bill that appears to conflict with a constitutional provision, before the bill reaches a final vote. Advisory, not blocking — but creates a permanent NRS record that any member voting for the bill voted with full knowledge of the constitutional concern.</w:t>
      </w:r>
    </w:p>
    <w:p>
      <w:pPr>
        <w:spacing w:after="60" w:before="200"/>
        <w:ind w:left="863"/>
      </w:pPr>
      <w:r>
        <w:rPr>
          <w:rFonts w:ascii="Courier New" w:cs="Courier New" w:eastAsia="Courier New" w:hAnsi="Courier New"/>
          <w:b/>
          <w:bCs/>
          <w:color w:val="1B2A4A"/>
          <w:sz w:val="18"/>
          <w:szCs w:val="18"/>
        </w:rPr>
        <w:t xml:space="preserve">§3.6.c  </w:t>
      </w:r>
      <w:r>
        <w:rPr>
          <w:rFonts w:ascii="Garamond" w:cs="Garamond" w:eastAsia="Garamond" w:hAnsi="Garamond"/>
          <w:b/>
          <w:bCs/>
          <w:color w:val="1B2A4A"/>
          <w:sz w:val="22"/>
          <w:szCs w:val="22"/>
        </w:rPr>
        <w:t xml:space="preserve">Committee Structure</w:t>
      </w:r>
    </w:p>
    <w:p>
      <w:pPr>
        <w:spacing w:after="120" w:before="0"/>
        <w:ind w:left="863"/>
        <w:jc w:val="both"/>
      </w:pPr>
      <w:r>
        <w:rPr>
          <w:rFonts w:ascii="Garamond" w:cs="Garamond" w:eastAsia="Garamond" w:hAnsi="Garamond"/>
          <w:color w:val="2a2520"/>
          <w:sz w:val="22"/>
          <w:szCs w:val="22"/>
        </w:rPr>
        <w:t xml:space="preserve">Both chambers must maintain standing committees for their constitutionally assigned functions. Committees may not be abolished while they hold a constitutional mandate. The LI audits committee operations annually.</w:t>
      </w:r>
    </w:p>
    <w:p>
      <w:pPr>
        <w:spacing w:after="60" w:before="200"/>
        <w:ind w:left="863"/>
      </w:pPr>
      <w:r>
        <w:rPr>
          <w:rFonts w:ascii="Courier New" w:cs="Courier New" w:eastAsia="Courier New" w:hAnsi="Courier New"/>
          <w:b/>
          <w:bCs/>
          <w:color w:val="1B2A4A"/>
          <w:sz w:val="18"/>
          <w:szCs w:val="18"/>
        </w:rPr>
        <w:t xml:space="preserve">§3.6.d  </w:t>
      </w:r>
      <w:r>
        <w:rPr>
          <w:rFonts w:ascii="Garamond" w:cs="Garamond" w:eastAsia="Garamond" w:hAnsi="Garamond"/>
          <w:b/>
          <w:bCs/>
          <w:color w:val="1B2A4A"/>
          <w:sz w:val="22"/>
          <w:szCs w:val="22"/>
        </w:rPr>
        <w:t xml:space="preserve">Joint Sessions</w:t>
      </w:r>
    </w:p>
    <w:p>
      <w:pPr>
        <w:spacing w:after="120" w:before="0"/>
        <w:ind w:left="863"/>
        <w:jc w:val="both"/>
      </w:pPr>
      <w:r>
        <w:rPr>
          <w:rFonts w:ascii="Garamond" w:cs="Garamond" w:eastAsia="Garamond" w:hAnsi="Garamond"/>
          <w:color w:val="2a2520"/>
          <w:sz w:val="22"/>
          <w:szCs w:val="22"/>
        </w:rPr>
        <w:t xml:space="preserve">The two chambers may meet in joint session for constitutionally enumerated purposes: receiving Presidential addresses, certifying election results, and voting on constitutional amendments under Path A. Joint sessions do not allow mixing of the chambers' distinct functions.</w:t>
      </w:r>
    </w:p>
    <w:p>
      <w:pPr>
        <w:spacing w:after="60" w:before="200"/>
        <w:ind w:left="863"/>
      </w:pPr>
      <w:r>
        <w:rPr>
          <w:rFonts w:ascii="Courier New" w:cs="Courier New" w:eastAsia="Courier New" w:hAnsi="Courier New"/>
          <w:b/>
          <w:bCs/>
          <w:color w:val="1B2A4A"/>
          <w:sz w:val="18"/>
          <w:szCs w:val="18"/>
        </w:rPr>
        <w:t xml:space="preserve">§3.6.e  </w:t>
      </w:r>
      <w:r>
        <w:rPr>
          <w:rFonts w:ascii="Garamond" w:cs="Garamond" w:eastAsia="Garamond" w:hAnsi="Garamond"/>
          <w:b/>
          <w:bCs/>
          <w:color w:val="1B2A4A"/>
          <w:sz w:val="22"/>
          <w:szCs w:val="22"/>
        </w:rPr>
        <w:t xml:space="preserve">Legislative Ethics and Conduct</w:t>
      </w:r>
    </w:p>
    <w:p>
      <w:pPr>
        <w:spacing w:after="120" w:before="0"/>
        <w:ind w:left="863"/>
        <w:jc w:val="both"/>
      </w:pPr>
      <w:r>
        <w:rPr>
          <w:rFonts w:ascii="Garamond" w:cs="Garamond" w:eastAsia="Garamond" w:hAnsi="Garamond"/>
          <w:color w:val="2a2520"/>
          <w:sz w:val="22"/>
          <w:szCs w:val="22"/>
        </w:rPr>
        <w:t xml:space="preserve">The Legislature may establish a joint ethics committee with authority to sanction, suspend (not remove), or refer members to the EI for investigation. Removal requires a 2/3 vote of the relevant chamber following a published EI finding — the ethics committee cannot remove members, only the full chamber can.</w:t>
      </w:r>
    </w:p>
    <w:p>
      <w:pPr>
        <w:spacing w:after="60" w:before="200"/>
        <w:ind w:left="863"/>
      </w:pPr>
      <w:r>
        <w:rPr>
          <w:rFonts w:ascii="Courier New" w:cs="Courier New" w:eastAsia="Courier New" w:hAnsi="Courier New"/>
          <w:b/>
          <w:bCs/>
          <w:color w:val="1B2A4A"/>
          <w:sz w:val="18"/>
          <w:szCs w:val="18"/>
        </w:rPr>
        <w:t xml:space="preserve">§3.6.f  </w:t>
      </w:r>
      <w:r>
        <w:rPr>
          <w:rFonts w:ascii="Garamond" w:cs="Garamond" w:eastAsia="Garamond" w:hAnsi="Garamond"/>
          <w:b/>
          <w:bCs/>
          <w:color w:val="1B2A4A"/>
          <w:sz w:val="22"/>
          <w:szCs w:val="22"/>
        </w:rPr>
        <w:t xml:space="preserve">Legislative Privilege</w:t>
      </w:r>
    </w:p>
    <w:p>
      <w:pPr>
        <w:spacing w:after="120" w:before="0"/>
        <w:ind w:left="863"/>
        <w:jc w:val="both"/>
      </w:pPr>
      <w:r>
        <w:rPr>
          <w:rFonts w:ascii="Garamond" w:cs="Garamond" w:eastAsia="Garamond" w:hAnsi="Garamond"/>
          <w:color w:val="2a2520"/>
          <w:sz w:val="22"/>
          <w:szCs w:val="22"/>
        </w:rPr>
        <w:t xml:space="preserve">Members are privileged from civil arrest and civil suit arising from acts performed in their legislative capacity: votes, speeches, committee testimony. This privilege does not extend to criminal conduct, conduct outside legislative functions, or conduct the EI has certified as a constitutional breach.</w:t>
      </w:r>
    </w:p>
    <w:p>
      <w:pPr>
        <w:spacing w:after="60" w:before="200"/>
        <w:ind w:left="431"/>
      </w:pPr>
      <w:r>
        <w:rPr>
          <w:rFonts w:ascii="Courier New" w:cs="Courier New" w:eastAsia="Courier New" w:hAnsi="Courier New"/>
          <w:b/>
          <w:bCs/>
          <w:color w:val="1B2A4A"/>
          <w:sz w:val="18"/>
          <w:szCs w:val="18"/>
        </w:rPr>
        <w:t xml:space="preserve">§3.7  </w:t>
      </w:r>
      <w:r>
        <w:rPr>
          <w:rFonts w:ascii="Garamond" w:cs="Garamond" w:eastAsia="Garamond" w:hAnsi="Garamond"/>
          <w:b/>
          <w:bCs/>
          <w:color w:val="1B2A4A"/>
          <w:sz w:val="22"/>
          <w:szCs w:val="22"/>
        </w:rPr>
        <w:t xml:space="preserve">Independent Statutory Officers</w:t>
      </w:r>
    </w:p>
    <w:p>
      <w:pPr>
        <w:spacing w:after="120" w:before="0"/>
        <w:ind w:left="431"/>
        <w:jc w:val="both"/>
      </w:pPr>
      <w:r>
        <w:rPr>
          <w:rFonts w:ascii="Garamond" w:cs="Garamond" w:eastAsia="Garamond" w:hAnsi="Garamond"/>
          <w:color w:val="2a2520"/>
          <w:sz w:val="22"/>
          <w:szCs w:val="22"/>
        </w:rPr>
        <w:t xml:space="preserve">The constitution authorizes a class of statutory officers who operate independently of both executives. Their independence is structural — fixed terms, appointment from a JI-maintained registry, and removal only on the grounds specified in enabling statute.</w:t>
      </w:r>
    </w:p>
    <w:p>
      <w:pPr>
        <w:spacing w:after="60" w:before="200"/>
        <w:ind w:left="863"/>
      </w:pPr>
      <w:r>
        <w:rPr>
          <w:rFonts w:ascii="Courier New" w:cs="Courier New" w:eastAsia="Courier New" w:hAnsi="Courier New"/>
          <w:b/>
          <w:bCs/>
          <w:color w:val="1B2A4A"/>
          <w:sz w:val="18"/>
          <w:szCs w:val="18"/>
        </w:rPr>
        <w:t xml:space="preserve">§3.7.a  </w:t>
      </w:r>
      <w:r>
        <w:rPr>
          <w:rFonts w:ascii="Garamond" w:cs="Garamond" w:eastAsia="Garamond" w:hAnsi="Garamond"/>
          <w:b/>
          <w:bCs/>
          <w:color w:val="1B2A4A"/>
          <w:sz w:val="22"/>
          <w:szCs w:val="22"/>
        </w:rPr>
        <w:t xml:space="preserve">Authorization</w:t>
      </w:r>
    </w:p>
    <w:p>
      <w:pPr>
        <w:spacing w:after="120" w:before="0"/>
        <w:ind w:left="863"/>
        <w:jc w:val="both"/>
      </w:pPr>
      <w:r>
        <w:rPr>
          <w:rFonts w:ascii="Garamond" w:cs="Garamond" w:eastAsia="Garamond" w:hAnsi="Garamond"/>
          <w:color w:val="2a2520"/>
          <w:sz w:val="22"/>
          <w:szCs w:val="22"/>
        </w:rPr>
        <w:t xml:space="preserve">Statutory Independent Officers — the constitution authorizes the Legislature to create independent statutory offices outside both executive domains. They exercise regulatory, quasi-judicial, or administrative functions with constitutional independence — neither executive may direct their operations.</w:t>
      </w:r>
    </w:p>
    <w:p>
      <w:pPr>
        <w:spacing w:after="60" w:before="200"/>
        <w:ind w:left="863"/>
      </w:pPr>
      <w:r>
        <w:rPr>
          <w:rFonts w:ascii="Courier New" w:cs="Courier New" w:eastAsia="Courier New" w:hAnsi="Courier New"/>
          <w:b/>
          <w:bCs/>
          <w:color w:val="1B2A4A"/>
          <w:sz w:val="18"/>
          <w:szCs w:val="18"/>
        </w:rPr>
        <w:t xml:space="preserve">§3.7.b  </w:t>
      </w:r>
      <w:r>
        <w:rPr>
          <w:rFonts w:ascii="Garamond" w:cs="Garamond" w:eastAsia="Garamond" w:hAnsi="Garamond"/>
          <w:b/>
          <w:bCs/>
          <w:color w:val="1B2A4A"/>
          <w:sz w:val="22"/>
          <w:szCs w:val="22"/>
        </w:rPr>
        <w:t xml:space="preserve">Appointment</w:t>
      </w:r>
    </w:p>
    <w:p>
      <w:pPr>
        <w:spacing w:after="120" w:before="0"/>
        <w:ind w:left="863"/>
        <w:jc w:val="both"/>
      </w:pPr>
      <w:r>
        <w:rPr>
          <w:rFonts w:ascii="Garamond" w:cs="Garamond" w:eastAsia="Garamond" w:hAnsi="Garamond"/>
          <w:color w:val="2a2520"/>
          <w:sz w:val="22"/>
          <w:szCs w:val="22"/>
        </w:rPr>
        <w:t xml:space="preserve">Registry and Nomination for Independent Officers — the JI maintains a registry of qualified candidates for each independent statutory office. The PM may only nominate from the registry. The EI reviews each nominee's disclosure record for factual accuracy before Senate confirmation. Prevents purely political appointments while preserving the PM's nomination discretion within the qualified pool.</w:t>
      </w:r>
    </w:p>
    <w:p>
      <w:pPr>
        <w:spacing w:after="60" w:before="200"/>
        <w:ind w:left="863"/>
      </w:pPr>
      <w:r>
        <w:rPr>
          <w:rFonts w:ascii="Courier New" w:cs="Courier New" w:eastAsia="Courier New" w:hAnsi="Courier New"/>
          <w:b/>
          <w:bCs/>
          <w:color w:val="1B2A4A"/>
          <w:sz w:val="18"/>
          <w:szCs w:val="18"/>
        </w:rPr>
        <w:t xml:space="preserve">§3.7.c  </w:t>
      </w:r>
      <w:r>
        <w:rPr>
          <w:rFonts w:ascii="Garamond" w:cs="Garamond" w:eastAsia="Garamond" w:hAnsi="Garamond"/>
          <w:b/>
          <w:bCs/>
          <w:color w:val="1B2A4A"/>
          <w:sz w:val="22"/>
          <w:szCs w:val="22"/>
        </w:rPr>
        <w:t xml:space="preserve">Senate Confirmation of Independent Officers</w:t>
      </w:r>
    </w:p>
    <w:p>
      <w:pPr>
        <w:spacing w:after="120" w:before="0"/>
        <w:ind w:left="863"/>
        <w:jc w:val="both"/>
      </w:pPr>
      <w:r>
        <w:rPr>
          <w:rFonts w:ascii="Garamond" w:cs="Garamond" w:eastAsia="Garamond" w:hAnsi="Garamond"/>
          <w:color w:val="2a2520"/>
          <w:sz w:val="22"/>
          <w:szCs w:val="22"/>
        </w:rPr>
        <w:t xml:space="preserve">Confirmed by the Senate. Thresholds defined by the enabling statute within constitutional bounds. The Senate may not confirm an officer the EI has flagged for a material disclosure inaccuracy until the discrepancy is resolved.</w:t>
      </w:r>
    </w:p>
    <w:p>
      <w:pPr>
        <w:spacing w:after="60" w:before="200"/>
        <w:ind w:left="863"/>
      </w:pPr>
      <w:r>
        <w:rPr>
          <w:rFonts w:ascii="Courier New" w:cs="Courier New" w:eastAsia="Courier New" w:hAnsi="Courier New"/>
          <w:b/>
          <w:bCs/>
          <w:color w:val="1B2A4A"/>
          <w:sz w:val="18"/>
          <w:szCs w:val="18"/>
        </w:rPr>
        <w:t xml:space="preserve">§3.7.d  </w:t>
      </w:r>
      <w:r>
        <w:rPr>
          <w:rFonts w:ascii="Garamond" w:cs="Garamond" w:eastAsia="Garamond" w:hAnsi="Garamond"/>
          <w:b/>
          <w:bCs/>
          <w:color w:val="1B2A4A"/>
          <w:sz w:val="22"/>
          <w:szCs w:val="22"/>
        </w:rPr>
        <w:t xml:space="preserve">Removal of Independent Officers</w:t>
      </w:r>
    </w:p>
    <w:p>
      <w:pPr>
        <w:spacing w:after="120" w:before="0"/>
        <w:ind w:left="863"/>
        <w:jc w:val="both"/>
      </w:pPr>
      <w:r>
        <w:rPr>
          <w:rFonts w:ascii="Garamond" w:cs="Garamond" w:eastAsia="Garamond" w:hAnsi="Garamond"/>
          <w:color w:val="2a2520"/>
          <w:sz w:val="22"/>
          <w:szCs w:val="22"/>
        </w:rPr>
        <w:t xml:space="preserve">Removal requires a for-cause finding. The EI must publish a factual finding before any removal vote. Removal is by 2/3 of both chambers simultaneously. Neither executive may remove a statutory independent officer unilaterally.</w:t>
      </w:r>
    </w:p>
    <w:p>
      <w:pPr>
        <w:spacing w:after="60" w:before="200"/>
        <w:ind w:left="431"/>
      </w:pPr>
      <w:r>
        <w:rPr>
          <w:rFonts w:ascii="Courier New" w:cs="Courier New" w:eastAsia="Courier New" w:hAnsi="Courier New"/>
          <w:b/>
          <w:bCs/>
          <w:color w:val="1B2A4A"/>
          <w:sz w:val="18"/>
          <w:szCs w:val="18"/>
        </w:rPr>
        <w:t xml:space="preserve">§3.8  </w:t>
      </w:r>
      <w:r>
        <w:rPr>
          <w:rFonts w:ascii="Garamond" w:cs="Garamond" w:eastAsia="Garamond" w:hAnsi="Garamond"/>
          <w:b/>
          <w:bCs/>
          <w:color w:val="1B2A4A"/>
          <w:sz w:val="22"/>
          <w:szCs w:val="22"/>
        </w:rPr>
        <w:t xml:space="preserve">Impeachment</w:t>
      </w:r>
    </w:p>
    <w:p>
      <w:pPr>
        <w:spacing w:after="120" w:before="0"/>
        <w:ind w:left="431"/>
        <w:jc w:val="both"/>
      </w:pPr>
      <w:r>
        <w:rPr>
          <w:rFonts w:ascii="Garamond" w:cs="Garamond" w:eastAsia="Garamond" w:hAnsi="Garamond"/>
          <w:color w:val="2a2520"/>
          <w:sz w:val="22"/>
          <w:szCs w:val="22"/>
        </w:rPr>
        <w:t xml:space="preserve">The House may initiate impeachment proceedings against officers appointed to and serving in the President's executive domain, and against inferior court judges. The President is not subject to this section — presidential removal is governed exclusively by §2.10. The Prime Minister is not subject to this section — PM removal is governed exclusively by §2.3.a. Supreme Court justices are not subject to this section — SC removal is governed exclusively by §4.1.d. Legislative members are not subject to this section — their removal is governed exclusively by §3.6.</w:t>
      </w:r>
    </w:p>
    <w:p>
      <w:pPr>
        <w:spacing w:after="60" w:before="200"/>
        <w:ind w:left="863"/>
      </w:pPr>
      <w:r>
        <w:rPr>
          <w:rFonts w:ascii="Courier New" w:cs="Courier New" w:eastAsia="Courier New" w:hAnsi="Courier New"/>
          <w:b/>
          <w:bCs/>
          <w:color w:val="1B2A4A"/>
          <w:sz w:val="18"/>
          <w:szCs w:val="18"/>
        </w:rPr>
        <w:t xml:space="preserve">§3.8.a  </w:t>
      </w:r>
      <w:r>
        <w:rPr>
          <w:rFonts w:ascii="Garamond" w:cs="Garamond" w:eastAsia="Garamond" w:hAnsi="Garamond"/>
          <w:b/>
          <w:bCs/>
          <w:color w:val="1B2A4A"/>
          <w:sz w:val="22"/>
          <w:szCs w:val="22"/>
        </w:rPr>
        <w:t xml:space="preserve">Impeachment Inquiry</w:t>
      </w:r>
    </w:p>
    <w:p>
      <w:pPr>
        <w:spacing w:after="120" w:before="0"/>
        <w:ind w:left="863"/>
        <w:jc w:val="both"/>
      </w:pPr>
      <w:r>
        <w:rPr>
          <w:rFonts w:ascii="Garamond" w:cs="Garamond" w:eastAsia="Garamond" w:hAnsi="Garamond"/>
          <w:color w:val="2a2520"/>
          <w:sz w:val="22"/>
          <w:szCs w:val="22"/>
        </w:rPr>
        <w:t xml:space="preserve">Any 1/3 minority of the House may open a formal impeachment inquiry. The inquiry is conducted by a House committee with findings published to the NRS. An inquiry carries no immediate consequences for the subject official. Inquiries lapse at the end of the legislative session if no Articles of Impeachment are filed.</w:t>
      </w:r>
    </w:p>
    <w:p>
      <w:pPr>
        <w:spacing w:after="60" w:before="200"/>
        <w:ind w:left="863"/>
      </w:pPr>
      <w:r>
        <w:rPr>
          <w:rFonts w:ascii="Courier New" w:cs="Courier New" w:eastAsia="Courier New" w:hAnsi="Courier New"/>
          <w:b/>
          <w:bCs/>
          <w:color w:val="1B2A4A"/>
          <w:sz w:val="18"/>
          <w:szCs w:val="18"/>
        </w:rPr>
        <w:t xml:space="preserve">§3.8.b  </w:t>
      </w:r>
      <w:r>
        <w:rPr>
          <w:rFonts w:ascii="Garamond" w:cs="Garamond" w:eastAsia="Garamond" w:hAnsi="Garamond"/>
          <w:b/>
          <w:bCs/>
          <w:color w:val="1B2A4A"/>
          <w:sz w:val="22"/>
          <w:szCs w:val="22"/>
        </w:rPr>
        <w:t xml:space="preserve">Articles of Impeachment</w:t>
      </w:r>
    </w:p>
    <w:p>
      <w:pPr>
        <w:spacing w:after="120" w:before="0"/>
        <w:ind w:left="863"/>
        <w:jc w:val="both"/>
      </w:pPr>
      <w:r>
        <w:rPr>
          <w:rFonts w:ascii="Garamond" w:cs="Garamond" w:eastAsia="Garamond" w:hAnsi="Garamond"/>
          <w:color w:val="2a2520"/>
          <w:sz w:val="22"/>
          <w:szCs w:val="22"/>
        </w:rPr>
        <w:t xml:space="preserve">The full House votes on Articles of Impeachment by absolute majority of full seated membership. Passage transmits the Articles immediately to the Senate and publishes them permanently to the NRS. The Articles must state specific grounds in plain language. The subject official continues in office pending the Senate trial. Impeachment proceedings and Inspectorate findings proceed concurrently on independent tracks; the more restrictive consequence applies where both converge.</w:t>
      </w:r>
    </w:p>
    <w:p>
      <w:pPr>
        <w:spacing w:after="60" w:before="200"/>
        <w:ind w:left="863"/>
      </w:pPr>
      <w:r>
        <w:rPr>
          <w:rFonts w:ascii="Courier New" w:cs="Courier New" w:eastAsia="Courier New" w:hAnsi="Courier New"/>
          <w:b/>
          <w:bCs/>
          <w:color w:val="1B2A4A"/>
          <w:sz w:val="18"/>
          <w:szCs w:val="18"/>
        </w:rPr>
        <w:t xml:space="preserve">§3.8.c  </w:t>
      </w:r>
      <w:r>
        <w:rPr>
          <w:rFonts w:ascii="Garamond" w:cs="Garamond" w:eastAsia="Garamond" w:hAnsi="Garamond"/>
          <w:b/>
          <w:bCs/>
          <w:color w:val="1B2A4A"/>
          <w:sz w:val="22"/>
          <w:szCs w:val="22"/>
        </w:rPr>
        <w:t xml:space="preserve">Senate Trial</w:t>
      </w:r>
    </w:p>
    <w:p>
      <w:pPr>
        <w:spacing w:after="120" w:before="0"/>
        <w:ind w:left="863"/>
        <w:jc w:val="both"/>
      </w:pPr>
      <w:r>
        <w:rPr>
          <w:rFonts w:ascii="Garamond" w:cs="Garamond" w:eastAsia="Garamond" w:hAnsi="Garamond"/>
          <w:color w:val="2a2520"/>
          <w:sz w:val="22"/>
          <w:szCs w:val="22"/>
        </w:rPr>
        <w:t xml:space="preserve">The President presides over Senate impeachment trials without voting on the final removal question. Where the President is the subject of proceedings under §2.10, the most senior available Supreme Court justice presides under the same conditions. The trial is conducted in public and recorded on the NRS. Conviction and removal requires 2/3 of the full seated Senate membership. On conviction: removal is automatic and immediate; the Senate may additionally bar the convicted official from future federal office by simple majority vote; all criminal liability remains separately pursuable. Acquittal is final — no further impeachment proceedings on the same Articles and the same conduct may be initiated. An acquitted or convicted official retains all Article I rights.</w:t>
      </w:r>
    </w:p>
    <w:p>
      <w:pPr>
        <w:spacing w:after="60" w:before="200"/>
        <w:ind w:left="863"/>
      </w:pPr>
      <w:r>
        <w:rPr>
          <w:rFonts w:ascii="Courier New" w:cs="Courier New" w:eastAsia="Courier New" w:hAnsi="Courier New"/>
          <w:b/>
          <w:bCs/>
          <w:color w:val="1B2A4A"/>
          <w:sz w:val="18"/>
          <w:szCs w:val="18"/>
        </w:rPr>
        <w:t xml:space="preserve">§3.8.d  </w:t>
      </w:r>
      <w:r>
        <w:rPr>
          <w:rFonts w:ascii="Garamond" w:cs="Garamond" w:eastAsia="Garamond" w:hAnsi="Garamond"/>
          <w:b/>
          <w:bCs/>
          <w:color w:val="1B2A4A"/>
          <w:sz w:val="22"/>
          <w:szCs w:val="22"/>
        </w:rPr>
        <w:t xml:space="preserve">Executive Continuity During Impeachment</w:t>
      </w:r>
    </w:p>
    <w:p>
      <w:pPr>
        <w:spacing w:after="120" w:before="0"/>
        <w:ind w:left="863"/>
        <w:jc w:val="both"/>
      </w:pPr>
      <w:r>
        <w:rPr>
          <w:rFonts w:ascii="Garamond" w:cs="Garamond" w:eastAsia="Garamond" w:hAnsi="Garamond"/>
          <w:color w:val="2a2520"/>
          <w:sz w:val="22"/>
          <w:szCs w:val="22"/>
        </w:rPr>
        <w:t xml:space="preserve">Impeachment of an officer within the President's executive domain activates the relevant succession protocols for that officer's functions from the date the House passes Articles, pending the Senate trial's conclusion. The impeached official retains personal Article I rights but is relieved of executive authority pending the Senate trial.</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IV — The Judiciary</w:t>
      </w:r>
    </w:p>
    <w:p>
      <w:pPr>
        <w:spacing w:after="120"/>
      </w:pPr>
    </w:p>
    <w:p>
      <w:pPr>
        <w:spacing w:after="60" w:before="200"/>
        <w:ind w:left="431"/>
      </w:pPr>
      <w:r>
        <w:rPr>
          <w:rFonts w:ascii="Courier New" w:cs="Courier New" w:eastAsia="Courier New" w:hAnsi="Courier New"/>
          <w:b/>
          <w:bCs/>
          <w:color w:val="1B2A4A"/>
          <w:sz w:val="18"/>
          <w:szCs w:val="18"/>
        </w:rPr>
        <w:t xml:space="preserve">§4.1  </w:t>
      </w:r>
      <w:r>
        <w:rPr>
          <w:rFonts w:ascii="Garamond" w:cs="Garamond" w:eastAsia="Garamond" w:hAnsi="Garamond"/>
          <w:b/>
          <w:bCs/>
          <w:color w:val="1B2A4A"/>
          <w:sz w:val="22"/>
          <w:szCs w:val="22"/>
        </w:rPr>
        <w:t xml:space="preserve">Court Structure</w:t>
      </w:r>
    </w:p>
    <w:p>
      <w:pPr>
        <w:spacing w:after="120" w:before="0"/>
        <w:ind w:left="431"/>
        <w:jc w:val="both"/>
      </w:pPr>
      <w:r>
        <w:rPr>
          <w:rFonts w:ascii="Garamond" w:cs="Garamond" w:eastAsia="Garamond" w:hAnsi="Garamond"/>
          <w:color w:val="2a2520"/>
          <w:sz w:val="22"/>
          <w:szCs w:val="22"/>
        </w:rPr>
        <w:t xml:space="preserve">The Republic's judiciary operates at three levels: District Courts (fact-finding and evidence), Appellate Courts (rules compliance), and the Supreme Court (final constitutional authority). States may maintain specialized court structures by statute, provided any constitutional question arising in any proceeding may be referred to the Supreme Court by any party or by the presiding court of its own motion.</w:t>
      </w:r>
    </w:p>
    <w:p>
      <w:pPr>
        <w:spacing w:after="60" w:before="200"/>
        <w:ind w:left="863"/>
      </w:pPr>
      <w:r>
        <w:rPr>
          <w:rFonts w:ascii="Courier New" w:cs="Courier New" w:eastAsia="Courier New" w:hAnsi="Courier New"/>
          <w:b/>
          <w:bCs/>
          <w:color w:val="1B2A4A"/>
          <w:sz w:val="18"/>
          <w:szCs w:val="18"/>
        </w:rPr>
        <w:t xml:space="preserve">§4.1.a  </w:t>
      </w:r>
      <w:r>
        <w:rPr>
          <w:rFonts w:ascii="Garamond" w:cs="Garamond" w:eastAsia="Garamond" w:hAnsi="Garamond"/>
          <w:b/>
          <w:bCs/>
          <w:color w:val="1B2A4A"/>
          <w:sz w:val="22"/>
          <w:szCs w:val="22"/>
        </w:rPr>
        <w:t xml:space="preserve">Establishment</w:t>
      </w:r>
    </w:p>
    <w:p>
      <w:pPr>
        <w:spacing w:after="120" w:before="0"/>
        <w:ind w:left="863"/>
        <w:jc w:val="both"/>
      </w:pPr>
      <w:r>
        <w:rPr>
          <w:rFonts w:ascii="Garamond" w:cs="Garamond" w:eastAsia="Garamond" w:hAnsi="Garamond"/>
          <w:color w:val="2a2520"/>
          <w:sz w:val="22"/>
          <w:szCs w:val="22"/>
        </w:rPr>
        <w:t xml:space="preserve">The House alone may create or abolish inferior courts by statute — one of the few exclusively House powers. The Senate confirms the judges who sit on those courts (§4.1.b), but the existence and structure of the courts is a House matter. The House may also define the jurisdiction and rules of inferior courts by statute, subject to constitutional constraints on judicial independence.</w:t>
      </w:r>
    </w:p>
    <w:p>
      <w:pPr>
        <w:spacing w:after="60" w:before="200"/>
        <w:ind w:left="863"/>
      </w:pPr>
      <w:r>
        <w:rPr>
          <w:rFonts w:ascii="Courier New" w:cs="Courier New" w:eastAsia="Courier New" w:hAnsi="Courier New"/>
          <w:b/>
          <w:bCs/>
          <w:color w:val="1B2A4A"/>
          <w:sz w:val="18"/>
          <w:szCs w:val="18"/>
        </w:rPr>
        <w:t xml:space="preserve">§4.1.b  </w:t>
      </w:r>
      <w:r>
        <w:rPr>
          <w:rFonts w:ascii="Garamond" w:cs="Garamond" w:eastAsia="Garamond" w:hAnsi="Garamond"/>
          <w:b/>
          <w:bCs/>
          <w:color w:val="1B2A4A"/>
          <w:sz w:val="22"/>
          <w:szCs w:val="22"/>
        </w:rPr>
        <w:t xml:space="preserve">Appointment of Inferior Courts</w:t>
      </w:r>
    </w:p>
    <w:p>
      <w:pPr>
        <w:spacing w:after="120" w:before="0"/>
        <w:ind w:left="863"/>
        <w:jc w:val="both"/>
      </w:pPr>
      <w:r>
        <w:rPr>
          <w:rFonts w:ascii="Garamond" w:cs="Garamond" w:eastAsia="Garamond" w:hAnsi="Garamond"/>
          <w:color w:val="2a2520"/>
          <w:sz w:val="22"/>
          <w:szCs w:val="22"/>
        </w:rPr>
        <w:t xml:space="preserve">The PM nominates inferior court judges within 90 days of a vacancy. The Senate confirms by a supermajority of 55–67% of full seated membership, as the Legislature defines by statute. Before the confirmation vote, the PM submits the nominee's disclosure record to the EI; the EI publishes its review before the vote. Where the PM fails to nominate within 90 days, the Senate may nominate directly. The confirmation period is prorated where nomination occurs late. No vacancy may remain unfilled beyond 180 days; Deemed Confirmation applies at that ceiling if no vote has been held.</w:t>
      </w:r>
    </w:p>
    <w:p>
      <w:pPr>
        <w:spacing w:after="60" w:before="200"/>
        <w:ind w:left="863"/>
      </w:pPr>
      <w:r>
        <w:rPr>
          <w:rFonts w:ascii="Courier New" w:cs="Courier New" w:eastAsia="Courier New" w:hAnsi="Courier New"/>
          <w:b/>
          <w:bCs/>
          <w:color w:val="1B2A4A"/>
          <w:sz w:val="18"/>
          <w:szCs w:val="18"/>
        </w:rPr>
        <w:t xml:space="preserve">§4.1.c  </w:t>
      </w:r>
      <w:r>
        <w:rPr>
          <w:rFonts w:ascii="Garamond" w:cs="Garamond" w:eastAsia="Garamond" w:hAnsi="Garamond"/>
          <w:b/>
          <w:bCs/>
          <w:color w:val="1B2A4A"/>
          <w:sz w:val="22"/>
          <w:szCs w:val="22"/>
        </w:rPr>
        <w:t xml:space="preserve">Judicial Tenure Protection</w:t>
      </w:r>
    </w:p>
    <w:p>
      <w:pPr>
        <w:spacing w:after="120" w:before="0"/>
        <w:ind w:left="863"/>
        <w:jc w:val="both"/>
      </w:pPr>
      <w:r>
        <w:rPr>
          <w:rFonts w:ascii="Garamond" w:cs="Garamond" w:eastAsia="Garamond" w:hAnsi="Garamond"/>
          <w:color w:val="2a2520"/>
          <w:sz w:val="22"/>
          <w:szCs w:val="22"/>
        </w:rPr>
        <w:t xml:space="preserve">Inferior court judges, once commissioned, serve during good behavior with no fixed term. The Legislature may establish a maximum service age or maximum total service period (not less than 15 years from first commissioning), but may not create fixed-term appointments shorter than 15 years. Ensures judicial independence from political branches — a judge who must seek reappointment is not fully independent.</w:t>
      </w:r>
    </w:p>
    <w:p>
      <w:pPr>
        <w:spacing w:after="60" w:before="200"/>
        <w:ind w:left="863"/>
      </w:pPr>
      <w:r>
        <w:rPr>
          <w:rFonts w:ascii="Courier New" w:cs="Courier New" w:eastAsia="Courier New" w:hAnsi="Courier New"/>
          <w:b/>
          <w:bCs/>
          <w:color w:val="1B2A4A"/>
          <w:sz w:val="18"/>
          <w:szCs w:val="18"/>
        </w:rPr>
        <w:t xml:space="preserve">§4.1.d  </w:t>
      </w:r>
      <w:r>
        <w:rPr>
          <w:rFonts w:ascii="Garamond" w:cs="Garamond" w:eastAsia="Garamond" w:hAnsi="Garamond"/>
          <w:b/>
          <w:bCs/>
          <w:color w:val="1B2A4A"/>
          <w:sz w:val="22"/>
          <w:szCs w:val="22"/>
        </w:rPr>
        <w:t xml:space="preserve">Judicial Removal</w:t>
      </w:r>
    </w:p>
    <w:p>
      <w:pPr>
        <w:spacing w:after="120" w:before="0"/>
        <w:ind w:left="863"/>
        <w:jc w:val="both"/>
      </w:pPr>
      <w:r>
        <w:rPr>
          <w:rFonts w:ascii="Garamond" w:cs="Garamond" w:eastAsia="Garamond" w:hAnsi="Garamond"/>
          <w:color w:val="2a2520"/>
          <w:sz w:val="22"/>
          <w:szCs w:val="22"/>
        </w:rPr>
        <w:t xml:space="preserve">Three tracks: legislative removal by 2/3 of both chambers for constitutional breach or demonstrated incapacity; judicial discipline through the SC's internal accountability process; and criminal conviction for disqualifying offenses. The EI must publish a factual finding before any legislative removal vote.</w:t>
      </w:r>
    </w:p>
    <w:p>
      <w:pPr>
        <w:spacing w:after="60" w:before="200"/>
        <w:ind w:left="431"/>
      </w:pPr>
      <w:r>
        <w:rPr>
          <w:rFonts w:ascii="Courier New" w:cs="Courier New" w:eastAsia="Courier New" w:hAnsi="Courier New"/>
          <w:b/>
          <w:bCs/>
          <w:color w:val="1B2A4A"/>
          <w:sz w:val="18"/>
          <w:szCs w:val="18"/>
        </w:rPr>
        <w:t xml:space="preserve">§4.2  </w:t>
      </w:r>
      <w:r>
        <w:rPr>
          <w:rFonts w:ascii="Garamond" w:cs="Garamond" w:eastAsia="Garamond" w:hAnsi="Garamond"/>
          <w:b/>
          <w:bCs/>
          <w:color w:val="1B2A4A"/>
          <w:sz w:val="22"/>
          <w:szCs w:val="22"/>
        </w:rPr>
        <w:t xml:space="preserve">Open-Candidacy Judicial Selection</w:t>
      </w:r>
    </w:p>
    <w:p>
      <w:pPr>
        <w:spacing w:after="120" w:before="0"/>
        <w:ind w:left="431"/>
        <w:jc w:val="both"/>
      </w:pPr>
      <w:r>
        <w:rPr>
          <w:rFonts w:ascii="Garamond" w:cs="Garamond" w:eastAsia="Garamond" w:hAnsi="Garamond"/>
          <w:color w:val="2a2520"/>
          <w:sz w:val="22"/>
          <w:szCs w:val="22"/>
        </w:rPr>
        <w:t xml:space="preserve">Supreme Court justices are elected by national ranked-choice vote from an open pool of registered candidates. No political branch nominates, appoints, or confirms SC justices. Three justices are elected every four years under a staggered class system; each serves a single non-renewable 12-year term.</w:t>
      </w:r>
    </w:p>
    <w:p>
      <w:pPr>
        <w:spacing w:after="60" w:before="200"/>
        <w:ind w:left="863"/>
      </w:pPr>
      <w:r>
        <w:rPr>
          <w:rFonts w:ascii="Courier New" w:cs="Courier New" w:eastAsia="Courier New" w:hAnsi="Courier New"/>
          <w:b/>
          <w:bCs/>
          <w:color w:val="1B2A4A"/>
          <w:sz w:val="18"/>
          <w:szCs w:val="18"/>
        </w:rPr>
        <w:t xml:space="preserve">§4.2.a  </w:t>
      </w:r>
      <w:r>
        <w:rPr>
          <w:rFonts w:ascii="Garamond" w:cs="Garamond" w:eastAsia="Garamond" w:hAnsi="Garamond"/>
          <w:b/>
          <w:bCs/>
          <w:color w:val="1B2A4A"/>
          <w:sz w:val="22"/>
          <w:szCs w:val="22"/>
        </w:rPr>
        <w:t xml:space="preserve">Candidate Registration</w:t>
      </w:r>
    </w:p>
    <w:p>
      <w:pPr>
        <w:spacing w:after="120" w:before="0"/>
        <w:ind w:left="863"/>
        <w:jc w:val="both"/>
      </w:pPr>
      <w:r>
        <w:rPr>
          <w:rFonts w:ascii="Garamond" w:cs="Garamond" w:eastAsia="Garamond" w:hAnsi="Garamond"/>
          <w:color w:val="2a2520"/>
          <w:sz w:val="22"/>
          <w:szCs w:val="22"/>
        </w:rPr>
        <w:t xml:space="preserve">Any citizen on the SC Candidate Registry (maintained by the JI under §8.4.e) may stand by filing a full disclosure record with the EI. The EI reviews within 14 days for factual accuracy — not to assess the quality of credentials. A candidate with a material inaccuracy is removed from the ballot; the EI publishes the grounds.</w:t>
      </w:r>
    </w:p>
    <w:p>
      <w:pPr>
        <w:spacing w:after="60" w:before="200"/>
        <w:ind w:left="863"/>
      </w:pPr>
      <w:r>
        <w:rPr>
          <w:rFonts w:ascii="Courier New" w:cs="Courier New" w:eastAsia="Courier New" w:hAnsi="Courier New"/>
          <w:b/>
          <w:bCs/>
          <w:color w:val="1B2A4A"/>
          <w:sz w:val="18"/>
          <w:szCs w:val="18"/>
        </w:rPr>
        <w:t xml:space="preserve">§4.2.b  </w:t>
      </w:r>
      <w:r>
        <w:rPr>
          <w:rFonts w:ascii="Garamond" w:cs="Garamond" w:eastAsia="Garamond" w:hAnsi="Garamond"/>
          <w:b/>
          <w:bCs/>
          <w:color w:val="1B2A4A"/>
          <w:sz w:val="22"/>
          <w:szCs w:val="22"/>
        </w:rPr>
        <w:t xml:space="preserve">Judicial Selection Board</w:t>
      </w:r>
    </w:p>
    <w:p>
      <w:pPr>
        <w:spacing w:after="120" w:before="0"/>
        <w:ind w:left="863"/>
        <w:jc w:val="both"/>
      </w:pPr>
      <w:r>
        <w:rPr>
          <w:rFonts w:ascii="Garamond" w:cs="Garamond" w:eastAsia="Garamond" w:hAnsi="Garamond"/>
          <w:color w:val="2a2520"/>
          <w:sz w:val="22"/>
          <w:szCs w:val="22"/>
        </w:rPr>
        <w:t xml:space="preserve">Five senior judges (at least 10 years continuous service) chosen by lot by the JI from all eligible judges who are not themselves candidates. Advisory assessment of every candidate's judicial record, legal reasoning, and professional independence. Advisory only — no ballot access authority, no endorsement. Published no later than 60 days before the election.</w:t>
      </w:r>
    </w:p>
    <w:p>
      <w:pPr>
        <w:spacing w:after="60" w:before="200"/>
        <w:ind w:left="863"/>
      </w:pPr>
      <w:r>
        <w:rPr>
          <w:rFonts w:ascii="Courier New" w:cs="Courier New" w:eastAsia="Courier New" w:hAnsi="Courier New"/>
          <w:b/>
          <w:bCs/>
          <w:color w:val="1B2A4A"/>
          <w:sz w:val="18"/>
          <w:szCs w:val="18"/>
        </w:rPr>
        <w:t xml:space="preserve">§4.2.c  </w:t>
      </w:r>
      <w:r>
        <w:rPr>
          <w:rFonts w:ascii="Garamond" w:cs="Garamond" w:eastAsia="Garamond" w:hAnsi="Garamond"/>
          <w:b/>
          <w:bCs/>
          <w:color w:val="1B2A4A"/>
          <w:sz w:val="22"/>
          <w:szCs w:val="22"/>
        </w:rPr>
        <w:t xml:space="preserve">Judicial Inspectorate Certification</w:t>
      </w:r>
    </w:p>
    <w:p>
      <w:pPr>
        <w:spacing w:after="120" w:before="0"/>
        <w:ind w:left="863"/>
        <w:jc w:val="both"/>
      </w:pPr>
      <w:r>
        <w:rPr>
          <w:rFonts w:ascii="Garamond" w:cs="Garamond" w:eastAsia="Garamond" w:hAnsi="Garamond"/>
          <w:color w:val="2a2520"/>
          <w:sz w:val="22"/>
          <w:szCs w:val="22"/>
        </w:rPr>
        <w:t xml:space="preserve">JI Certification — the JI confirms that each candidate remains on the SC Candidate Registry and that no disqualifying change has occurred since Registry admission. Ministerial check, not a new assessment. Candidates who fail JI certification may appeal to an Appellate Court within 14 days.</w:t>
      </w:r>
    </w:p>
    <w:p>
      <w:pPr>
        <w:spacing w:after="60" w:before="200"/>
        <w:ind w:left="863"/>
      </w:pPr>
      <w:r>
        <w:rPr>
          <w:rFonts w:ascii="Courier New" w:cs="Courier New" w:eastAsia="Courier New" w:hAnsi="Courier New"/>
          <w:b/>
          <w:bCs/>
          <w:color w:val="1B2A4A"/>
          <w:sz w:val="18"/>
          <w:szCs w:val="18"/>
        </w:rPr>
        <w:t xml:space="preserve">§4.2.d  </w:t>
      </w:r>
      <w:r>
        <w:rPr>
          <w:rFonts w:ascii="Garamond" w:cs="Garamond" w:eastAsia="Garamond" w:hAnsi="Garamond"/>
          <w:b/>
          <w:bCs/>
          <w:color w:val="1B2A4A"/>
          <w:sz w:val="22"/>
          <w:szCs w:val="22"/>
        </w:rPr>
        <w:t xml:space="preserve">Public Election</w:t>
      </w:r>
    </w:p>
    <w:p>
      <w:pPr>
        <w:spacing w:after="120" w:before="0"/>
        <w:ind w:left="863"/>
        <w:jc w:val="both"/>
      </w:pPr>
      <w:r>
        <w:rPr>
          <w:rFonts w:ascii="Garamond" w:cs="Garamond" w:eastAsia="Garamond" w:hAnsi="Garamond"/>
          <w:color w:val="2a2520"/>
          <w:sz w:val="22"/>
          <w:szCs w:val="22"/>
        </w:rPr>
        <w:t xml:space="preserve">National RCV election administered by the Electoral Commission. All JI-certified candidates appear on the ballot. Winner achieves a national RCV majority. The EC certifies the result; the elected justice takes the Official Oath. Recorded on the NRS within 24 hours. From this moment, the justice serves a single non-renewable 12-year term.</w:t>
      </w:r>
    </w:p>
    <w:p>
      <w:pPr>
        <w:spacing w:after="60" w:before="200"/>
        <w:ind w:left="863"/>
      </w:pPr>
      <w:r>
        <w:rPr>
          <w:rFonts w:ascii="Courier New" w:cs="Courier New" w:eastAsia="Courier New" w:hAnsi="Courier New"/>
          <w:b/>
          <w:bCs/>
          <w:color w:val="1B2A4A"/>
          <w:sz w:val="18"/>
          <w:szCs w:val="18"/>
        </w:rPr>
        <w:t xml:space="preserve">§4.2.e  </w:t>
      </w:r>
      <w:r>
        <w:rPr>
          <w:rFonts w:ascii="Garamond" w:cs="Garamond" w:eastAsia="Garamond" w:hAnsi="Garamond"/>
          <w:b/>
          <w:bCs/>
          <w:color w:val="1B2A4A"/>
          <w:sz w:val="22"/>
          <w:szCs w:val="22"/>
        </w:rPr>
        <w:t xml:space="preserve">Mid-Term Vacancies</w:t>
      </w:r>
    </w:p>
    <w:p>
      <w:pPr>
        <w:spacing w:after="120" w:before="0"/>
        <w:ind w:left="863"/>
        <w:jc w:val="both"/>
      </w:pPr>
      <w:r>
        <w:rPr>
          <w:rFonts w:ascii="Garamond" w:cs="Garamond" w:eastAsia="Garamond" w:hAnsi="Garamond"/>
          <w:color w:val="2a2520"/>
          <w:sz w:val="22"/>
          <w:szCs w:val="22"/>
        </w:rPr>
        <w:t xml:space="preserve">Any vacancy triggers a special election within 180 days. The full open-candidacy process applies with compressed timelines: registration Day 30, EI review Day 60, Board assessment Day 90, JI certification Day 120, election Day 180. The replacement serves only the remainder of the original 12-year term — not a new full term.</w:t>
      </w:r>
    </w:p>
    <w:p>
      <w:pPr>
        <w:spacing w:after="60" w:before="200"/>
        <w:ind w:left="863"/>
      </w:pPr>
      <w:r>
        <w:rPr>
          <w:rFonts w:ascii="Courier New" w:cs="Courier New" w:eastAsia="Courier New" w:hAnsi="Courier New"/>
          <w:b/>
          <w:bCs/>
          <w:color w:val="1B2A4A"/>
          <w:sz w:val="18"/>
          <w:szCs w:val="18"/>
        </w:rPr>
        <w:t xml:space="preserve">§4.2.f  </w:t>
      </w:r>
      <w:r>
        <w:rPr>
          <w:rFonts w:ascii="Garamond" w:cs="Garamond" w:eastAsia="Garamond" w:hAnsi="Garamond"/>
          <w:b/>
          <w:bCs/>
          <w:color w:val="1B2A4A"/>
          <w:sz w:val="22"/>
          <w:szCs w:val="22"/>
        </w:rPr>
        <w:t xml:space="preserve">Emergency Panel for Tier 1 Scope Challenges</w:t>
      </w:r>
    </w:p>
    <w:p>
      <w:pPr>
        <w:spacing w:after="120" w:before="0"/>
        <w:ind w:left="863"/>
        <w:jc w:val="both"/>
      </w:pPr>
      <w:r>
        <w:rPr>
          <w:rFonts w:ascii="Garamond" w:cs="Garamond" w:eastAsia="Garamond" w:hAnsi="Garamond"/>
          <w:color w:val="2a2520"/>
          <w:sz w:val="22"/>
          <w:szCs w:val="22"/>
        </w:rPr>
        <w:t xml:space="preserve">Emergency Panel — four justices drawn by rotation each 2-year cycle. Sole jurisdiction over constitutional challenges to Tier 1 presidential military authority during active operations. Must rule within 48 hours. Binding on the full Court unless overruled within 72 hours. Ensures SC oversight during active crisis without paralysis.</w:t>
      </w:r>
    </w:p>
    <w:p>
      <w:pPr>
        <w:spacing w:after="60" w:before="200"/>
        <w:ind w:left="863"/>
      </w:pPr>
      <w:r>
        <w:rPr>
          <w:rFonts w:ascii="Courier New" w:cs="Courier New" w:eastAsia="Courier New" w:hAnsi="Courier New"/>
          <w:b/>
          <w:bCs/>
          <w:color w:val="1B2A4A"/>
          <w:sz w:val="18"/>
          <w:szCs w:val="18"/>
        </w:rPr>
        <w:t xml:space="preserve">§4.2.g  </w:t>
      </w:r>
      <w:r>
        <w:rPr>
          <w:rFonts w:ascii="Garamond" w:cs="Garamond" w:eastAsia="Garamond" w:hAnsi="Garamond"/>
          <w:b/>
          <w:bCs/>
          <w:color w:val="1B2A4A"/>
          <w:sz w:val="22"/>
          <w:szCs w:val="22"/>
        </w:rPr>
        <w:t xml:space="preserve">Vacancy Operating Rules</w:t>
      </w:r>
    </w:p>
    <w:p>
      <w:pPr>
        <w:spacing w:after="120" w:before="0"/>
        <w:ind w:left="863"/>
        <w:jc w:val="both"/>
      </w:pPr>
      <w:r>
        <w:rPr>
          <w:rFonts w:ascii="Garamond" w:cs="Garamond" w:eastAsia="Garamond" w:hAnsi="Garamond"/>
          <w:color w:val="2a2520"/>
          <w:sz w:val="22"/>
          <w:szCs w:val="22"/>
        </w:rPr>
        <w:t xml:space="preserve">The most senior Appellate Court judge by continuous service is automatically designated as Temporary Associate Justice within 5 days of any SC vacancy, without nomination or confirmation. The Temporary Associate Justice holds a full vote in all cases and may not stand as a candidate for the seat they are temporarily filling. For purposes of this provision, "continuous service" means uninterrupted judicial commission without a break exceeding 90 days, calculated from the most recent judicial commission date; service across multiple courts without a gap exceeding 90 days counts as continuous service from the date of first commission.</w:t>
      </w:r>
    </w:p>
    <w:p>
      <w:pPr>
        <w:spacing w:after="60" w:before="200"/>
        <w:ind w:left="863"/>
      </w:pPr>
      <w:r>
        <w:rPr>
          <w:rFonts w:ascii="Courier New" w:cs="Courier New" w:eastAsia="Courier New" w:hAnsi="Courier New"/>
          <w:b/>
          <w:bCs/>
          <w:color w:val="1B2A4A"/>
          <w:sz w:val="18"/>
          <w:szCs w:val="18"/>
        </w:rPr>
        <w:t xml:space="preserve">§4.2.h  </w:t>
      </w:r>
      <w:r>
        <w:rPr>
          <w:rFonts w:ascii="Garamond" w:cs="Garamond" w:eastAsia="Garamond" w:hAnsi="Garamond"/>
          <w:b/>
          <w:bCs/>
          <w:color w:val="1B2A4A"/>
          <w:sz w:val="22"/>
          <w:szCs w:val="22"/>
        </w:rPr>
        <w:t xml:space="preserve">Initial Class Assignment</w:t>
      </w:r>
    </w:p>
    <w:p>
      <w:pPr>
        <w:spacing w:after="120" w:before="0"/>
        <w:ind w:left="863"/>
        <w:jc w:val="both"/>
      </w:pPr>
      <w:r>
        <w:rPr>
          <w:rFonts w:ascii="Garamond" w:cs="Garamond" w:eastAsia="Garamond" w:hAnsi="Garamond"/>
          <w:color w:val="2a2520"/>
          <w:sz w:val="22"/>
          <w:szCs w:val="22"/>
        </w:rPr>
        <w:t xml:space="preserve">At Phase 3, all nine seats are filled simultaneously, then assigned to three classes by public lot drawn by the JI. Class A: 4-year initial term. Class B: 8-year initial term. Class C: 12-year initial term. All subsequent terms: 12 years. The lot assignment is published to the NRS before any justice takes the oath. Three seats elected every 4 years thereafter.</w:t>
      </w:r>
    </w:p>
    <w:p>
      <w:pPr>
        <w:spacing w:after="60" w:before="200"/>
        <w:ind w:left="863"/>
      </w:pPr>
      <w:r>
        <w:rPr>
          <w:rFonts w:ascii="Courier New" w:cs="Courier New" w:eastAsia="Courier New" w:hAnsi="Courier New"/>
          <w:b/>
          <w:bCs/>
          <w:color w:val="1B2A4A"/>
          <w:sz w:val="18"/>
          <w:szCs w:val="18"/>
        </w:rPr>
        <w:t xml:space="preserve">§4.2.i  </w:t>
      </w:r>
      <w:r>
        <w:rPr>
          <w:rFonts w:ascii="Garamond" w:cs="Garamond" w:eastAsia="Garamond" w:hAnsi="Garamond"/>
          <w:b/>
          <w:bCs/>
          <w:color w:val="1B2A4A"/>
          <w:sz w:val="22"/>
          <w:szCs w:val="22"/>
        </w:rPr>
        <w:t xml:space="preserve">Judicial Recusal</w:t>
      </w:r>
    </w:p>
    <w:p>
      <w:pPr>
        <w:spacing w:after="120" w:before="0"/>
        <w:ind w:left="863"/>
        <w:jc w:val="both"/>
      </w:pPr>
      <w:r>
        <w:rPr>
          <w:rFonts w:ascii="Garamond" w:cs="Garamond" w:eastAsia="Garamond" w:hAnsi="Garamond"/>
          <w:color w:val="2a2520"/>
          <w:sz w:val="22"/>
          <w:szCs w:val="22"/>
        </w:rPr>
        <w:t xml:space="preserve">The Legislature must by statute establish a recusal framework for Supreme Court justices within two years of Phase 4 activation. The framework must require recusal where a justice received material campaign support from any party to a pending case, or holds a financial interest in the outcome. A justice who fails to recuse under mandatory circumstances may be reported to the JI, which publishes its finding to the NRS. In the absence of a statutory framework two years after Phase 4 activation, a justice must recuse from any proceeding where their impartiality could reasonably be questioned by an informed observer with knowledge of the relevant facts. This default is self-executing; any party may petition for recusal and the determination is made by the remaining justices.</w:t>
      </w:r>
    </w:p>
    <w:p>
      <w:pPr>
        <w:spacing w:after="60" w:before="200"/>
        <w:ind w:left="431"/>
      </w:pPr>
      <w:r>
        <w:rPr>
          <w:rFonts w:ascii="Courier New" w:cs="Courier New" w:eastAsia="Courier New" w:hAnsi="Courier New"/>
          <w:b/>
          <w:bCs/>
          <w:color w:val="1B2A4A"/>
          <w:sz w:val="18"/>
          <w:szCs w:val="18"/>
        </w:rPr>
        <w:t xml:space="preserve">§4.3  </w:t>
      </w:r>
      <w:r>
        <w:rPr>
          <w:rFonts w:ascii="Garamond" w:cs="Garamond" w:eastAsia="Garamond" w:hAnsi="Garamond"/>
          <w:b/>
          <w:bCs/>
          <w:color w:val="1B2A4A"/>
          <w:sz w:val="22"/>
          <w:szCs w:val="22"/>
        </w:rPr>
        <w:t xml:space="preserve">Judicial Independence and Scope</w:t>
      </w:r>
    </w:p>
    <w:p>
      <w:pPr>
        <w:spacing w:after="120" w:before="0"/>
        <w:ind w:left="431"/>
        <w:jc w:val="both"/>
      </w:pPr>
      <w:r>
        <w:rPr>
          <w:rFonts w:ascii="Garamond" w:cs="Garamond" w:eastAsia="Garamond" w:hAnsi="Garamond"/>
          <w:color w:val="2a2520"/>
          <w:sz w:val="22"/>
          <w:szCs w:val="22"/>
        </w:rPr>
        <w:t xml:space="preserve">Courts act only on cases brought by a party with a concrete, articulable injury. Judges may not issue advisory opinions or preemptive rulings. All decisions altering legal status require full merits briefings and a published written decision. Judges apply the Constitution as written. Where the Constitution is silent, judges apply the principle most consistent with the Individual Sovereignty Floor and the separation of presidential and prime ministerial domains.</w:t>
      </w:r>
    </w:p>
    <w:p>
      <w:pPr>
        <w:spacing w:after="60" w:before="200"/>
        <w:ind w:left="863"/>
      </w:pPr>
      <w:r>
        <w:rPr>
          <w:rFonts w:ascii="Courier New" w:cs="Courier New" w:eastAsia="Courier New" w:hAnsi="Courier New"/>
          <w:b/>
          <w:bCs/>
          <w:color w:val="1B2A4A"/>
          <w:sz w:val="18"/>
          <w:szCs w:val="18"/>
        </w:rPr>
        <w:t xml:space="preserve">§4.3.a  </w:t>
      </w:r>
      <w:r>
        <w:rPr>
          <w:rFonts w:ascii="Garamond" w:cs="Garamond" w:eastAsia="Garamond" w:hAnsi="Garamond"/>
          <w:b/>
          <w:bCs/>
          <w:color w:val="1B2A4A"/>
          <w:sz w:val="22"/>
          <w:szCs w:val="22"/>
        </w:rPr>
        <w:t xml:space="preserve">Judicial Review Authority</w:t>
      </w:r>
    </w:p>
    <w:p>
      <w:pPr>
        <w:spacing w:after="120" w:before="0"/>
        <w:ind w:left="863"/>
        <w:jc w:val="both"/>
      </w:pPr>
      <w:r>
        <w:rPr>
          <w:rFonts w:ascii="Garamond" w:cs="Garamond" w:eastAsia="Garamond" w:hAnsi="Garamond"/>
          <w:color w:val="2a2520"/>
          <w:sz w:val="22"/>
          <w:szCs w:val="22"/>
        </w:rPr>
        <w:t xml:space="preserve">The SC (and inferior courts within their jurisdictions) has authority to declare legislative acts, executive orders, and administrative decisions unconstitutional and void. No political actor may override a constitutional ruling. The SC identifies the constitutional defect; the Legislature may respond by enacting new legislation that addresses it.</w:t>
      </w:r>
    </w:p>
    <w:p>
      <w:pPr>
        <w:spacing w:after="60" w:before="200"/>
        <w:ind w:left="863"/>
      </w:pPr>
      <w:r>
        <w:rPr>
          <w:rFonts w:ascii="Courier New" w:cs="Courier New" w:eastAsia="Courier New" w:hAnsi="Courier New"/>
          <w:b/>
          <w:bCs/>
          <w:color w:val="1B2A4A"/>
          <w:sz w:val="18"/>
          <w:szCs w:val="18"/>
        </w:rPr>
        <w:t xml:space="preserve">§4.3.b  </w:t>
      </w:r>
      <w:r>
        <w:rPr>
          <w:rFonts w:ascii="Garamond" w:cs="Garamond" w:eastAsia="Garamond" w:hAnsi="Garamond"/>
          <w:b/>
          <w:bCs/>
          <w:color w:val="1B2A4A"/>
          <w:sz w:val="22"/>
          <w:szCs w:val="22"/>
        </w:rPr>
        <w:t xml:space="preserve">Judicial Scope</w:t>
      </w:r>
    </w:p>
    <w:p>
      <w:pPr>
        <w:spacing w:after="120" w:before="0"/>
        <w:ind w:left="863"/>
        <w:jc w:val="both"/>
      </w:pPr>
      <w:r>
        <w:rPr>
          <w:rFonts w:ascii="Garamond" w:cs="Garamond" w:eastAsia="Garamond" w:hAnsi="Garamond"/>
          <w:color w:val="2a2520"/>
          <w:sz w:val="22"/>
          <w:szCs w:val="22"/>
        </w:rPr>
        <w:t xml:space="preserve">Courts decide constitutional questions, not policy questions. The SC may not substitute its judgment for the Legislature's on policy matters — it may only determine whether the Legislature acted within its constitutional authority. A statute that is constitutionally permissible but poor policy is not the court's concern.</w:t>
      </w:r>
    </w:p>
    <w:p>
      <w:pPr>
        <w:spacing w:after="60" w:before="200"/>
        <w:ind w:left="863"/>
      </w:pPr>
      <w:r>
        <w:rPr>
          <w:rFonts w:ascii="Courier New" w:cs="Courier New" w:eastAsia="Courier New" w:hAnsi="Courier New"/>
          <w:b/>
          <w:bCs/>
          <w:color w:val="1B2A4A"/>
          <w:sz w:val="18"/>
          <w:szCs w:val="18"/>
        </w:rPr>
        <w:t xml:space="preserve">§4.3.c  </w:t>
      </w:r>
      <w:r>
        <w:rPr>
          <w:rFonts w:ascii="Garamond" w:cs="Garamond" w:eastAsia="Garamond" w:hAnsi="Garamond"/>
          <w:b/>
          <w:bCs/>
          <w:color w:val="1B2A4A"/>
          <w:sz w:val="22"/>
          <w:szCs w:val="22"/>
        </w:rPr>
        <w:t xml:space="preserve">Statutory Interpretation</w:t>
      </w:r>
    </w:p>
    <w:p>
      <w:pPr>
        <w:spacing w:after="120" w:before="0"/>
        <w:ind w:left="863"/>
        <w:jc w:val="both"/>
      </w:pPr>
      <w:r>
        <w:rPr>
          <w:rFonts w:ascii="Garamond" w:cs="Garamond" w:eastAsia="Garamond" w:hAnsi="Garamond"/>
          <w:color w:val="2a2520"/>
          <w:sz w:val="22"/>
          <w:szCs w:val="22"/>
        </w:rPr>
        <w:t xml:space="preserve">Courts apply statutes to specific cases and resolve ambiguities. Where a statute is ambiguous, courts apply the interpretation most consistent with the constitution. Courts may not rewrite clear statutory language to produce a preferred outcome — they interpret, they do not legislate.</w:t>
      </w:r>
    </w:p>
    <w:p>
      <w:pPr>
        <w:spacing w:after="60" w:before="200"/>
        <w:ind w:left="863"/>
      </w:pPr>
      <w:r>
        <w:rPr>
          <w:rFonts w:ascii="Courier New" w:cs="Courier New" w:eastAsia="Courier New" w:hAnsi="Courier New"/>
          <w:b/>
          <w:bCs/>
          <w:color w:val="1B2A4A"/>
          <w:sz w:val="18"/>
          <w:szCs w:val="18"/>
        </w:rPr>
        <w:t xml:space="preserve">§4.3.d  </w:t>
      </w:r>
      <w:r>
        <w:rPr>
          <w:rFonts w:ascii="Garamond" w:cs="Garamond" w:eastAsia="Garamond" w:hAnsi="Garamond"/>
          <w:b/>
          <w:bCs/>
          <w:color w:val="1B2A4A"/>
          <w:sz w:val="22"/>
          <w:szCs w:val="22"/>
        </w:rPr>
        <w:t xml:space="preserve">Original Jurisdiction</w:t>
      </w:r>
    </w:p>
    <w:p>
      <w:pPr>
        <w:spacing w:after="120" w:before="0"/>
        <w:ind w:left="863"/>
        <w:jc w:val="both"/>
      </w:pPr>
      <w:r>
        <w:rPr>
          <w:rFonts w:ascii="Garamond" w:cs="Garamond" w:eastAsia="Garamond" w:hAnsi="Garamond"/>
          <w:color w:val="2a2520"/>
          <w:sz w:val="22"/>
          <w:szCs w:val="22"/>
        </w:rPr>
        <w:t xml:space="preserve">The SC has original (first-instance) jurisdiction over constitutional disputes between States, between a State and the federal government, and over challenges to the constitutional validity of a federal statute brought within 90 days of enactment. Certain cases bypass all lower courts and go directly to the SC — cases where a lower court ruling would create a patchwork of inconsistent constitutional interpretations.</w:t>
      </w:r>
    </w:p>
    <w:p>
      <w:pPr>
        <w:spacing w:after="60" w:before="200"/>
        <w:ind w:left="863"/>
      </w:pPr>
      <w:r>
        <w:rPr>
          <w:rFonts w:ascii="Courier New" w:cs="Courier New" w:eastAsia="Courier New" w:hAnsi="Courier New"/>
          <w:b/>
          <w:bCs/>
          <w:color w:val="1B2A4A"/>
          <w:sz w:val="18"/>
          <w:szCs w:val="18"/>
        </w:rPr>
        <w:t xml:space="preserve">§4.3.e  </w:t>
      </w:r>
      <w:r>
        <w:rPr>
          <w:rFonts w:ascii="Garamond" w:cs="Garamond" w:eastAsia="Garamond" w:hAnsi="Garamond"/>
          <w:b/>
          <w:bCs/>
          <w:color w:val="1B2A4A"/>
          <w:sz w:val="22"/>
          <w:szCs w:val="22"/>
        </w:rPr>
        <w:t xml:space="preserve">Inspectorate Findings in Constitutional Proceedings</w:t>
      </w:r>
    </w:p>
    <w:p>
      <w:pPr>
        <w:spacing w:after="120" w:before="0"/>
        <w:ind w:left="863"/>
        <w:jc w:val="both"/>
      </w:pPr>
      <w:r>
        <w:rPr>
          <w:rFonts w:ascii="Garamond" w:cs="Garamond" w:eastAsia="Garamond" w:hAnsi="Garamond"/>
          <w:color w:val="2a2520"/>
          <w:sz w:val="22"/>
          <w:szCs w:val="22"/>
        </w:rPr>
        <w:t xml:space="preserve">NRS findings published by the LI, EI, or JI are admissible as authoritative factual evidence in judicial proceedings. Courts must address any inconsistency between their factual findings and a prior Inspectorate finding in written decisions. Inspectorate findings are not judicial determinations — courts retain full authority to reach different factual conclusions — but must explain why.</w:t>
      </w:r>
    </w:p>
    <w:p>
      <w:pPr>
        <w:spacing w:after="60" w:before="200"/>
        <w:ind w:left="863"/>
      </w:pPr>
      <w:r>
        <w:rPr>
          <w:rFonts w:ascii="Courier New" w:cs="Courier New" w:eastAsia="Courier New" w:hAnsi="Courier New"/>
          <w:b/>
          <w:bCs/>
          <w:color w:val="1B2A4A"/>
          <w:sz w:val="18"/>
          <w:szCs w:val="18"/>
        </w:rPr>
        <w:t xml:space="preserve">§4.3.f  </w:t>
      </w:r>
      <w:r>
        <w:rPr>
          <w:rFonts w:ascii="Garamond" w:cs="Garamond" w:eastAsia="Garamond" w:hAnsi="Garamond"/>
          <w:b/>
          <w:bCs/>
          <w:color w:val="1B2A4A"/>
          <w:sz w:val="22"/>
          <w:szCs w:val="22"/>
        </w:rPr>
        <w:t xml:space="preserve">Organizational Standing</w:t>
      </w:r>
    </w:p>
    <w:p>
      <w:pPr>
        <w:spacing w:after="120" w:before="0"/>
        <w:ind w:left="863"/>
        <w:jc w:val="both"/>
      </w:pPr>
      <w:r>
        <w:rPr>
          <w:rFonts w:ascii="Garamond" w:cs="Garamond" w:eastAsia="Garamond" w:hAnsi="Garamond"/>
          <w:color w:val="2a2520"/>
          <w:sz w:val="22"/>
          <w:szCs w:val="22"/>
        </w:rPr>
        <w:t xml:space="preserve">An organization may bring a constitutional claim on behalf of its members where: (a) at least one member would individually have standing; (b) the claim is germane to the organization's established constitutional purpose; and (c) neither the claim nor the relief sought requires the participation of individual members as named parties. The organization must identify at least one member with specific, articulable injury and publish that identification to the NRS concurrent with filing.</w:t>
      </w:r>
    </w:p>
    <w:p>
      <w:pPr>
        <w:spacing w:after="60" w:before="200"/>
        <w:ind w:left="431"/>
      </w:pPr>
      <w:r>
        <w:rPr>
          <w:rFonts w:ascii="Courier New" w:cs="Courier New" w:eastAsia="Courier New" w:hAnsi="Courier New"/>
          <w:b/>
          <w:bCs/>
          <w:color w:val="1B2A4A"/>
          <w:sz w:val="18"/>
          <w:szCs w:val="18"/>
        </w:rPr>
        <w:t xml:space="preserve">§4.4  </w:t>
      </w:r>
      <w:r>
        <w:rPr>
          <w:rFonts w:ascii="Garamond" w:cs="Garamond" w:eastAsia="Garamond" w:hAnsi="Garamond"/>
          <w:b/>
          <w:bCs/>
          <w:color w:val="1B2A4A"/>
          <w:sz w:val="22"/>
          <w:szCs w:val="22"/>
        </w:rPr>
        <w:t xml:space="preserve">Judgment Recognition and Authentication</w:t>
      </w:r>
    </w:p>
    <w:p>
      <w:pPr>
        <w:spacing w:after="120" w:before="0"/>
        <w:ind w:left="431"/>
        <w:jc w:val="both"/>
      </w:pPr>
      <w:r>
        <w:rPr>
          <w:rFonts w:ascii="Garamond" w:cs="Garamond" w:eastAsia="Garamond" w:hAnsi="Garamond"/>
          <w:color w:val="2a2520"/>
          <w:sz w:val="22"/>
          <w:szCs w:val="22"/>
        </w:rPr>
        <w:t xml:space="preserve">Judicial judgments, official records, and authenticated documents are recognized across all jurisdictions within the Republic. The NRS is the authentication infrastructure for this cross-jurisdictional recognition.</w:t>
      </w:r>
    </w:p>
    <w:p>
      <w:pPr>
        <w:spacing w:after="60" w:before="200"/>
        <w:ind w:left="863"/>
      </w:pPr>
      <w:r>
        <w:rPr>
          <w:rFonts w:ascii="Courier New" w:cs="Courier New" w:eastAsia="Courier New" w:hAnsi="Courier New"/>
          <w:b/>
          <w:bCs/>
          <w:color w:val="1B2A4A"/>
          <w:sz w:val="18"/>
          <w:szCs w:val="18"/>
        </w:rPr>
        <w:t xml:space="preserve">§4.4.a  </w:t>
      </w:r>
      <w:r>
        <w:rPr>
          <w:rFonts w:ascii="Garamond" w:cs="Garamond" w:eastAsia="Garamond" w:hAnsi="Garamond"/>
          <w:b/>
          <w:bCs/>
          <w:color w:val="1B2A4A"/>
          <w:sz w:val="22"/>
          <w:szCs w:val="22"/>
        </w:rPr>
        <w:t xml:space="preserve">Judicial Judgments</w:t>
      </w:r>
    </w:p>
    <w:p>
      <w:pPr>
        <w:spacing w:after="120" w:before="0"/>
        <w:ind w:left="863"/>
        <w:jc w:val="both"/>
      </w:pPr>
      <w:r>
        <w:rPr>
          <w:rFonts w:ascii="Garamond" w:cs="Garamond" w:eastAsia="Garamond" w:hAnsi="Garamond"/>
          <w:color w:val="2a2520"/>
          <w:sz w:val="22"/>
          <w:szCs w:val="22"/>
        </w:rPr>
        <w:t xml:space="preserve">Non-recognition grounds are exhaustive: the issuing court lacked jurisdiction; the judgment was obtained by fraud; or enforcement would require an act the Legislature has defined as categorically unenforceable. These three grounds are the only bases on which a Republic court may decline to recognize a judgment valid in another jurisdiction. Any judgment contrary to Article I is void by operation of §15.6 and requires no separate non-recognition finding.</w:t>
      </w:r>
    </w:p>
    <w:p>
      <w:pPr>
        <w:spacing w:after="60" w:before="200"/>
        <w:ind w:left="863"/>
      </w:pPr>
      <w:r>
        <w:rPr>
          <w:rFonts w:ascii="Courier New" w:cs="Courier New" w:eastAsia="Courier New" w:hAnsi="Courier New"/>
          <w:b/>
          <w:bCs/>
          <w:color w:val="1B2A4A"/>
          <w:sz w:val="18"/>
          <w:szCs w:val="18"/>
        </w:rPr>
        <w:t xml:space="preserve">§4.4.b  </w:t>
      </w:r>
      <w:r>
        <w:rPr>
          <w:rFonts w:ascii="Garamond" w:cs="Garamond" w:eastAsia="Garamond" w:hAnsi="Garamond"/>
          <w:b/>
          <w:bCs/>
          <w:color w:val="1B2A4A"/>
          <w:sz w:val="22"/>
          <w:szCs w:val="22"/>
        </w:rPr>
        <w:t xml:space="preserve">NRS Authentication</w:t>
      </w:r>
    </w:p>
    <w:p>
      <w:pPr>
        <w:spacing w:after="120" w:before="0"/>
        <w:ind w:left="863"/>
        <w:jc w:val="both"/>
      </w:pPr>
      <w:r>
        <w:rPr>
          <w:rFonts w:ascii="Garamond" w:cs="Garamond" w:eastAsia="Garamond" w:hAnsi="Garamond"/>
          <w:color w:val="2a2520"/>
          <w:sz w:val="22"/>
          <w:szCs w:val="22"/>
        </w:rPr>
        <w:t xml:space="preserve">A judgment, order, or status record published to the NRS is self-authenticating in any other State or Territory court. No re-certification, notarization, or further authentication required. Eliminates the multi-state authentication burden that historically delayed enforcement of out-of-state judgments.</w:t>
      </w:r>
    </w:p>
    <w:p>
      <w:pPr>
        <w:spacing w:after="60" w:before="200"/>
        <w:ind w:left="863"/>
      </w:pPr>
      <w:r>
        <w:rPr>
          <w:rFonts w:ascii="Courier New" w:cs="Courier New" w:eastAsia="Courier New" w:hAnsi="Courier New"/>
          <w:b/>
          <w:bCs/>
          <w:color w:val="1B2A4A"/>
          <w:sz w:val="18"/>
          <w:szCs w:val="18"/>
        </w:rPr>
        <w:t xml:space="preserve">§4.4.c  </w:t>
      </w:r>
      <w:r>
        <w:rPr>
          <w:rFonts w:ascii="Garamond" w:cs="Garamond" w:eastAsia="Garamond" w:hAnsi="Garamond"/>
          <w:b/>
          <w:bCs/>
          <w:color w:val="1B2A4A"/>
          <w:sz w:val="22"/>
          <w:szCs w:val="22"/>
        </w:rPr>
        <w:t xml:space="preserve">Public Acts and Official Records</w:t>
      </w:r>
    </w:p>
    <w:p>
      <w:pPr>
        <w:spacing w:after="120" w:before="0"/>
        <w:ind w:left="863"/>
        <w:jc w:val="both"/>
      </w:pPr>
      <w:r>
        <w:rPr>
          <w:rFonts w:ascii="Garamond" w:cs="Garamond" w:eastAsia="Garamond" w:hAnsi="Garamond"/>
          <w:color w:val="2a2520"/>
          <w:sz w:val="22"/>
          <w:szCs w:val="22"/>
        </w:rPr>
        <w:t xml:space="preserve">Official records published to the NRS are self-authenticating — no re-certification is required for use in any legal or administrative proceeding. Professional licenses issued by any State or Territory receive recognition across all States and Territories. §1.13 governs any State departure from the recognition default.</w:t>
      </w:r>
    </w:p>
    <w:p>
      <w:pPr>
        <w:spacing w:after="60" w:before="200"/>
        <w:ind w:left="863"/>
      </w:pPr>
      <w:r>
        <w:rPr>
          <w:rFonts w:ascii="Courier New" w:cs="Courier New" w:eastAsia="Courier New" w:hAnsi="Courier New"/>
          <w:b/>
          <w:bCs/>
          <w:color w:val="1B2A4A"/>
          <w:sz w:val="18"/>
          <w:szCs w:val="18"/>
        </w:rPr>
        <w:t xml:space="preserve">§4.4.d  </w:t>
      </w:r>
      <w:r>
        <w:rPr>
          <w:rFonts w:ascii="Garamond" w:cs="Garamond" w:eastAsia="Garamond" w:hAnsi="Garamond"/>
          <w:b/>
          <w:bCs/>
          <w:color w:val="1B2A4A"/>
          <w:sz w:val="22"/>
          <w:szCs w:val="22"/>
        </w:rPr>
        <w:t xml:space="preserve">Status Orders — Special Protections</w:t>
      </w:r>
    </w:p>
    <w:p>
      <w:pPr>
        <w:spacing w:after="120" w:before="0"/>
        <w:ind w:left="863"/>
        <w:jc w:val="both"/>
      </w:pPr>
      <w:r>
        <w:rPr>
          <w:rFonts w:ascii="Garamond" w:cs="Garamond" w:eastAsia="Garamond" w:hAnsi="Garamond"/>
          <w:color w:val="2a2520"/>
          <w:sz w:val="22"/>
          <w:szCs w:val="22"/>
        </w:rPr>
        <w:t xml:space="preserve">Protective orders, custody determinations, and other status orders take immediate effect in every State and Territory upon publication to the NRS. No waiting period, no local re-registration.</w:t>
      </w:r>
    </w:p>
    <w:p>
      <w:pPr>
        <w:spacing w:after="60" w:before="200"/>
        <w:ind w:left="863"/>
      </w:pPr>
      <w:r>
        <w:rPr>
          <w:rFonts w:ascii="Courier New" w:cs="Courier New" w:eastAsia="Courier New" w:hAnsi="Courier New"/>
          <w:b/>
          <w:bCs/>
          <w:color w:val="1B2A4A"/>
          <w:sz w:val="18"/>
          <w:szCs w:val="18"/>
        </w:rPr>
        <w:t xml:space="preserve">§4.4.e  </w:t>
      </w:r>
      <w:r>
        <w:rPr>
          <w:rFonts w:ascii="Garamond" w:cs="Garamond" w:eastAsia="Garamond" w:hAnsi="Garamond"/>
          <w:b/>
          <w:bCs/>
          <w:color w:val="1B2A4A"/>
          <w:sz w:val="22"/>
          <w:szCs w:val="22"/>
        </w:rPr>
        <w:t xml:space="preserve">Non-Discrimination in Recognition</w:t>
      </w:r>
    </w:p>
    <w:p>
      <w:pPr>
        <w:spacing w:after="120" w:before="0"/>
        <w:ind w:left="863"/>
        <w:jc w:val="both"/>
      </w:pPr>
      <w:r>
        <w:rPr>
          <w:rFonts w:ascii="Garamond" w:cs="Garamond" w:eastAsia="Garamond" w:hAnsi="Garamond"/>
          <w:color w:val="2a2520"/>
          <w:sz w:val="22"/>
          <w:szCs w:val="22"/>
        </w:rPr>
        <w:t xml:space="preserve">A State or Territory may not discriminate in its recognition of another jurisdiction's judgments or records based on the nature of the parties, the subject matter, or the legal status recognized by the issuing jurisdiction. Recognition is mandatory; non-recognition grounds are exhaustive under §4.4.a.</w:t>
      </w:r>
    </w:p>
    <w:p>
      <w:pPr>
        <w:spacing w:after="60" w:before="200"/>
        <w:ind w:left="863"/>
      </w:pPr>
      <w:r>
        <w:rPr>
          <w:rFonts w:ascii="Courier New" w:cs="Courier New" w:eastAsia="Courier New" w:hAnsi="Courier New"/>
          <w:b/>
          <w:bCs/>
          <w:color w:val="1B2A4A"/>
          <w:sz w:val="18"/>
          <w:szCs w:val="18"/>
        </w:rPr>
        <w:t xml:space="preserve">§4.4.f  </w:t>
      </w:r>
      <w:r>
        <w:rPr>
          <w:rFonts w:ascii="Garamond" w:cs="Garamond" w:eastAsia="Garamond" w:hAnsi="Garamond"/>
          <w:b/>
          <w:bCs/>
          <w:color w:val="1B2A4A"/>
          <w:sz w:val="22"/>
          <w:szCs w:val="22"/>
        </w:rPr>
        <w:t xml:space="preserve">Legislative Implementation Mandates</w:t>
      </w:r>
    </w:p>
    <w:p>
      <w:pPr>
        <w:spacing w:after="120" w:before="0"/>
        <w:ind w:left="863"/>
        <w:jc w:val="both"/>
      </w:pPr>
      <w:r>
        <w:rPr>
          <w:rFonts w:ascii="Garamond" w:cs="Garamond" w:eastAsia="Garamond" w:hAnsi="Garamond"/>
          <w:color w:val="2a2520"/>
          <w:sz w:val="22"/>
          <w:szCs w:val="22"/>
        </w:rPr>
        <w:t xml:space="preserve">A judgment is final for §4.4.a purposes if it is not subject to an automatic stay under the issuing jurisdiction's procedural law, regardless of whether an appeal is pending. The Legislature may refine the finality standard for specific categories but may not use pending-appeal status alone to block enforcement. The procedural framework mandate — filing forms, fee schedule, and enforcement timeline — is established by statute.</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V — Citizenship and Naturalization</w:t>
      </w:r>
    </w:p>
    <w:p>
      <w:pPr>
        <w:spacing w:after="120"/>
      </w:pPr>
    </w:p>
    <w:p>
      <w:pPr>
        <w:spacing w:after="60" w:before="200"/>
        <w:ind w:left="431"/>
      </w:pPr>
      <w:r>
        <w:rPr>
          <w:rFonts w:ascii="Courier New" w:cs="Courier New" w:eastAsia="Courier New" w:hAnsi="Courier New"/>
          <w:b/>
          <w:bCs/>
          <w:color w:val="1B2A4A"/>
          <w:sz w:val="18"/>
          <w:szCs w:val="18"/>
        </w:rPr>
        <w:t xml:space="preserve">§5.1  </w:t>
      </w:r>
      <w:r>
        <w:rPr>
          <w:rFonts w:ascii="Garamond" w:cs="Garamond" w:eastAsia="Garamond" w:hAnsi="Garamond"/>
          <w:b/>
          <w:bCs/>
          <w:color w:val="1B2A4A"/>
          <w:sz w:val="22"/>
          <w:szCs w:val="22"/>
        </w:rPr>
        <w:t xml:space="preserve">Citizenship</w:t>
      </w:r>
    </w:p>
    <w:p>
      <w:pPr>
        <w:spacing w:after="120" w:before="0"/>
        <w:ind w:left="431"/>
        <w:jc w:val="both"/>
      </w:pPr>
      <w:r>
        <w:rPr>
          <w:rFonts w:ascii="Garamond" w:cs="Garamond" w:eastAsia="Garamond" w:hAnsi="Garamond"/>
          <w:color w:val="2a2520"/>
          <w:sz w:val="22"/>
          <w:szCs w:val="22"/>
        </w:rPr>
        <w:t xml:space="preserve">Citizenship is acquired by birth, by parentage, or by naturalization under the conditions of this section. Citizens hold the full rights established in Article I and are eligible to vote, hold office, and stand for election.</w:t>
      </w:r>
    </w:p>
    <w:p>
      <w:pPr>
        <w:spacing w:after="60" w:before="200"/>
        <w:ind w:left="863"/>
      </w:pPr>
      <w:r>
        <w:rPr>
          <w:rFonts w:ascii="Courier New" w:cs="Courier New" w:eastAsia="Courier New" w:hAnsi="Courier New"/>
          <w:b/>
          <w:bCs/>
          <w:color w:val="1B2A4A"/>
          <w:sz w:val="18"/>
          <w:szCs w:val="18"/>
        </w:rPr>
        <w:t xml:space="preserve">§5.1.a  </w:t>
      </w:r>
      <w:r>
        <w:rPr>
          <w:rFonts w:ascii="Garamond" w:cs="Garamond" w:eastAsia="Garamond" w:hAnsi="Garamond"/>
          <w:b/>
          <w:bCs/>
          <w:color w:val="1B2A4A"/>
          <w:sz w:val="22"/>
          <w:szCs w:val="22"/>
        </w:rPr>
        <w:t xml:space="preserve">Inherent Citizenship</w:t>
      </w:r>
    </w:p>
    <w:p>
      <w:pPr>
        <w:spacing w:after="120" w:before="0"/>
        <w:ind w:left="863"/>
        <w:jc w:val="both"/>
      </w:pPr>
      <w:r>
        <w:rPr>
          <w:rFonts w:ascii="Garamond" w:cs="Garamond" w:eastAsia="Garamond" w:hAnsi="Garamond"/>
          <w:color w:val="2a2520"/>
          <w:sz w:val="22"/>
          <w:szCs w:val="22"/>
        </w:rPr>
        <w:t xml:space="preserve">A child is automatically a citizen at birth if at least one parent is a Citizen or Legal Resident at the time of birth. Statelessness prevention clause: where a child would otherwise be stateless, citizenship is granted regardless of parental status. No citizenship may be stripped from a natural-born citizen.</w:t>
      </w:r>
    </w:p>
    <w:p>
      <w:pPr>
        <w:spacing w:after="60" w:before="200"/>
        <w:ind w:left="1296"/>
      </w:pPr>
      <w:r>
        <w:rPr>
          <w:rFonts w:ascii="Courier New" w:cs="Courier New" w:eastAsia="Courier New" w:hAnsi="Courier New"/>
          <w:b/>
          <w:bCs/>
          <w:color w:val="1B2A4A"/>
          <w:sz w:val="18"/>
          <w:szCs w:val="18"/>
        </w:rPr>
        <w:t xml:space="preserve">§5.1.a.i  </w:t>
      </w:r>
      <w:r>
        <w:rPr>
          <w:rFonts w:ascii="Garamond" w:cs="Garamond" w:eastAsia="Garamond" w:hAnsi="Garamond"/>
          <w:b/>
          <w:bCs/>
          <w:color w:val="1B2A4A"/>
          <w:sz w:val="22"/>
          <w:szCs w:val="22"/>
        </w:rPr>
        <w:t xml:space="preserve">Statelessness Prevention</w:t>
      </w:r>
    </w:p>
    <w:p>
      <w:pPr>
        <w:spacing w:after="120" w:before="0"/>
        <w:ind w:left="1296"/>
        <w:jc w:val="both"/>
      </w:pPr>
      <w:r>
        <w:rPr>
          <w:rFonts w:ascii="Garamond" w:cs="Garamond" w:eastAsia="Garamond" w:hAnsi="Garamond"/>
          <w:color w:val="2a2520"/>
          <w:sz w:val="22"/>
          <w:szCs w:val="22"/>
        </w:rPr>
        <w:t xml:space="preserve">A child born on Republic territory to parents holding neither Citizen nor Legal Resident status is an Inhabitant from birth, with full Article I protections and BNF access. Where no country recognizes the child as a citizen, the Republic provides a determination process consistent with §6.4's protection principles — protection first, determination second. A child determined to hold no other citizenship is eligible for Legal Residency from birth, with all Inhabitant years counting toward the §5.1.c residency requirement. Where a parent or guardian who is the primary caregiver of a child granted Inhabitant status under this provision is subject to removal, the removal order is stayed pending resolution of the child's custodial arrangements under §5.3. The Republic may not execute removal where doing so would deprive an Inhabitant child of their primary caregiver without first establishing an alternative care arrangement.</w:t>
      </w:r>
    </w:p>
    <w:p>
      <w:pPr>
        <w:spacing w:after="60" w:before="200"/>
        <w:ind w:left="863"/>
      </w:pPr>
      <w:r>
        <w:rPr>
          <w:rFonts w:ascii="Courier New" w:cs="Courier New" w:eastAsia="Courier New" w:hAnsi="Courier New"/>
          <w:b/>
          <w:bCs/>
          <w:color w:val="1B2A4A"/>
          <w:sz w:val="18"/>
          <w:szCs w:val="18"/>
        </w:rPr>
        <w:t xml:space="preserve">§5.1.b  </w:t>
      </w:r>
      <w:r>
        <w:rPr>
          <w:rFonts w:ascii="Garamond" w:cs="Garamond" w:eastAsia="Garamond" w:hAnsi="Garamond"/>
          <w:b/>
          <w:bCs/>
          <w:color w:val="1B2A4A"/>
          <w:sz w:val="22"/>
          <w:szCs w:val="22"/>
        </w:rPr>
        <w:t xml:space="preserve">Coming of Age</w:t>
      </w:r>
    </w:p>
    <w:p>
      <w:pPr>
        <w:spacing w:after="120" w:before="0"/>
        <w:ind w:left="863"/>
        <w:jc w:val="both"/>
      </w:pPr>
      <w:r>
        <w:rPr>
          <w:rFonts w:ascii="Garamond" w:cs="Garamond" w:eastAsia="Garamond" w:hAnsi="Garamond"/>
          <w:color w:val="2a2520"/>
          <w:sz w:val="22"/>
          <w:szCs w:val="22"/>
        </w:rPr>
        <w:t xml:space="preserve">Children of citizens are Inhabitants at birth with full Article I protections. Full citizenship rights — including the right to vote — activate at 18. The distinction between Inhabitant and Citizen status for citizen children prevents citizenship from being used to exempt children from local law.</w:t>
      </w:r>
    </w:p>
    <w:p>
      <w:pPr>
        <w:spacing w:after="60" w:before="200"/>
        <w:ind w:left="863"/>
      </w:pPr>
      <w:r>
        <w:rPr>
          <w:rFonts w:ascii="Courier New" w:cs="Courier New" w:eastAsia="Courier New" w:hAnsi="Courier New"/>
          <w:b/>
          <w:bCs/>
          <w:color w:val="1B2A4A"/>
          <w:sz w:val="18"/>
          <w:szCs w:val="18"/>
        </w:rPr>
        <w:t xml:space="preserve">§5.1.c  </w:t>
      </w:r>
      <w:r>
        <w:rPr>
          <w:rFonts w:ascii="Garamond" w:cs="Garamond" w:eastAsia="Garamond" w:hAnsi="Garamond"/>
          <w:b/>
          <w:bCs/>
          <w:color w:val="1B2A4A"/>
          <w:sz w:val="22"/>
          <w:szCs w:val="22"/>
        </w:rPr>
        <w:t xml:space="preserve">Naturalization</w:t>
      </w:r>
    </w:p>
    <w:p>
      <w:pPr>
        <w:spacing w:after="120" w:before="0"/>
        <w:ind w:left="863"/>
        <w:jc w:val="both"/>
      </w:pPr>
      <w:r>
        <w:rPr>
          <w:rFonts w:ascii="Garamond" w:cs="Garamond" w:eastAsia="Garamond" w:hAnsi="Garamond"/>
          <w:color w:val="2a2520"/>
          <w:sz w:val="22"/>
          <w:szCs w:val="22"/>
        </w:rPr>
        <w:t xml:space="preserve">A Legal Resident may earn citizenship after five continuous years of residency, a clean legal record, and passing the Constitutional Logic Test.</w:t>
      </w:r>
    </w:p>
    <w:p>
      <w:pPr>
        <w:spacing w:after="60" w:before="200"/>
        <w:ind w:left="863"/>
      </w:pPr>
      <w:r>
        <w:rPr>
          <w:rFonts w:ascii="Courier New" w:cs="Courier New" w:eastAsia="Courier New" w:hAnsi="Courier New"/>
          <w:b/>
          <w:bCs/>
          <w:color w:val="1B2A4A"/>
          <w:sz w:val="18"/>
          <w:szCs w:val="18"/>
        </w:rPr>
        <w:t xml:space="preserve">§5.1.d  </w:t>
      </w:r>
      <w:r>
        <w:rPr>
          <w:rFonts w:ascii="Garamond" w:cs="Garamond" w:eastAsia="Garamond" w:hAnsi="Garamond"/>
          <w:b/>
          <w:bCs/>
          <w:color w:val="1B2A4A"/>
          <w:sz w:val="22"/>
          <w:szCs w:val="22"/>
        </w:rPr>
        <w:t xml:space="preserve">National Service Path</w:t>
      </w:r>
    </w:p>
    <w:p>
      <w:pPr>
        <w:spacing w:after="120" w:before="0"/>
        <w:ind w:left="863"/>
        <w:jc w:val="both"/>
      </w:pPr>
      <w:r>
        <w:rPr>
          <w:rFonts w:ascii="Garamond" w:cs="Garamond" w:eastAsia="Garamond" w:hAnsi="Garamond"/>
          <w:color w:val="2a2520"/>
          <w:sz w:val="22"/>
          <w:szCs w:val="22"/>
        </w:rPr>
        <w:t xml:space="preserve">A Legal Resident may earn citizenship through honorable completion of military or national service — a service path that runs parallel to the residency path. Years of service are a legitimate basis for constitutional membership.</w:t>
      </w:r>
    </w:p>
    <w:p>
      <w:pPr>
        <w:spacing w:after="60" w:before="200"/>
        <w:ind w:left="863"/>
      </w:pPr>
      <w:r>
        <w:rPr>
          <w:rFonts w:ascii="Courier New" w:cs="Courier New" w:eastAsia="Courier New" w:hAnsi="Courier New"/>
          <w:b/>
          <w:bCs/>
          <w:color w:val="1B2A4A"/>
          <w:sz w:val="18"/>
          <w:szCs w:val="18"/>
        </w:rPr>
        <w:t xml:space="preserve">§5.1.e  </w:t>
      </w:r>
      <w:r>
        <w:rPr>
          <w:rFonts w:ascii="Garamond" w:cs="Garamond" w:eastAsia="Garamond" w:hAnsi="Garamond"/>
          <w:b/>
          <w:bCs/>
          <w:color w:val="1B2A4A"/>
          <w:sz w:val="22"/>
          <w:szCs w:val="22"/>
        </w:rPr>
        <w:t xml:space="preserve">Citizenship Irrevocability</w:t>
      </w:r>
    </w:p>
    <w:p>
      <w:pPr>
        <w:spacing w:after="120" w:before="0"/>
        <w:ind w:left="863"/>
        <w:jc w:val="both"/>
      </w:pPr>
      <w:r>
        <w:rPr>
          <w:rFonts w:ascii="Garamond" w:cs="Garamond" w:eastAsia="Garamond" w:hAnsi="Garamond"/>
          <w:color w:val="2a2520"/>
          <w:sz w:val="22"/>
          <w:szCs w:val="22"/>
        </w:rPr>
        <w:t xml:space="preserve">Citizenship may not be revoked as punishment or for any reason once granted by birth or naturalization. The Republic may not manufacture statelessness as a punitive tool. See also §5.1.a.i, which ensures children born on Republic territory to undocumented parents cannot be left stateless by inaction.</w:t>
      </w:r>
    </w:p>
    <w:p>
      <w:pPr>
        <w:spacing w:after="60" w:before="200"/>
        <w:ind w:left="863"/>
      </w:pPr>
      <w:r>
        <w:rPr>
          <w:rFonts w:ascii="Courier New" w:cs="Courier New" w:eastAsia="Courier New" w:hAnsi="Courier New"/>
          <w:b/>
          <w:bCs/>
          <w:color w:val="1B2A4A"/>
          <w:sz w:val="18"/>
          <w:szCs w:val="18"/>
        </w:rPr>
        <w:t xml:space="preserve">§5.1.f  </w:t>
      </w:r>
      <w:r>
        <w:rPr>
          <w:rFonts w:ascii="Garamond" w:cs="Garamond" w:eastAsia="Garamond" w:hAnsi="Garamond"/>
          <w:b/>
          <w:bCs/>
          <w:color w:val="1B2A4A"/>
          <w:sz w:val="22"/>
          <w:szCs w:val="22"/>
        </w:rPr>
        <w:t xml:space="preserve">Derivative Status</w:t>
      </w:r>
    </w:p>
    <w:p>
      <w:pPr>
        <w:spacing w:after="120" w:before="0"/>
        <w:ind w:left="863"/>
        <w:jc w:val="both"/>
      </w:pPr>
      <w:r>
        <w:rPr>
          <w:rFonts w:ascii="Garamond" w:cs="Garamond" w:eastAsia="Garamond" w:hAnsi="Garamond"/>
          <w:color w:val="2a2520"/>
          <w:sz w:val="22"/>
          <w:szCs w:val="22"/>
        </w:rPr>
        <w:t xml:space="preserve">A child born before a parent acquired Legal Residency or Citizenship, who accompanies that parent to the Republic within a Legislature-defined window, receives derivative status. Prevents a parent's pre-Republic legal status from permanently cutting off their child's path to citizenship.</w:t>
      </w:r>
    </w:p>
    <w:p>
      <w:pPr>
        <w:spacing w:after="60" w:before="200"/>
        <w:ind w:left="863"/>
      </w:pPr>
      <w:r>
        <w:rPr>
          <w:rFonts w:ascii="Courier New" w:cs="Courier New" w:eastAsia="Courier New" w:hAnsi="Courier New"/>
          <w:b/>
          <w:bCs/>
          <w:color w:val="1B2A4A"/>
          <w:sz w:val="18"/>
          <w:szCs w:val="18"/>
        </w:rPr>
        <w:t xml:space="preserve">§5.1.g  </w:t>
      </w:r>
      <w:r>
        <w:rPr>
          <w:rFonts w:ascii="Garamond" w:cs="Garamond" w:eastAsia="Garamond" w:hAnsi="Garamond"/>
          <w:b/>
          <w:bCs/>
          <w:color w:val="1B2A4A"/>
          <w:sz w:val="22"/>
          <w:szCs w:val="22"/>
        </w:rPr>
        <w:t xml:space="preserve">Accelerated Naturalization — Long-Term Pre-Ratification Residents</w:t>
      </w:r>
    </w:p>
    <w:p>
      <w:pPr>
        <w:spacing w:after="120" w:before="0"/>
        <w:ind w:left="863"/>
        <w:jc w:val="both"/>
      </w:pPr>
      <w:r>
        <w:rPr>
          <w:rFonts w:ascii="Garamond" w:cs="Garamond" w:eastAsia="Garamond" w:hAnsi="Garamond"/>
          <w:color w:val="2a2520"/>
          <w:sz w:val="22"/>
          <w:szCs w:val="22"/>
        </w:rPr>
        <w:t xml:space="preserve">Any person who resided continuously in the Republic's territory for five or more years immediately before Day Zero but did not hold predecessor voting rights — including persons disenfranchised by laws subsequently nullified under §19.2 — may apply for citizenship through an accelerated process the Legislature must establish within one year of Phase 4. The process must waive the CLT requirement and must be completed within 90 days of application.</w:t>
      </w:r>
    </w:p>
    <w:p>
      <w:pPr>
        <w:spacing w:after="60" w:before="200"/>
        <w:ind w:left="431"/>
      </w:pPr>
      <w:r>
        <w:rPr>
          <w:rFonts w:ascii="Courier New" w:cs="Courier New" w:eastAsia="Courier New" w:hAnsi="Courier New"/>
          <w:b/>
          <w:bCs/>
          <w:color w:val="1B2A4A"/>
          <w:sz w:val="18"/>
          <w:szCs w:val="18"/>
        </w:rPr>
        <w:t xml:space="preserve">§5.2  </w:t>
      </w:r>
      <w:r>
        <w:rPr>
          <w:rFonts w:ascii="Garamond" w:cs="Garamond" w:eastAsia="Garamond" w:hAnsi="Garamond"/>
          <w:b/>
          <w:bCs/>
          <w:color w:val="1B2A4A"/>
          <w:sz w:val="22"/>
          <w:szCs w:val="22"/>
        </w:rPr>
        <w:t xml:space="preserve">Legal Resident Rights</w:t>
      </w:r>
    </w:p>
    <w:p>
      <w:pPr>
        <w:spacing w:after="120" w:before="0"/>
        <w:ind w:left="431"/>
        <w:jc w:val="both"/>
      </w:pPr>
      <w:r>
        <w:rPr>
          <w:rFonts w:ascii="Garamond" w:cs="Garamond" w:eastAsia="Garamond" w:hAnsi="Garamond"/>
          <w:color w:val="2a2520"/>
          <w:sz w:val="22"/>
          <w:szCs w:val="22"/>
        </w:rPr>
        <w:t xml:space="preserve">Legal Residents hold a Residency Credential allowing them to work, enter contracts, own property, access BNF programs, and participate in local elections where the Legislature authorizes. They hold all Article I rights as Inhabitants. What they lack that citizens hold: federal voting rights and the right to stand for federal office. No child of a Citizen or Legal Resident may be deported, regardless of the child's own documentation status.</w:t>
      </w:r>
    </w:p>
    <w:p>
      <w:pPr>
        <w:spacing w:after="60" w:before="200"/>
        <w:ind w:left="431"/>
      </w:pPr>
      <w:r>
        <w:rPr>
          <w:rFonts w:ascii="Courier New" w:cs="Courier New" w:eastAsia="Courier New" w:hAnsi="Courier New"/>
          <w:b/>
          <w:bCs/>
          <w:color w:val="1B2A4A"/>
          <w:sz w:val="18"/>
          <w:szCs w:val="18"/>
        </w:rPr>
        <w:t xml:space="preserve">§5.3  </w:t>
      </w:r>
      <w:r>
        <w:rPr>
          <w:rFonts w:ascii="Garamond" w:cs="Garamond" w:eastAsia="Garamond" w:hAnsi="Garamond"/>
          <w:b/>
          <w:bCs/>
          <w:color w:val="1B2A4A"/>
          <w:sz w:val="22"/>
          <w:szCs w:val="22"/>
        </w:rPr>
        <w:t xml:space="preserve">Custodial Care of Citizen Children</w:t>
      </w:r>
    </w:p>
    <w:p>
      <w:pPr>
        <w:spacing w:after="120" w:before="0"/>
        <w:ind w:left="431"/>
        <w:jc w:val="both"/>
      </w:pPr>
      <w:r>
        <w:rPr>
          <w:rFonts w:ascii="Garamond" w:cs="Garamond" w:eastAsia="Garamond" w:hAnsi="Garamond"/>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does not separate citizen children from their sole caregivers without providing for them.</w:t>
      </w:r>
    </w:p>
    <w:p>
      <w:pPr>
        <w:spacing w:after="60" w:before="200"/>
        <w:ind w:left="431"/>
      </w:pPr>
      <w:r>
        <w:rPr>
          <w:rFonts w:ascii="Courier New" w:cs="Courier New" w:eastAsia="Courier New" w:hAnsi="Courier New"/>
          <w:b/>
          <w:bCs/>
          <w:color w:val="1B2A4A"/>
          <w:sz w:val="18"/>
          <w:szCs w:val="18"/>
        </w:rPr>
        <w:t xml:space="preserve">§5.4  </w:t>
      </w:r>
      <w:r>
        <w:rPr>
          <w:rFonts w:ascii="Garamond" w:cs="Garamond" w:eastAsia="Garamond" w:hAnsi="Garamond"/>
          <w:b/>
          <w:bCs/>
          <w:color w:val="1B2A4A"/>
          <w:sz w:val="22"/>
          <w:szCs w:val="22"/>
        </w:rPr>
        <w:t xml:space="preserve">The Constitutional Logic Test</w:t>
      </w:r>
    </w:p>
    <w:p>
      <w:pPr>
        <w:spacing w:after="120" w:before="0"/>
        <w:ind w:left="431"/>
        <w:jc w:val="both"/>
      </w:pPr>
      <w:r>
        <w:rPr>
          <w:rFonts w:ascii="Garamond" w:cs="Garamond" w:eastAsia="Garamond" w:hAnsi="Garamond"/>
          <w:color w:val="2a2520"/>
          <w:sz w:val="22"/>
          <w:szCs w:val="22"/>
        </w:rPr>
        <w:t xml:space="preserve">The CLT is required for earned citizenship through naturalization (§5.1.c) and national service (§5.1.d). It tests knowledge of constitutional principles and civic structure — not political opinions or cultural loyalty. The Senate deadlock rule (§5.4.c) ensures the existing test remains in force if the Legislature cannot agree on a new standard.</w:t>
      </w:r>
    </w:p>
    <w:p>
      <w:pPr>
        <w:spacing w:after="60" w:before="200"/>
        <w:ind w:left="863"/>
      </w:pPr>
      <w:r>
        <w:rPr>
          <w:rFonts w:ascii="Courier New" w:cs="Courier New" w:eastAsia="Courier New" w:hAnsi="Courier New"/>
          <w:b/>
          <w:bCs/>
          <w:color w:val="1B2A4A"/>
          <w:sz w:val="18"/>
          <w:szCs w:val="18"/>
        </w:rPr>
        <w:t xml:space="preserve">§5.4.a  </w:t>
      </w:r>
      <w:r>
        <w:rPr>
          <w:rFonts w:ascii="Garamond" w:cs="Garamond" w:eastAsia="Garamond" w:hAnsi="Garamond"/>
          <w:b/>
          <w:bCs/>
          <w:color w:val="1B2A4A"/>
          <w:sz w:val="22"/>
          <w:szCs w:val="22"/>
        </w:rPr>
        <w:t xml:space="preserve">Senate Authority over the CLT Standard</w:t>
      </w:r>
    </w:p>
    <w:p>
      <w:pPr>
        <w:spacing w:after="120" w:before="0"/>
        <w:ind w:left="863"/>
        <w:jc w:val="both"/>
      </w:pPr>
      <w:r>
        <w:rPr>
          <w:rFonts w:ascii="Garamond" w:cs="Garamond" w:eastAsia="Garamond" w:hAnsi="Garamond"/>
          <w:color w:val="2a2520"/>
          <w:sz w:val="22"/>
          <w:szCs w:val="22"/>
        </w:rPr>
        <w:t xml:space="preserve">The CLT must assess knowledge sufficient to understand the structure, powers, limits, and rights established by this Constitution. Any statute reducing the CLT below this floor is void and any citizen may challenge it in court. The Senate sets the CLT standard by statute — raising it by simple majority of both chambers, lowering it by 2/3 supermajority of both chambers. Compliance with the constitutional floor is enforced by courts on challenge. Where the CLT Administrator position is vacant, the Judicial Inspectorate administers the CLT on an interim basis using the most recently published test version until a new Administrator is confirmed by the Senate.</w:t>
      </w:r>
    </w:p>
    <w:p>
      <w:pPr>
        <w:spacing w:after="60" w:before="200"/>
        <w:ind w:left="863"/>
      </w:pPr>
      <w:r>
        <w:rPr>
          <w:rFonts w:ascii="Courier New" w:cs="Courier New" w:eastAsia="Courier New" w:hAnsi="Courier New"/>
          <w:b/>
          <w:bCs/>
          <w:color w:val="1B2A4A"/>
          <w:sz w:val="18"/>
          <w:szCs w:val="18"/>
        </w:rPr>
        <w:t xml:space="preserve">§5.4.b  </w:t>
      </w:r>
      <w:r>
        <w:rPr>
          <w:rFonts w:ascii="Garamond" w:cs="Garamond" w:eastAsia="Garamond" w:hAnsi="Garamond"/>
          <w:b/>
          <w:bCs/>
          <w:color w:val="1B2A4A"/>
          <w:sz w:val="22"/>
          <w:szCs w:val="22"/>
        </w:rPr>
        <w:t xml:space="preserve">CLT Administrator</w:t>
      </w:r>
    </w:p>
    <w:p>
      <w:pPr>
        <w:spacing w:after="120" w:before="0"/>
        <w:ind w:left="863"/>
        <w:jc w:val="both"/>
      </w:pPr>
      <w:r>
        <w:rPr>
          <w:rFonts w:ascii="Garamond" w:cs="Garamond" w:eastAsia="Garamond" w:hAnsi="Garamond"/>
          <w:color w:val="2a2520"/>
          <w:sz w:val="22"/>
          <w:szCs w:val="22"/>
        </w:rPr>
        <w:t xml:space="preserve">The Constitutional Logic Test is administered by a CLT Administrator nominated by the PM from a Candidate Register, confirmed by the Senate. Structural independence from partisan influence: the CLT process cannot be used to create barriers that track political outcomes.</w:t>
      </w:r>
    </w:p>
    <w:p>
      <w:pPr>
        <w:spacing w:after="60" w:before="200"/>
        <w:ind w:left="863"/>
      </w:pPr>
      <w:r>
        <w:rPr>
          <w:rFonts w:ascii="Courier New" w:cs="Courier New" w:eastAsia="Courier New" w:hAnsi="Courier New"/>
          <w:b/>
          <w:bCs/>
          <w:color w:val="1B2A4A"/>
          <w:sz w:val="18"/>
          <w:szCs w:val="18"/>
        </w:rPr>
        <w:t xml:space="preserve">§5.4.c  </w:t>
      </w:r>
      <w:r>
        <w:rPr>
          <w:rFonts w:ascii="Garamond" w:cs="Garamond" w:eastAsia="Garamond" w:hAnsi="Garamond"/>
          <w:b/>
          <w:bCs/>
          <w:color w:val="1B2A4A"/>
          <w:sz w:val="22"/>
          <w:szCs w:val="22"/>
        </w:rPr>
        <w:t xml:space="preserve">Status Quo Maintenance</w:t>
      </w:r>
    </w:p>
    <w:p>
      <w:pPr>
        <w:spacing w:after="120" w:before="0"/>
        <w:ind w:left="863"/>
        <w:jc w:val="both"/>
      </w:pPr>
      <w:r>
        <w:rPr>
          <w:rFonts w:ascii="Garamond" w:cs="Garamond" w:eastAsia="Garamond" w:hAnsi="Garamond"/>
          <w:color w:val="2a2520"/>
          <w:sz w:val="22"/>
          <w:szCs w:val="22"/>
        </w:rPr>
        <w:t xml:space="preserve">Senate deadlock on CLT standard changes keeps the existing version in force. Deadlock cannot be weaponized to eliminate the CLT or make it impossibly difficult — the existing test remains operative.</w:t>
      </w:r>
    </w:p>
    <w:p>
      <w:pPr>
        <w:spacing w:after="60" w:before="200"/>
        <w:ind w:left="431"/>
      </w:pPr>
      <w:r>
        <w:rPr>
          <w:rFonts w:ascii="Courier New" w:cs="Courier New" w:eastAsia="Courier New" w:hAnsi="Courier New"/>
          <w:b/>
          <w:bCs/>
          <w:color w:val="1B2A4A"/>
          <w:sz w:val="18"/>
          <w:szCs w:val="18"/>
        </w:rPr>
        <w:t xml:space="preserve">§5.5  </w:t>
      </w:r>
      <w:r>
        <w:rPr>
          <w:rFonts w:ascii="Garamond" w:cs="Garamond" w:eastAsia="Garamond" w:hAnsi="Garamond"/>
          <w:b/>
          <w:bCs/>
          <w:color w:val="1B2A4A"/>
          <w:sz w:val="22"/>
          <w:szCs w:val="22"/>
        </w:rPr>
        <w:t xml:space="preserve">Founding Generation Citizenship</w:t>
      </w:r>
    </w:p>
    <w:p>
      <w:pPr>
        <w:spacing w:after="120" w:before="0"/>
        <w:ind w:left="431"/>
        <w:jc w:val="both"/>
      </w:pPr>
      <w:r>
        <w:rPr>
          <w:rFonts w:ascii="Garamond" w:cs="Garamond" w:eastAsia="Garamond" w:hAnsi="Garamond"/>
          <w:color w:val="2a2520"/>
          <w:sz w:val="22"/>
          <w:szCs w:val="22"/>
        </w:rPr>
        <w:t xml:space="preserve">The circumstances of ratification require a transitional citizenship grant for those who held voting rights at the moment of founding.</w:t>
      </w:r>
    </w:p>
    <w:p>
      <w:pPr>
        <w:spacing w:after="60" w:before="200"/>
        <w:ind w:left="863"/>
      </w:pPr>
      <w:r>
        <w:rPr>
          <w:rFonts w:ascii="Courier New" w:cs="Courier New" w:eastAsia="Courier New" w:hAnsi="Courier New"/>
          <w:b/>
          <w:bCs/>
          <w:color w:val="1B2A4A"/>
          <w:sz w:val="18"/>
          <w:szCs w:val="18"/>
        </w:rPr>
        <w:t xml:space="preserve">§5.5.a  </w:t>
      </w:r>
      <w:r>
        <w:rPr>
          <w:rFonts w:ascii="Garamond" w:cs="Garamond" w:eastAsia="Garamond" w:hAnsi="Garamond"/>
          <w:b/>
          <w:bCs/>
          <w:color w:val="1B2A4A"/>
          <w:sz w:val="22"/>
          <w:szCs w:val="22"/>
        </w:rPr>
        <w:t xml:space="preserve">Automatic Citizenship Grant</w:t>
      </w:r>
    </w:p>
    <w:p>
      <w:pPr>
        <w:spacing w:after="120" w:before="0"/>
        <w:ind w:left="863"/>
        <w:jc w:val="both"/>
      </w:pPr>
      <w:r>
        <w:rPr>
          <w:rFonts w:ascii="Garamond" w:cs="Garamond" w:eastAsia="Garamond" w:hAnsi="Garamond"/>
          <w:color w:val="2a2520"/>
          <w:sz w:val="22"/>
          <w:szCs w:val="22"/>
        </w:rPr>
        <w:t xml:space="preserve">All individuals holding voting rights on Day Zero of ratification are automatically granted full citizenship without testing or application. The Day Zero Grandfather Clause prevents the new Republic from immediately disenfranchising its existing population by requiring existing voters to re-qualify under new standards.</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VI — Immigration and Residency</w:t>
      </w:r>
    </w:p>
    <w:p>
      <w:pPr>
        <w:spacing w:after="120"/>
      </w:pPr>
    </w:p>
    <w:p>
      <w:pPr>
        <w:spacing w:after="60" w:before="200"/>
        <w:ind w:left="431"/>
      </w:pPr>
      <w:r>
        <w:rPr>
          <w:rFonts w:ascii="Courier New" w:cs="Courier New" w:eastAsia="Courier New" w:hAnsi="Courier New"/>
          <w:b/>
          <w:bCs/>
          <w:color w:val="1B2A4A"/>
          <w:sz w:val="18"/>
          <w:szCs w:val="18"/>
        </w:rPr>
        <w:t xml:space="preserve">§6.1  </w:t>
      </w:r>
      <w:r>
        <w:rPr>
          <w:rFonts w:ascii="Garamond" w:cs="Garamond" w:eastAsia="Garamond" w:hAnsi="Garamond"/>
          <w:b/>
          <w:bCs/>
          <w:color w:val="1B2A4A"/>
          <w:sz w:val="22"/>
          <w:szCs w:val="22"/>
        </w:rPr>
        <w:t xml:space="preserve">The Dual-Gate System</w:t>
      </w:r>
    </w:p>
    <w:p>
      <w:pPr>
        <w:spacing w:after="120" w:before="0"/>
        <w:ind w:left="431"/>
        <w:jc w:val="both"/>
      </w:pPr>
      <w:r>
        <w:rPr>
          <w:rFonts w:ascii="Garamond" w:cs="Garamond" w:eastAsia="Garamond" w:hAnsi="Garamond"/>
          <w:color w:val="2a2520"/>
          <w:sz w:val="22"/>
          <w:szCs w:val="22"/>
        </w:rPr>
        <w:t xml:space="preserve">Every immigration application must clear two sequential gates: Gate 1 (State sponsorship) and Gate 2 (federal certification). Legal residency requires passing both gates. Gate 1 is State acceptance — States retain discretion over whom they sponsor, but may not apply sponsorship criteria that violate §1.9. Gate 2 is the federal substantive assessment — national standards that no State can circumvent or expand beyond the four certified categories. The Legislature holds supreme authority over immigration standards and may set aggregate limits on total applications processed in any period, provided limits are applied without §1.9 discrimination. Asylum proceedings under §6.4 are explicitly exempt from the Gate 1 requirement — the right to claim and have determined a §1.28 asylum claim exists independently of the dual-gate system, and no State's refusal to sponsor can extinguish it.</w:t>
      </w:r>
    </w:p>
    <w:p>
      <w:pPr>
        <w:spacing w:after="60" w:before="200"/>
        <w:ind w:left="863"/>
      </w:pPr>
      <w:r>
        <w:rPr>
          <w:rFonts w:ascii="Courier New" w:cs="Courier New" w:eastAsia="Courier New" w:hAnsi="Courier New"/>
          <w:b/>
          <w:bCs/>
          <w:color w:val="1B2A4A"/>
          <w:sz w:val="18"/>
          <w:szCs w:val="18"/>
        </w:rPr>
        <w:t xml:space="preserve">§6.1.a  </w:t>
      </w:r>
      <w:r>
        <w:rPr>
          <w:rFonts w:ascii="Garamond" w:cs="Garamond" w:eastAsia="Garamond" w:hAnsi="Garamond"/>
          <w:b/>
          <w:bCs/>
          <w:color w:val="1B2A4A"/>
          <w:sz w:val="22"/>
          <w:szCs w:val="22"/>
        </w:rPr>
        <w:t xml:space="preserve">Gate 1 — State Sponsorship</w:t>
      </w:r>
    </w:p>
    <w:p>
      <w:pPr>
        <w:spacing w:after="120" w:before="0"/>
        <w:ind w:left="863"/>
        <w:jc w:val="both"/>
      </w:pPr>
      <w:r>
        <w:rPr>
          <w:rFonts w:ascii="Garamond" w:cs="Garamond" w:eastAsia="Garamond" w:hAnsi="Garamond"/>
          <w:color w:val="2a2520"/>
          <w:sz w:val="22"/>
          <w:szCs w:val="22"/>
        </w:rPr>
        <w:t xml:space="preserve">A sponsoring State certifies the applicant through its own vetting process and accepts notification obligations during the application period. During the application period the applicant must maintain a genuine connection to the sponsoring State — as the Legislature defines by statute — so that notification obligations remain practical rather than nominal and states cannot become purely formal sponsors for applicants who have no real connection to them. Residency credentials issued once both gates are cleared are federal credentials valid throughout the Republic. The sponsoring State's role and responsibilities end at issuance; the credentials are not tied to any State. The federal government may not penalise a State for declining to sponsor any particular applicant or category of applicant.</w:t>
      </w:r>
    </w:p>
    <w:p>
      <w:pPr>
        <w:spacing w:after="60" w:before="200"/>
        <w:ind w:left="863"/>
      </w:pPr>
      <w:r>
        <w:rPr>
          <w:rFonts w:ascii="Courier New" w:cs="Courier New" w:eastAsia="Courier New" w:hAnsi="Courier New"/>
          <w:b/>
          <w:bCs/>
          <w:color w:val="1B2A4A"/>
          <w:sz w:val="18"/>
          <w:szCs w:val="18"/>
        </w:rPr>
        <w:t xml:space="preserve">§6.1.b  </w:t>
      </w:r>
      <w:r>
        <w:rPr>
          <w:rFonts w:ascii="Garamond" w:cs="Garamond" w:eastAsia="Garamond" w:hAnsi="Garamond"/>
          <w:b/>
          <w:bCs/>
          <w:color w:val="1B2A4A"/>
          <w:sz w:val="22"/>
          <w:szCs w:val="22"/>
        </w:rPr>
        <w:t xml:space="preserve">Gate 2 — Federal Certification</w:t>
      </w:r>
    </w:p>
    <w:p>
      <w:pPr>
        <w:spacing w:after="120" w:before="0"/>
        <w:ind w:left="863"/>
        <w:jc w:val="both"/>
      </w:pPr>
      <w:r>
        <w:rPr>
          <w:rFonts w:ascii="Garamond" w:cs="Garamond" w:eastAsia="Garamond" w:hAnsi="Garamond"/>
          <w:color w:val="2a2520"/>
          <w:sz w:val="22"/>
          <w:szCs w:val="22"/>
        </w:rPr>
        <w:t xml:space="preserve">Federal certification across four statutory categories: identity verification, criminal history, national security assessment, self-sufficiency or support guarantee. Cannot impose ideological screening or nationality-based quotas. Any denial must specify the precise ground in writing. National security denials published in redacted form protecting sources.</w:t>
      </w:r>
    </w:p>
    <w:p>
      <w:pPr>
        <w:spacing w:after="60" w:before="200"/>
        <w:ind w:left="863"/>
      </w:pPr>
      <w:r>
        <w:rPr>
          <w:rFonts w:ascii="Courier New" w:cs="Courier New" w:eastAsia="Courier New" w:hAnsi="Courier New"/>
          <w:b/>
          <w:bCs/>
          <w:color w:val="1B2A4A"/>
          <w:sz w:val="18"/>
          <w:szCs w:val="18"/>
        </w:rPr>
        <w:t xml:space="preserve">§6.1.c  </w:t>
      </w:r>
      <w:r>
        <w:rPr>
          <w:rFonts w:ascii="Garamond" w:cs="Garamond" w:eastAsia="Garamond" w:hAnsi="Garamond"/>
          <w:b/>
          <w:bCs/>
          <w:color w:val="1B2A4A"/>
          <w:sz w:val="22"/>
          <w:szCs w:val="22"/>
        </w:rPr>
        <w:t xml:space="preserve">Presidential Role</w:t>
      </w:r>
    </w:p>
    <w:p>
      <w:pPr>
        <w:spacing w:after="120" w:before="0"/>
        <w:ind w:left="863"/>
        <w:jc w:val="both"/>
      </w:pPr>
      <w:r>
        <w:rPr>
          <w:rFonts w:ascii="Garamond" w:cs="Garamond" w:eastAsia="Garamond" w:hAnsi="Garamond"/>
          <w:color w:val="2a2520"/>
          <w:sz w:val="22"/>
          <w:szCs w:val="22"/>
        </w:rPr>
        <w:t xml:space="preserve">Once an applicant clears both gates, the President must ministerially issue residency credentials. The word 'ministerially' is deliberate — the President has no discretion to refuse or delay what the law requires. Presidential interference with credential issuance is constitutionally prohibited.</w:t>
      </w:r>
    </w:p>
    <w:p>
      <w:pPr>
        <w:spacing w:after="60" w:before="200"/>
        <w:ind w:left="863"/>
      </w:pPr>
      <w:r>
        <w:rPr>
          <w:rFonts w:ascii="Courier New" w:cs="Courier New" w:eastAsia="Courier New" w:hAnsi="Courier New"/>
          <w:b/>
          <w:bCs/>
          <w:color w:val="1B2A4A"/>
          <w:sz w:val="18"/>
          <w:szCs w:val="18"/>
        </w:rPr>
        <w:t xml:space="preserve">§6.1.d  </w:t>
      </w:r>
      <w:r>
        <w:rPr>
          <w:rFonts w:ascii="Garamond" w:cs="Garamond" w:eastAsia="Garamond" w:hAnsi="Garamond"/>
          <w:b/>
          <w:bCs/>
          <w:color w:val="1B2A4A"/>
          <w:sz w:val="22"/>
          <w:szCs w:val="22"/>
        </w:rPr>
        <w:t xml:space="preserve">Federal Sponsorship Category</w:t>
      </w:r>
    </w:p>
    <w:p>
      <w:pPr>
        <w:spacing w:after="120" w:before="0"/>
        <w:ind w:left="863"/>
        <w:jc w:val="both"/>
      </w:pPr>
      <w:r>
        <w:rPr>
          <w:rFonts w:ascii="Garamond" w:cs="Garamond" w:eastAsia="Garamond" w:hAnsi="Garamond"/>
          <w:color w:val="2a2520"/>
          <w:sz w:val="22"/>
          <w:szCs w:val="22"/>
        </w:rPr>
        <w:t xml:space="preserve">The Legislature may establish a Federal Sponsorship Category where designated federal agencies serve as Gate 1 sponsors for applicants whose skills directly serve a defined federal interest — research programs, national infrastructure, national security-adjacent technical roles. The agency assumes all State Gate 1 responsibilities including notification obligations. Crucially: the Federal Sponsorship Category does not bypass Gate 2 — all four federal certification categories still apply. State Gate 1 authority is entirely unaffected; the federal category operates alongside, not instead of, State sponsorship.</w:t>
      </w:r>
    </w:p>
    <w:p>
      <w:pPr>
        <w:spacing w:after="60" w:before="200"/>
        <w:ind w:left="431"/>
      </w:pPr>
      <w:r>
        <w:rPr>
          <w:rFonts w:ascii="Courier New" w:cs="Courier New" w:eastAsia="Courier New" w:hAnsi="Courier New"/>
          <w:b/>
          <w:bCs/>
          <w:color w:val="1B2A4A"/>
          <w:sz w:val="18"/>
          <w:szCs w:val="18"/>
        </w:rPr>
        <w:t xml:space="preserve">§6.2  </w:t>
      </w:r>
      <w:r>
        <w:rPr>
          <w:rFonts w:ascii="Garamond" w:cs="Garamond" w:eastAsia="Garamond" w:hAnsi="Garamond"/>
          <w:b/>
          <w:bCs/>
          <w:color w:val="1B2A4A"/>
          <w:sz w:val="22"/>
          <w:szCs w:val="22"/>
        </w:rPr>
        <w:t xml:space="preserve">Enforcement and Removal</w:t>
      </w:r>
    </w:p>
    <w:p>
      <w:pPr>
        <w:spacing w:after="120" w:before="0"/>
        <w:ind w:left="431"/>
        <w:jc w:val="both"/>
      </w:pPr>
      <w:r>
        <w:rPr>
          <w:rFonts w:ascii="Garamond" w:cs="Garamond" w:eastAsia="Garamond" w:hAnsi="Garamond"/>
          <w:color w:val="2a2520"/>
          <w:sz w:val="22"/>
          <w:szCs w:val="22"/>
        </w:rPr>
        <w:t xml:space="preserve">Only the federal government may remove individuals from the Republic — States may not conduct deportations independently. Removal occurs only for violations of laws the Legislature has defined — executive detention without statutory basis is not removal, it is unlawful detention subject to habeas corpus.</w:t>
      </w:r>
    </w:p>
    <w:p>
      <w:pPr>
        <w:spacing w:after="60" w:before="200"/>
        <w:ind w:left="431"/>
      </w:pPr>
      <w:r>
        <w:rPr>
          <w:rFonts w:ascii="Courier New" w:cs="Courier New" w:eastAsia="Courier New" w:hAnsi="Courier New"/>
          <w:b/>
          <w:bCs/>
          <w:color w:val="1B2A4A"/>
          <w:sz w:val="18"/>
          <w:szCs w:val="18"/>
        </w:rPr>
        <w:t xml:space="preserve">§6.3  </w:t>
      </w:r>
      <w:r>
        <w:rPr>
          <w:rFonts w:ascii="Garamond" w:cs="Garamond" w:eastAsia="Garamond" w:hAnsi="Garamond"/>
          <w:b/>
          <w:bCs/>
          <w:color w:val="1B2A4A"/>
          <w:sz w:val="22"/>
          <w:szCs w:val="22"/>
        </w:rPr>
        <w:t xml:space="preserve">Gate 2 Appeal Rights</w:t>
      </w:r>
    </w:p>
    <w:p>
      <w:pPr>
        <w:spacing w:after="120" w:before="0"/>
        <w:ind w:left="431"/>
        <w:jc w:val="both"/>
      </w:pPr>
      <w:r>
        <w:rPr>
          <w:rFonts w:ascii="Garamond" w:cs="Garamond" w:eastAsia="Garamond" w:hAnsi="Garamond"/>
          <w:color w:val="2a2520"/>
          <w:sz w:val="22"/>
          <w:szCs w:val="22"/>
        </w:rPr>
        <w:t xml:space="preserve">Gate 2 denials are judicially challengeable on three grounds: criterion outside the four certified categories; denial made on discriminatory grounds contrary to §1.9; or procedural violation affecting the outcome. Gate 1 denials — a state's decision not to sponsor — are not subject to federal review on the merits of the sponsorship decision. However, where an applicant believes a Gate 1 denial was made on §1.9 discriminatory grounds, they may bring a direct constitutional claim in any federal court, treated procedurally as a §6.3.a challenge. The court may order the state to reconsider free of discriminatory criteria; it may not compel the state to grant sponsorship. State discretion at Gate 1 is preserved; discriminatory exercise of that discretion is not.</w:t>
      </w:r>
    </w:p>
    <w:p>
      <w:pPr>
        <w:spacing w:after="60" w:before="200"/>
        <w:ind w:left="863"/>
      </w:pPr>
      <w:r>
        <w:rPr>
          <w:rFonts w:ascii="Courier New" w:cs="Courier New" w:eastAsia="Courier New" w:hAnsi="Courier New"/>
          <w:b/>
          <w:bCs/>
          <w:color w:val="1B2A4A"/>
          <w:sz w:val="18"/>
          <w:szCs w:val="18"/>
        </w:rPr>
        <w:t xml:space="preserve">§6.3.a  </w:t>
      </w:r>
      <w:r>
        <w:rPr>
          <w:rFonts w:ascii="Garamond" w:cs="Garamond" w:eastAsia="Garamond" w:hAnsi="Garamond"/>
          <w:b/>
          <w:bCs/>
          <w:color w:val="1B2A4A"/>
          <w:sz w:val="22"/>
          <w:szCs w:val="22"/>
        </w:rPr>
        <w:t xml:space="preserve">Judicial Challenge</w:t>
      </w:r>
    </w:p>
    <w:p>
      <w:pPr>
        <w:spacing w:after="120" w:before="0"/>
        <w:ind w:left="863"/>
        <w:jc w:val="both"/>
      </w:pPr>
      <w:r>
        <w:rPr>
          <w:rFonts w:ascii="Garamond" w:cs="Garamond" w:eastAsia="Garamond" w:hAnsi="Garamond"/>
          <w:color w:val="2a2520"/>
          <w:sz w:val="22"/>
          <w:szCs w:val="22"/>
        </w:rPr>
        <w:t xml:space="preserve">An applicant may challenge a Gate 2 denial on three grounds: criterion outside the four certified categories; discriminatory application; or procedurally deficient process. Three-ground limitation channels challenges rather than eliminating them.</w:t>
      </w:r>
    </w:p>
    <w:p>
      <w:pPr>
        <w:spacing w:after="60" w:before="200"/>
        <w:ind w:left="863"/>
      </w:pPr>
      <w:r>
        <w:rPr>
          <w:rFonts w:ascii="Courier New" w:cs="Courier New" w:eastAsia="Courier New" w:hAnsi="Courier New"/>
          <w:b/>
          <w:bCs/>
          <w:color w:val="1B2A4A"/>
          <w:sz w:val="18"/>
          <w:szCs w:val="18"/>
        </w:rPr>
        <w:t xml:space="preserve">§6.3.b  </w:t>
      </w:r>
      <w:r>
        <w:rPr>
          <w:rFonts w:ascii="Garamond" w:cs="Garamond" w:eastAsia="Garamond" w:hAnsi="Garamond"/>
          <w:b/>
          <w:bCs/>
          <w:color w:val="1B2A4A"/>
          <w:sz w:val="22"/>
          <w:szCs w:val="22"/>
        </w:rPr>
        <w:t xml:space="preserve">National Security Denials — In-Camera Review</w:t>
      </w:r>
    </w:p>
    <w:p>
      <w:pPr>
        <w:spacing w:after="120" w:before="0"/>
        <w:ind w:left="863"/>
        <w:jc w:val="both"/>
      </w:pPr>
      <w:r>
        <w:rPr>
          <w:rFonts w:ascii="Garamond" w:cs="Garamond" w:eastAsia="Garamond" w:hAnsi="Garamond"/>
          <w:color w:val="2a2520"/>
          <w:sz w:val="22"/>
          <w:szCs w:val="22"/>
        </w:rPr>
        <w:t xml:space="preserve">Where Gate 2 is denied on national security grounds, a reviewing court may examine the classified assessment in camera and determine whether it constitutes a credible, specific, and documented security concern — without publishing classified content. The in-camera determination is outcome-determinative: either the security concern meets the constitutional standard and the denial stands, or it does not and recertification is ordered.</w:t>
      </w:r>
    </w:p>
    <w:p>
      <w:pPr>
        <w:spacing w:after="60" w:before="200"/>
        <w:ind w:left="431"/>
      </w:pPr>
      <w:r>
        <w:rPr>
          <w:rFonts w:ascii="Courier New" w:cs="Courier New" w:eastAsia="Courier New" w:hAnsi="Courier New"/>
          <w:b/>
          <w:bCs/>
          <w:color w:val="1B2A4A"/>
          <w:sz w:val="18"/>
          <w:szCs w:val="18"/>
        </w:rPr>
        <w:t xml:space="preserve">§6.4  </w:t>
      </w:r>
      <w:r>
        <w:rPr>
          <w:rFonts w:ascii="Garamond" w:cs="Garamond" w:eastAsia="Garamond" w:hAnsi="Garamond"/>
          <w:b/>
          <w:bCs/>
          <w:color w:val="1B2A4A"/>
          <w:sz w:val="22"/>
          <w:szCs w:val="22"/>
        </w:rPr>
        <w:t xml:space="preserve">Asylum and Protection</w:t>
      </w:r>
    </w:p>
    <w:p>
      <w:pPr>
        <w:spacing w:after="120" w:before="0"/>
        <w:ind w:left="431"/>
        <w:jc w:val="both"/>
      </w:pPr>
      <w:r>
        <w:rPr>
          <w:rFonts w:ascii="Garamond" w:cs="Garamond" w:eastAsia="Garamond" w:hAnsi="Garamond"/>
          <w:color w:val="2a2520"/>
          <w:sz w:val="22"/>
          <w:szCs w:val="22"/>
        </w:rPr>
        <w:t xml:space="preserve">Asylum proceedings operate on a separate constitutional track from the dual-gate immigration system. An asylum filer under §1.28 becomes an Inhabitant at filing — not upon grant. Their claim must be determined before any removal order takes effect. The asylum track is explicitly exempt from Gate 1 state sponsorship: no state's refusal to sponsor can extinguish a §1.28 claim. Where the Asylum Court grants protection, the person receives federal residency credentials by operation of that grant — Gate 1 sponsorship and Gate 2 federal certification are not required conditions. The President must issue credentials within the Legislature-defined statutory period. The Legislature may establish a distinct residency category for asylum grantees with its own citizenship pathway consistent with Article V.</w:t>
      </w:r>
    </w:p>
    <w:p>
      <w:pPr>
        <w:spacing w:after="60" w:before="200"/>
        <w:ind w:left="863"/>
      </w:pPr>
      <w:r>
        <w:rPr>
          <w:rFonts w:ascii="Courier New" w:cs="Courier New" w:eastAsia="Courier New" w:hAnsi="Courier New"/>
          <w:b/>
          <w:bCs/>
          <w:color w:val="1B2A4A"/>
          <w:sz w:val="18"/>
          <w:szCs w:val="18"/>
        </w:rPr>
        <w:t xml:space="preserve">§6.4.a  </w:t>
      </w:r>
      <w:r>
        <w:rPr>
          <w:rFonts w:ascii="Garamond" w:cs="Garamond" w:eastAsia="Garamond" w:hAnsi="Garamond"/>
          <w:b/>
          <w:bCs/>
          <w:color w:val="1B2A4A"/>
          <w:sz w:val="22"/>
          <w:szCs w:val="22"/>
        </w:rPr>
        <w:t xml:space="preserve">Asylum Seekers as Inhabitants</w:t>
      </w:r>
    </w:p>
    <w:p>
      <w:pPr>
        <w:spacing w:after="120" w:before="0"/>
        <w:ind w:left="863"/>
        <w:jc w:val="both"/>
      </w:pPr>
      <w:r>
        <w:rPr>
          <w:rFonts w:ascii="Garamond" w:cs="Garamond" w:eastAsia="Garamond" w:hAnsi="Garamond"/>
          <w:color w:val="2a2520"/>
          <w:sz w:val="22"/>
          <w:szCs w:val="22"/>
        </w:rPr>
        <w:t xml:space="preserve">Any person who files an asylum claim under §1.28 is an Inhabitant of the Republic from the date of filing — immediately entitled to BNF coverage and all Article I protections. Protection-first: the determination process does not happen in a rights-free zone.</w:t>
      </w:r>
    </w:p>
    <w:p>
      <w:pPr>
        <w:spacing w:after="60" w:before="200"/>
        <w:ind w:left="863"/>
      </w:pPr>
      <w:r>
        <w:rPr>
          <w:rFonts w:ascii="Courier New" w:cs="Courier New" w:eastAsia="Courier New" w:hAnsi="Courier New"/>
          <w:b/>
          <w:bCs/>
          <w:color w:val="1B2A4A"/>
          <w:sz w:val="18"/>
          <w:szCs w:val="18"/>
        </w:rPr>
        <w:t xml:space="preserve">§6.4.b  </w:t>
      </w:r>
      <w:r>
        <w:rPr>
          <w:rFonts w:ascii="Garamond" w:cs="Garamond" w:eastAsia="Garamond" w:hAnsi="Garamond"/>
          <w:b/>
          <w:bCs/>
          <w:color w:val="1B2A4A"/>
          <w:sz w:val="22"/>
          <w:szCs w:val="22"/>
        </w:rPr>
        <w:t xml:space="preserve">Right to Determination and Protection During Proceedings</w:t>
      </w:r>
    </w:p>
    <w:p>
      <w:pPr>
        <w:spacing w:after="120" w:before="0"/>
        <w:ind w:left="863"/>
        <w:jc w:val="both"/>
      </w:pPr>
      <w:r>
        <w:rPr>
          <w:rFonts w:ascii="Garamond" w:cs="Garamond" w:eastAsia="Garamond" w:hAnsi="Garamond"/>
          <w:color w:val="2a2520"/>
          <w:sz w:val="22"/>
          <w:szCs w:val="22"/>
        </w:rPr>
        <w:t xml:space="preserve">Asylum proceedings must provide: a qualified adjudicator with decision authority, access to an interpreter, the right to present evidence and witnesses, a written decision specifying grounds, and a right of appeal. Standards apply regardless of the applicant's point of entry into the Republic.</w:t>
      </w:r>
    </w:p>
    <w:p>
      <w:pPr>
        <w:spacing w:after="60" w:before="200"/>
        <w:ind w:left="863"/>
      </w:pPr>
      <w:r>
        <w:rPr>
          <w:rFonts w:ascii="Courier New" w:cs="Courier New" w:eastAsia="Courier New" w:hAnsi="Courier New"/>
          <w:b/>
          <w:bCs/>
          <w:color w:val="1B2A4A"/>
          <w:sz w:val="18"/>
          <w:szCs w:val="18"/>
        </w:rPr>
        <w:t xml:space="preserve">§6.4.c  </w:t>
      </w:r>
      <w:r>
        <w:rPr>
          <w:rFonts w:ascii="Garamond" w:cs="Garamond" w:eastAsia="Garamond" w:hAnsi="Garamond"/>
          <w:b/>
          <w:bCs/>
          <w:color w:val="1B2A4A"/>
          <w:sz w:val="22"/>
          <w:szCs w:val="22"/>
        </w:rPr>
        <w:t xml:space="preserve">Asylum Court</w:t>
      </w:r>
    </w:p>
    <w:p>
      <w:pPr>
        <w:spacing w:after="120" w:before="0"/>
        <w:ind w:left="863"/>
        <w:jc w:val="both"/>
      </w:pPr>
      <w:r>
        <w:rPr>
          <w:rFonts w:ascii="Garamond" w:cs="Garamond" w:eastAsia="Garamond" w:hAnsi="Garamond"/>
          <w:color w:val="2a2520"/>
          <w:sz w:val="22"/>
          <w:szCs w:val="22"/>
        </w:rPr>
        <w:t xml:space="preserve">The Asylum Court is a federal judicial institution constitutionally independent of both executive branches. Its judges hold full tenure protections. The Legislature may not establish any asylum determination body as a subdivision or instrumentality of either executive branch — administrative asylum tribunals dependent on the executive are constitutionally prohibited.</w:t>
      </w:r>
    </w:p>
    <w:p>
      <w:pPr>
        <w:spacing w:after="60" w:before="200"/>
        <w:ind w:left="863"/>
      </w:pPr>
      <w:r>
        <w:rPr>
          <w:rFonts w:ascii="Courier New" w:cs="Courier New" w:eastAsia="Courier New" w:hAnsi="Courier New"/>
          <w:b/>
          <w:bCs/>
          <w:color w:val="1B2A4A"/>
          <w:sz w:val="18"/>
          <w:szCs w:val="18"/>
        </w:rPr>
        <w:t xml:space="preserve">§6.4.d  </w:t>
      </w:r>
      <w:r>
        <w:rPr>
          <w:rFonts w:ascii="Garamond" w:cs="Garamond" w:eastAsia="Garamond" w:hAnsi="Garamond"/>
          <w:b/>
          <w:bCs/>
          <w:color w:val="1B2A4A"/>
          <w:sz w:val="22"/>
          <w:szCs w:val="22"/>
        </w:rPr>
        <w:t xml:space="preserve">Non-Penalization for Irregular Entry</w:t>
      </w:r>
    </w:p>
    <w:p>
      <w:pPr>
        <w:spacing w:after="120" w:before="0"/>
        <w:ind w:left="863"/>
        <w:jc w:val="both"/>
      </w:pPr>
      <w:r>
        <w:rPr>
          <w:rFonts w:ascii="Garamond" w:cs="Garamond" w:eastAsia="Garamond" w:hAnsi="Garamond"/>
          <w:color w:val="2a2520"/>
          <w:sz w:val="22"/>
          <w:szCs w:val="22"/>
        </w:rPr>
        <w:t xml:space="preserve">The manner or means of entry into the Republic — including irregular or unauthorized entry — does not affect the right to claim asylum or have that claim determined. No penalty arising solely from irregular entry may be imposed on a person whose asylum claim is pending or has been granted.</w:t>
      </w:r>
    </w:p>
    <w:p>
      <w:pPr>
        <w:spacing w:after="60" w:before="200"/>
        <w:ind w:left="863"/>
      </w:pPr>
      <w:r>
        <w:rPr>
          <w:rFonts w:ascii="Courier New" w:cs="Courier New" w:eastAsia="Courier New" w:hAnsi="Courier New"/>
          <w:b/>
          <w:bCs/>
          <w:color w:val="1B2A4A"/>
          <w:sz w:val="18"/>
          <w:szCs w:val="18"/>
        </w:rPr>
        <w:t xml:space="preserve">§6.4.e  </w:t>
      </w:r>
      <w:r>
        <w:rPr>
          <w:rFonts w:ascii="Garamond" w:cs="Garamond" w:eastAsia="Garamond" w:hAnsi="Garamond"/>
          <w:b/>
          <w:bCs/>
          <w:color w:val="1B2A4A"/>
          <w:sz w:val="22"/>
          <w:szCs w:val="22"/>
        </w:rPr>
        <w:t xml:space="preserve">Unexecutable Removal Orders</w:t>
      </w:r>
    </w:p>
    <w:p>
      <w:pPr>
        <w:spacing w:after="120" w:before="0"/>
        <w:ind w:left="863"/>
        <w:jc w:val="both"/>
      </w:pPr>
      <w:r>
        <w:rPr>
          <w:rFonts w:ascii="Garamond" w:cs="Garamond" w:eastAsia="Garamond" w:hAnsi="Garamond"/>
          <w:color w:val="2a2520"/>
          <w:sz w:val="22"/>
          <w:szCs w:val="22"/>
        </w:rPr>
        <w:t xml:space="preserve">Legislature must define a minimum status, material conditions, and periodic judicial review for persons subject to final removal orders that cannot be executed — because the destination country won't accept them, or execution would violate §1.28. The constitution does not allow indefinite stateless detention.</w:t>
      </w:r>
    </w:p>
    <w:p>
      <w:pPr>
        <w:spacing w:after="60" w:before="200"/>
        <w:ind w:left="863"/>
      </w:pPr>
      <w:r>
        <w:rPr>
          <w:rFonts w:ascii="Courier New" w:cs="Courier New" w:eastAsia="Courier New" w:hAnsi="Courier New"/>
          <w:b/>
          <w:bCs/>
          <w:color w:val="1B2A4A"/>
          <w:sz w:val="18"/>
          <w:szCs w:val="18"/>
        </w:rPr>
        <w:t xml:space="preserve">§6.4.f  </w:t>
      </w:r>
      <w:r>
        <w:rPr>
          <w:rFonts w:ascii="Garamond" w:cs="Garamond" w:eastAsia="Garamond" w:hAnsi="Garamond"/>
          <w:b/>
          <w:bCs/>
          <w:color w:val="1B2A4A"/>
          <w:sz w:val="22"/>
          <w:szCs w:val="22"/>
        </w:rPr>
        <w:t xml:space="preserve">Security and Criminal Protection Cases</w:t>
      </w:r>
    </w:p>
    <w:p>
      <w:pPr>
        <w:spacing w:after="120" w:before="0"/>
        <w:ind w:left="863"/>
        <w:jc w:val="both"/>
      </w:pPr>
      <w:r>
        <w:rPr>
          <w:rFonts w:ascii="Garamond" w:cs="Garamond" w:eastAsia="Garamond" w:hAnsi="Garamond"/>
          <w:color w:val="2a2520"/>
          <w:sz w:val="22"/>
          <w:szCs w:val="22"/>
        </w:rPr>
        <w:t xml:space="preserve">Where the Asylum Court grants §1.28 protection to a person who poses a documented security threat, removal remains constitutionally barred. Indefinite unreviewed detention is not a constitutionally available outcome. Where removal is barred under §1.28 and a documented security threat is established, the Republic may detain the individual subject to the following constitutional floor: mandatory judicial review within 90 days of initial detention; mandatory judicial review every 180 days thereafter; statutory minimum conditions of humane treatment; and no detention beyond 5 years without annual SC review. The Legislature defines detention conditions by statute subject to this floor.</w:t>
      </w:r>
    </w:p>
    <w:p>
      <w:pPr>
        <w:spacing w:after="60" w:before="200"/>
        <w:ind w:left="863"/>
      </w:pPr>
      <w:r>
        <w:rPr>
          <w:rFonts w:ascii="Courier New" w:cs="Courier New" w:eastAsia="Courier New" w:hAnsi="Courier New"/>
          <w:b/>
          <w:bCs/>
          <w:color w:val="1B2A4A"/>
          <w:sz w:val="18"/>
          <w:szCs w:val="18"/>
        </w:rPr>
        <w:t xml:space="preserve">§6.4.g  </w:t>
      </w:r>
      <w:r>
        <w:rPr>
          <w:rFonts w:ascii="Garamond" w:cs="Garamond" w:eastAsia="Garamond" w:hAnsi="Garamond"/>
          <w:b/>
          <w:bCs/>
          <w:color w:val="1B2A4A"/>
          <w:sz w:val="22"/>
          <w:szCs w:val="22"/>
        </w:rPr>
        <w:t xml:space="preserve">Territory Accessibility</w:t>
      </w:r>
    </w:p>
    <w:p>
      <w:pPr>
        <w:spacing w:after="120" w:before="0"/>
        <w:ind w:left="863"/>
        <w:jc w:val="both"/>
      </w:pPr>
      <w:r>
        <w:rPr>
          <w:rFonts w:ascii="Garamond" w:cs="Garamond" w:eastAsia="Garamond" w:hAnsi="Garamond"/>
          <w:color w:val="2a2520"/>
          <w:sz w:val="22"/>
          <w:szCs w:val="22"/>
        </w:rPr>
        <w:t xml:space="preserve">The asylum proceedings statute must ensure asylum is accessible to persons in Territories and geographically remote areas — not just major population centers. The right to seek asylum applies regardless of where in the Republic a person arrives.</w:t>
      </w:r>
    </w:p>
    <w:p>
      <w:pPr>
        <w:spacing w:after="60" w:before="200"/>
        <w:ind w:left="863"/>
      </w:pPr>
      <w:r>
        <w:rPr>
          <w:rFonts w:ascii="Courier New" w:cs="Courier New" w:eastAsia="Courier New" w:hAnsi="Courier New"/>
          <w:b/>
          <w:bCs/>
          <w:color w:val="1B2A4A"/>
          <w:sz w:val="18"/>
          <w:szCs w:val="18"/>
        </w:rPr>
        <w:t xml:space="preserve">§6.4.h  </w:t>
      </w:r>
      <w:r>
        <w:rPr>
          <w:rFonts w:ascii="Garamond" w:cs="Garamond" w:eastAsia="Garamond" w:hAnsi="Garamond"/>
          <w:b/>
          <w:bCs/>
          <w:color w:val="1B2A4A"/>
          <w:sz w:val="22"/>
          <w:szCs w:val="22"/>
        </w:rPr>
        <w:t xml:space="preserve">Unaccompanied Minors</w:t>
      </w:r>
    </w:p>
    <w:p>
      <w:pPr>
        <w:spacing w:after="120" w:before="0"/>
        <w:ind w:left="863"/>
        <w:jc w:val="both"/>
      </w:pPr>
      <w:r>
        <w:rPr>
          <w:rFonts w:ascii="Garamond" w:cs="Garamond" w:eastAsia="Garamond" w:hAnsi="Garamond"/>
          <w:color w:val="2a2520"/>
          <w:sz w:val="22"/>
          <w:szCs w:val="22"/>
        </w:rPr>
        <w:t xml:space="preserve">An unaccompanied minor arriving in the Republic or presenting to Republic authorities is an Inhabitant from the moment of contact and holds full §1.28 protection. A federal legal guardian must be appointed within 24 hours. No unaccompanied minor may be detained in a facility not specifically designated and resourced for children.</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VII — Presidential Elections</w:t>
      </w:r>
    </w:p>
    <w:p>
      <w:pPr>
        <w:spacing w:after="120"/>
      </w:pPr>
    </w:p>
    <w:p>
      <w:pPr>
        <w:spacing w:after="60" w:before="200"/>
        <w:ind w:left="431"/>
      </w:pPr>
      <w:r>
        <w:rPr>
          <w:rFonts w:ascii="Courier New" w:cs="Courier New" w:eastAsia="Courier New" w:hAnsi="Courier New"/>
          <w:b/>
          <w:bCs/>
          <w:color w:val="1B2A4A"/>
          <w:sz w:val="18"/>
          <w:szCs w:val="18"/>
        </w:rPr>
        <w:t xml:space="preserve">§7.1  </w:t>
      </w:r>
      <w:r>
        <w:rPr>
          <w:rFonts w:ascii="Garamond" w:cs="Garamond" w:eastAsia="Garamond" w:hAnsi="Garamond"/>
          <w:b/>
          <w:bCs/>
          <w:color w:val="1B2A4A"/>
          <w:sz w:val="22"/>
          <w:szCs w:val="22"/>
        </w:rPr>
        <w:t xml:space="preserve">Standard Elections — Ranked Choice</w:t>
      </w:r>
    </w:p>
    <w:p>
      <w:pPr>
        <w:spacing w:after="120" w:before="0"/>
        <w:ind w:left="431"/>
        <w:jc w:val="both"/>
      </w:pPr>
      <w:r>
        <w:rPr>
          <w:rFonts w:ascii="Garamond" w:cs="Garamond" w:eastAsia="Garamond" w:hAnsi="Garamond"/>
          <w:color w:val="2a2520"/>
          <w:sz w:val="22"/>
          <w:szCs w:val="22"/>
        </w:rPr>
        <w:t xml:space="preserve">All federal elections on National Election Day, every two years. All elections for House, Senate, SC, and Electoral Commission seats use Ranked Choice Voting — majority required, not plurality. No federal elections outside National Election Day except special elections for vacancies.</w:t>
      </w:r>
    </w:p>
    <w:p>
      <w:pPr>
        <w:spacing w:after="60" w:before="200"/>
        <w:ind w:left="431"/>
      </w:pPr>
      <w:r>
        <w:rPr>
          <w:rFonts w:ascii="Courier New" w:cs="Courier New" w:eastAsia="Courier New" w:hAnsi="Courier New"/>
          <w:b/>
          <w:bCs/>
          <w:color w:val="1B2A4A"/>
          <w:sz w:val="18"/>
          <w:szCs w:val="18"/>
        </w:rPr>
        <w:t xml:space="preserve">§7.2  </w:t>
      </w:r>
      <w:r>
        <w:rPr>
          <w:rFonts w:ascii="Garamond" w:cs="Garamond" w:eastAsia="Garamond" w:hAnsi="Garamond"/>
          <w:b/>
          <w:bCs/>
          <w:color w:val="1B2A4A"/>
          <w:sz w:val="22"/>
          <w:szCs w:val="22"/>
        </w:rPr>
        <w:t xml:space="preserve">Presidential Election System</w:t>
      </w:r>
    </w:p>
    <w:p>
      <w:pPr>
        <w:spacing w:after="120" w:before="0"/>
        <w:ind w:left="431"/>
        <w:jc w:val="both"/>
      </w:pPr>
      <w:r>
        <w:rPr>
          <w:rFonts w:ascii="Garamond" w:cs="Garamond" w:eastAsia="Garamond" w:hAnsi="Garamond"/>
          <w:color w:val="2a2520"/>
          <w:sz w:val="22"/>
          <w:szCs w:val="22"/>
        </w:rPr>
        <w:t xml:space="preserve">The President is elected through a two-component national system that combines a ranked-choice popular vote with regional representation. No candidate may win the presidency on the basis of either component alone.</w:t>
      </w:r>
    </w:p>
    <w:p>
      <w:pPr>
        <w:spacing w:after="60" w:before="200"/>
        <w:ind w:left="863"/>
      </w:pPr>
      <w:r>
        <w:rPr>
          <w:rFonts w:ascii="Courier New" w:cs="Courier New" w:eastAsia="Courier New" w:hAnsi="Courier New"/>
          <w:b/>
          <w:bCs/>
          <w:color w:val="1B2A4A"/>
          <w:sz w:val="18"/>
          <w:szCs w:val="18"/>
        </w:rPr>
        <w:t xml:space="preserve">§7.2.a  </w:t>
      </w:r>
      <w:r>
        <w:rPr>
          <w:rFonts w:ascii="Garamond" w:cs="Garamond" w:eastAsia="Garamond" w:hAnsi="Garamond"/>
          <w:b/>
          <w:bCs/>
          <w:color w:val="1B2A4A"/>
          <w:sz w:val="22"/>
          <w:szCs w:val="22"/>
        </w:rPr>
        <w:t xml:space="preserve">National Ranked-Choice Vote</w:t>
      </w:r>
    </w:p>
    <w:p>
      <w:pPr>
        <w:spacing w:after="120" w:before="0"/>
        <w:ind w:left="863"/>
        <w:jc w:val="both"/>
      </w:pPr>
      <w:r>
        <w:rPr>
          <w:rFonts w:ascii="Garamond" w:cs="Garamond" w:eastAsia="Garamond" w:hAnsi="Garamond"/>
          <w:color w:val="2a2520"/>
          <w:sz w:val="22"/>
          <w:szCs w:val="22"/>
        </w:rPr>
        <w:t xml:space="preserve">Presidential elections use Ranked Choice Voting conducted nationally. Votes transfer until one candidate holds a majority of active ballots nationwide. A candidate must achieve both a national majority and broad geographic distribution under the combined score mechanism in §7.2.b. The Electoral Commission administers the national election and certifies results under §7.2.e.</w:t>
      </w:r>
    </w:p>
    <w:p>
      <w:pPr>
        <w:spacing w:after="60" w:before="200"/>
        <w:ind w:left="863"/>
      </w:pPr>
      <w:r>
        <w:rPr>
          <w:rFonts w:ascii="Courier New" w:cs="Courier New" w:eastAsia="Courier New" w:hAnsi="Courier New"/>
          <w:b/>
          <w:bCs/>
          <w:color w:val="1B2A4A"/>
          <w:sz w:val="18"/>
          <w:szCs w:val="18"/>
        </w:rPr>
        <w:t xml:space="preserve">§7.2.b  </w:t>
      </w:r>
      <w:r>
        <w:rPr>
          <w:rFonts w:ascii="Garamond" w:cs="Garamond" w:eastAsia="Garamond" w:hAnsi="Garamond"/>
          <w:b/>
          <w:bCs/>
          <w:color w:val="1B2A4A"/>
          <w:sz w:val="22"/>
          <w:szCs w:val="22"/>
        </w:rPr>
        <w:t xml:space="preserve">The Combined Score</w:t>
      </w:r>
    </w:p>
    <w:p>
      <w:pPr>
        <w:spacing w:after="120" w:before="0"/>
        <w:ind w:left="863"/>
        <w:jc w:val="both"/>
      </w:pPr>
      <w:r>
        <w:rPr>
          <w:rFonts w:ascii="Garamond" w:cs="Garamond" w:eastAsia="Garamond" w:hAnsi="Garamond"/>
          <w:color w:val="2a2520"/>
          <w:sz w:val="22"/>
          <w:szCs w:val="22"/>
        </w:rPr>
        <w:t xml:space="preserve">Where no candidate achieves a national RCV majority, the combined score determines the winner. The combined score weights national first-preference totals at 65% and regional performance across the presidential election regions at 35%. The regional component requires a winning candidate to demonstrate support distributed across the Republic's geographic breadth, not only its most densely populated areas. The formula is published by statute and administered by the Electoral Commission.</w:t>
      </w:r>
    </w:p>
    <w:p>
      <w:pPr>
        <w:spacing w:after="60" w:before="200"/>
        <w:ind w:left="863"/>
      </w:pPr>
      <w:r>
        <w:rPr>
          <w:rFonts w:ascii="Courier New" w:cs="Courier New" w:eastAsia="Courier New" w:hAnsi="Courier New"/>
          <w:b/>
          <w:bCs/>
          <w:color w:val="1B2A4A"/>
          <w:sz w:val="18"/>
          <w:szCs w:val="18"/>
        </w:rPr>
        <w:t xml:space="preserve">§7.2.c  </w:t>
      </w:r>
      <w:r>
        <w:rPr>
          <w:rFonts w:ascii="Garamond" w:cs="Garamond" w:eastAsia="Garamond" w:hAnsi="Garamond"/>
          <w:b/>
          <w:bCs/>
          <w:color w:val="1B2A4A"/>
          <w:sz w:val="22"/>
          <w:szCs w:val="22"/>
        </w:rPr>
        <w:t xml:space="preserve">Presidential Election Regions</w:t>
      </w:r>
    </w:p>
    <w:p>
      <w:pPr>
        <w:spacing w:after="120" w:before="0"/>
        <w:ind w:left="863"/>
        <w:jc w:val="both"/>
      </w:pPr>
      <w:r>
        <w:rPr>
          <w:rFonts w:ascii="Garamond" w:cs="Garamond" w:eastAsia="Garamond" w:hAnsi="Garamond"/>
          <w:color w:val="2a2520"/>
          <w:sz w:val="22"/>
          <w:szCs w:val="22"/>
        </w:rPr>
        <w:t xml:space="preserve">Presidential election regions provide the geographic breadth component of the combined score, ensuring that a winning candidate builds support across the Republic's geographic spread rather than only its population centres. The number of regions is defined by the Legislature by statute. Regions are drawn by the Regional Boundary Commission — a body constituted by lottery from State-maintained candidate pools — under the same criteria hierarchy that governs House redistricting. The Electoral Commission administers the election within the regions; it plays no role in drawing them.</w:t>
      </w:r>
    </w:p>
    <w:p>
      <w:pPr>
        <w:spacing w:after="60" w:before="200"/>
        <w:ind w:left="1296"/>
      </w:pPr>
      <w:r>
        <w:rPr>
          <w:rFonts w:ascii="Courier New" w:cs="Courier New" w:eastAsia="Courier New" w:hAnsi="Courier New"/>
          <w:b/>
          <w:bCs/>
          <w:color w:val="1B2A4A"/>
          <w:sz w:val="18"/>
          <w:szCs w:val="18"/>
        </w:rPr>
        <w:t xml:space="preserve">§7.2.c.i  </w:t>
      </w:r>
      <w:r>
        <w:rPr>
          <w:rFonts w:ascii="Garamond" w:cs="Garamond" w:eastAsia="Garamond" w:hAnsi="Garamond"/>
          <w:b/>
          <w:bCs/>
          <w:color w:val="1B2A4A"/>
          <w:sz w:val="22"/>
          <w:szCs w:val="22"/>
        </w:rPr>
        <w:t xml:space="preserve">State Candidate Pools</w:t>
      </w:r>
    </w:p>
    <w:p>
      <w:pPr>
        <w:spacing w:after="120" w:before="0"/>
        <w:ind w:left="1296"/>
        <w:jc w:val="both"/>
      </w:pPr>
      <w:r>
        <w:rPr>
          <w:rFonts w:ascii="Garamond" w:cs="Garamond" w:eastAsia="Garamond" w:hAnsi="Garamond"/>
          <w:color w:val="2a2520"/>
          <w:sz w:val="22"/>
          <w:szCs w:val="22"/>
        </w:rPr>
        <w:t xml:space="preserve">Each State maintains a standing Regional Boundary Pool for each redistricting cycle. Any person may be placed into a State's Pool through the State's own constitutional or statutory process, provided they meet three eligibility requirements at the time of entry: at least five continuous years of Republic citizenship; at least five continuous years of residency in the State whose Pool they are entering; and no current elected office. The LI certifies eligibility before entry — ministerially, not selectively. States determine through their own process how candidates are nominated from among those eligible. An entrant who takes elected office after entering the Pool is ineligible to be drawn for so long as they hold that office; if drawn while in elected office, the JI draws a replacement from the same State's eligible Pool. The LI maintains each State's Pool as a public record on the NRS. No State infrastructure is required — States need only submit names to the LI for certification and pay their drawn representative during commission service.</w:t>
      </w:r>
    </w:p>
    <w:p>
      <w:pPr>
        <w:spacing w:after="60" w:before="200"/>
        <w:ind w:left="1296"/>
      </w:pPr>
      <w:r>
        <w:rPr>
          <w:rFonts w:ascii="Courier New" w:cs="Courier New" w:eastAsia="Courier New" w:hAnsi="Courier New"/>
          <w:b/>
          <w:bCs/>
          <w:color w:val="1B2A4A"/>
          <w:sz w:val="18"/>
          <w:szCs w:val="18"/>
        </w:rPr>
        <w:t xml:space="preserve">§7.2.c.ii  </w:t>
      </w:r>
      <w:r>
        <w:rPr>
          <w:rFonts w:ascii="Garamond" w:cs="Garamond" w:eastAsia="Garamond" w:hAnsi="Garamond"/>
          <w:b/>
          <w:bCs/>
          <w:color w:val="1B2A4A"/>
          <w:sz w:val="22"/>
          <w:szCs w:val="22"/>
        </w:rPr>
        <w:t xml:space="preserve">Annual Addition Cap</w:t>
      </w:r>
    </w:p>
    <w:p>
      <w:pPr>
        <w:spacing w:after="120" w:before="0"/>
        <w:ind w:left="1296"/>
        <w:jc w:val="both"/>
      </w:pPr>
      <w:r>
        <w:rPr>
          <w:rFonts w:ascii="Garamond" w:cs="Garamond" w:eastAsia="Garamond" w:hAnsi="Garamond"/>
          <w:color w:val="2a2520"/>
          <w:sz w:val="22"/>
          <w:szCs w:val="22"/>
        </w:rPr>
        <w:t xml:space="preserve">Each State may add no more than five entrants to its Pool per calendar year during the pool-building period. Unused addition slots do not carry forward; a year with fewer than five additions simply has fewer, and unused capacity is permanently lost. If a pool member dies, becomes permanently incapacitated, or declines to remain in the Pool, their position is extinguished and is not replaced. No additional entry may compensate for attrition. The Pool at any draw consists exactly of those entrants added in prior years who remain eligible.</w:t>
      </w:r>
    </w:p>
    <w:p>
      <w:pPr>
        <w:spacing w:after="60" w:before="200"/>
        <w:ind w:left="1296"/>
      </w:pPr>
      <w:r>
        <w:rPr>
          <w:rFonts w:ascii="Courier New" w:cs="Courier New" w:eastAsia="Courier New" w:hAnsi="Courier New"/>
          <w:b/>
          <w:bCs/>
          <w:color w:val="1B2A4A"/>
          <w:sz w:val="18"/>
          <w:szCs w:val="18"/>
        </w:rPr>
        <w:t xml:space="preserve">§7.2.c.iii  </w:t>
      </w:r>
      <w:r>
        <w:rPr>
          <w:rFonts w:ascii="Garamond" w:cs="Garamond" w:eastAsia="Garamond" w:hAnsi="Garamond"/>
          <w:b/>
          <w:bCs/>
          <w:color w:val="1B2A4A"/>
          <w:sz w:val="22"/>
          <w:szCs w:val="22"/>
        </w:rPr>
        <w:t xml:space="preserve">Pool Health Monitoring</w:t>
      </w:r>
    </w:p>
    <w:p>
      <w:pPr>
        <w:spacing w:after="120" w:before="0"/>
        <w:ind w:left="1296"/>
        <w:jc w:val="both"/>
      </w:pPr>
      <w:r>
        <w:rPr>
          <w:rFonts w:ascii="Garamond" w:cs="Garamond" w:eastAsia="Garamond" w:hAnsi="Garamond"/>
          <w:color w:val="2a2520"/>
          <w:sz w:val="22"/>
          <w:szCs w:val="22"/>
        </w:rPr>
        <w:t xml:space="preserve">The LI monitors each State's Pool and publishes an annual Pool Status Report to the NRS. If any State's Pool falls below five eligible entrants, the LI publishes a Pool Health Notice — advisory, not compulsory. If a State's Pool is entirely empty at the time of the draw, that State's commission seat is vacant for that cycle. A State with a non-empty but small Pool proceeds to the draw from whatever eligible entrants it has.</w:t>
      </w:r>
    </w:p>
    <w:p>
      <w:pPr>
        <w:spacing w:after="60" w:before="200"/>
        <w:ind w:left="1296"/>
      </w:pPr>
      <w:r>
        <w:rPr>
          <w:rFonts w:ascii="Courier New" w:cs="Courier New" w:eastAsia="Courier New" w:hAnsi="Courier New"/>
          <w:b/>
          <w:bCs/>
          <w:color w:val="1B2A4A"/>
          <w:sz w:val="18"/>
          <w:szCs w:val="18"/>
        </w:rPr>
        <w:t xml:space="preserve">§7.2.c.iv  </w:t>
      </w:r>
      <w:r>
        <w:rPr>
          <w:rFonts w:ascii="Garamond" w:cs="Garamond" w:eastAsia="Garamond" w:hAnsi="Garamond"/>
          <w:b/>
          <w:bCs/>
          <w:color w:val="1B2A4A"/>
          <w:sz w:val="22"/>
          <w:szCs w:val="22"/>
        </w:rPr>
        <w:t xml:space="preserve">Commission Constitution</w:t>
      </w:r>
    </w:p>
    <w:p>
      <w:pPr>
        <w:spacing w:after="120" w:before="0"/>
        <w:ind w:left="1296"/>
        <w:jc w:val="both"/>
      </w:pPr>
      <w:r>
        <w:rPr>
          <w:rFonts w:ascii="Garamond" w:cs="Garamond" w:eastAsia="Garamond" w:hAnsi="Garamond"/>
          <w:color w:val="2a2520"/>
          <w:sz w:val="22"/>
          <w:szCs w:val="22"/>
        </w:rPr>
        <w:t xml:space="preserve">Following each decennial census, the JI constitutes the Regional Boundary Commission by public lottery, drawing one name by lot from each State's eligible Pool. The draw is held in a single public session, witnessed by a representative of each Inspectorate and three citizens selected by jury protocols, and certified jointly by all three Inspectorates in session. The session may be conducted remotely under parameters set by statute; remote participation does not affect the validity of the draw or the certification. The full draw is recorded to the NRS in real time. The commission is one member per State. No substitution or political appointment may replace a drawn member; replacements due to death, incapacitating illness, or disqualifying conflict of interest are drawn from the same State's eligible Pool by the same lottery procedure.</w:t>
      </w:r>
    </w:p>
    <w:p>
      <w:pPr>
        <w:spacing w:after="60" w:before="200"/>
        <w:ind w:left="1296"/>
      </w:pPr>
      <w:r>
        <w:rPr>
          <w:rFonts w:ascii="Courier New" w:cs="Courier New" w:eastAsia="Courier New" w:hAnsi="Courier New"/>
          <w:b/>
          <w:bCs/>
          <w:color w:val="1B2A4A"/>
          <w:sz w:val="18"/>
          <w:szCs w:val="18"/>
        </w:rPr>
        <w:t xml:space="preserve">§7.2.c.v  </w:t>
      </w:r>
      <w:r>
        <w:rPr>
          <w:rFonts w:ascii="Garamond" w:cs="Garamond" w:eastAsia="Garamond" w:hAnsi="Garamond"/>
          <w:b/>
          <w:bCs/>
          <w:color w:val="1B2A4A"/>
          <w:sz w:val="22"/>
          <w:szCs w:val="22"/>
        </w:rPr>
        <w:t xml:space="preserve">Commission Compensation</w:t>
      </w:r>
    </w:p>
    <w:p>
      <w:pPr>
        <w:spacing w:after="120" w:before="0"/>
        <w:ind w:left="1296"/>
        <w:jc w:val="both"/>
      </w:pPr>
      <w:r>
        <w:rPr>
          <w:rFonts w:ascii="Garamond" w:cs="Garamond" w:eastAsia="Garamond" w:hAnsi="Garamond"/>
          <w:color w:val="2a2520"/>
          <w:sz w:val="22"/>
          <w:szCs w:val="22"/>
        </w:rPr>
        <w:t xml:space="preserve">Commission members are compensated by their State for days in active session only. Service on the commission is temporary and session-based; no retainer, salary, or ongoing compensation is provided outside of active session days. The federal government reimburses each State for session compensation paid to its commission member. Reimbursement rates and procedures are established by statute. The identity of each drawn commission member and their days in session are published to the NRS.</w:t>
      </w:r>
    </w:p>
    <w:p>
      <w:pPr>
        <w:spacing w:after="60" w:before="200"/>
        <w:ind w:left="1296"/>
      </w:pPr>
      <w:r>
        <w:rPr>
          <w:rFonts w:ascii="Courier New" w:cs="Courier New" w:eastAsia="Courier New" w:hAnsi="Courier New"/>
          <w:b/>
          <w:bCs/>
          <w:color w:val="1B2A4A"/>
          <w:sz w:val="18"/>
          <w:szCs w:val="18"/>
        </w:rPr>
        <w:t xml:space="preserve">§7.2.c.vi  </w:t>
      </w:r>
      <w:r>
        <w:rPr>
          <w:rFonts w:ascii="Garamond" w:cs="Garamond" w:eastAsia="Garamond" w:hAnsi="Garamond"/>
          <w:b/>
          <w:bCs/>
          <w:color w:val="1B2A4A"/>
          <w:sz w:val="22"/>
          <w:szCs w:val="22"/>
        </w:rPr>
        <w:t xml:space="preserve">Drawing Criteria</w:t>
      </w:r>
    </w:p>
    <w:p>
      <w:pPr>
        <w:spacing w:after="120" w:before="0"/>
        <w:ind w:left="1296"/>
        <w:jc w:val="both"/>
      </w:pPr>
      <w:r>
        <w:rPr>
          <w:rFonts w:ascii="Garamond" w:cs="Garamond" w:eastAsia="Garamond" w:hAnsi="Garamond"/>
          <w:color w:val="2a2520"/>
          <w:sz w:val="22"/>
          <w:szCs w:val="22"/>
        </w:rPr>
        <w:t xml:space="preserve">Regional boundaries must meet the following criteria in order of precedence: (1) Population balance — broadly equal citizen population within a Legislature-defined tolerance. (2) Geographic contiguity — each region must be a single contiguous territory. (3) Non-discrimination — no region may dilute the voting power of any group protected under §1.9. (4) Reasonable compactness — no geometrically incoherent shapes. (5) State integrity — follow State lines where practicable; minimize inter-State subdivisions where subdivision is required. The commission may not consider partisan affiliation, voting history, or political geography. All deliberations, working maps, and proposals must be published to the NRS throughout the process.</w:t>
      </w:r>
    </w:p>
    <w:p>
      <w:pPr>
        <w:spacing w:after="60" w:before="200"/>
        <w:ind w:left="1296"/>
      </w:pPr>
      <w:r>
        <w:rPr>
          <w:rFonts w:ascii="Courier New" w:cs="Courier New" w:eastAsia="Courier New" w:hAnsi="Courier New"/>
          <w:b/>
          <w:bCs/>
          <w:color w:val="1B2A4A"/>
          <w:sz w:val="18"/>
          <w:szCs w:val="18"/>
        </w:rPr>
        <w:t xml:space="preserve">§7.2.c.vii  </w:t>
      </w:r>
      <w:r>
        <w:rPr>
          <w:rFonts w:ascii="Garamond" w:cs="Garamond" w:eastAsia="Garamond" w:hAnsi="Garamond"/>
          <w:b/>
          <w:bCs/>
          <w:color w:val="1B2A4A"/>
          <w:sz w:val="22"/>
          <w:szCs w:val="22"/>
        </w:rPr>
        <w:t xml:space="preserve">Drawing Process and Timeline</w:t>
      </w:r>
    </w:p>
    <w:p>
      <w:pPr>
        <w:spacing w:after="120" w:before="0"/>
        <w:ind w:left="1296"/>
        <w:jc w:val="both"/>
      </w:pPr>
      <w:r>
        <w:rPr>
          <w:rFonts w:ascii="Garamond" w:cs="Garamond" w:eastAsia="Garamond" w:hAnsi="Garamond"/>
          <w:color w:val="2a2520"/>
          <w:sz w:val="22"/>
          <w:szCs w:val="22"/>
        </w:rPr>
        <w:t xml:space="preserve">The commission must submit a proposed regional map to the LI within 180 days of constitution. The commission operates by simple majority vote. A 30-day public comment period opens when the draft map is published to the NRS; any citizen or State government may submit commentary, and the commission must publish a written response before submitting the final map. The Legislature sets by statute the parameters under which the commission conducts its working sessions, including: authorization of and requirements for remote participation; quorum and voting requirements; secure platform and data access specifications; and any other operational parameters. The Legislature may not set parameters that prevent effective deliberation or impose undue burden on members. The commission remains constituted until a final map is certified through the review and challenge processes in §7.2.c.viii and §7.2.c.ix, then dissolves.</w:t>
      </w:r>
    </w:p>
    <w:p>
      <w:pPr>
        <w:spacing w:after="60" w:before="200"/>
        <w:ind w:left="1296"/>
      </w:pPr>
      <w:r>
        <w:rPr>
          <w:rFonts w:ascii="Courier New" w:cs="Courier New" w:eastAsia="Courier New" w:hAnsi="Courier New"/>
          <w:b/>
          <w:bCs/>
          <w:color w:val="1B2A4A"/>
          <w:sz w:val="18"/>
          <w:szCs w:val="18"/>
        </w:rPr>
        <w:t xml:space="preserve">§7.2.c.viii  </w:t>
      </w:r>
      <w:r>
        <w:rPr>
          <w:rFonts w:ascii="Garamond" w:cs="Garamond" w:eastAsia="Garamond" w:hAnsi="Garamond"/>
          <w:b/>
          <w:bCs/>
          <w:color w:val="1B2A4A"/>
          <w:sz w:val="22"/>
          <w:szCs w:val="22"/>
        </w:rPr>
        <w:t xml:space="preserve">LI Compliance Review</w:t>
      </w:r>
    </w:p>
    <w:p>
      <w:pPr>
        <w:spacing w:after="120" w:before="0"/>
        <w:ind w:left="1296"/>
        <w:jc w:val="both"/>
      </w:pPr>
      <w:r>
        <w:rPr>
          <w:rFonts w:ascii="Garamond" w:cs="Garamond" w:eastAsia="Garamond" w:hAnsi="Garamond"/>
          <w:color w:val="2a2520"/>
          <w:sz w:val="22"/>
          <w:szCs w:val="22"/>
        </w:rPr>
        <w:t xml:space="preserve">The LI reviews the submitted map within 60 days for compliance with the §7.2.c.vi criteria. If compliant, the LI certifies it and publishes the certification to the NRS. If the map fails, the LI publishes specific findings and returns it to the commission, which has 30 days to submit a corrected map. If the corrected map still fails, the LI draws a compliant interim map; the interim map governs the next presidential election while the commission completes a further correction cycle. The LI may not draw a permanent map.</w:t>
      </w:r>
    </w:p>
    <w:p>
      <w:pPr>
        <w:spacing w:after="60" w:before="200"/>
        <w:ind w:left="1296"/>
      </w:pPr>
      <w:r>
        <w:rPr>
          <w:rFonts w:ascii="Courier New" w:cs="Courier New" w:eastAsia="Courier New" w:hAnsi="Courier New"/>
          <w:b/>
          <w:bCs/>
          <w:color w:val="1B2A4A"/>
          <w:sz w:val="18"/>
          <w:szCs w:val="18"/>
        </w:rPr>
        <w:t xml:space="preserve">§7.2.c.ix  </w:t>
      </w:r>
      <w:r>
        <w:rPr>
          <w:rFonts w:ascii="Garamond" w:cs="Garamond" w:eastAsia="Garamond" w:hAnsi="Garamond"/>
          <w:b/>
          <w:bCs/>
          <w:color w:val="1B2A4A"/>
          <w:sz w:val="22"/>
          <w:szCs w:val="22"/>
        </w:rPr>
        <w:t xml:space="preserve">Judicial Review</w:t>
      </w:r>
    </w:p>
    <w:p>
      <w:pPr>
        <w:spacing w:after="120" w:before="0"/>
        <w:ind w:left="1296"/>
        <w:jc w:val="both"/>
      </w:pPr>
      <w:r>
        <w:rPr>
          <w:rFonts w:ascii="Garamond" w:cs="Garamond" w:eastAsia="Garamond" w:hAnsi="Garamond"/>
          <w:color w:val="2a2520"/>
          <w:sz w:val="22"/>
          <w:szCs w:val="22"/>
        </w:rPr>
        <w:t xml:space="preserve">Any citizen, State government, or parliamentary minority of one-third may challenge a certified regional map by petitioning the Supreme Court within 60 days of LI certification. The Court reviews criteria application — not map preference. A successful challenge returns the map to the commission with the Court's findings attached.</w:t>
      </w:r>
    </w:p>
    <w:p>
      <w:pPr>
        <w:spacing w:after="60" w:before="200"/>
        <w:ind w:left="1296"/>
      </w:pPr>
      <w:r>
        <w:rPr>
          <w:rFonts w:ascii="Courier New" w:cs="Courier New" w:eastAsia="Courier New" w:hAnsi="Courier New"/>
          <w:b/>
          <w:bCs/>
          <w:color w:val="1B2A4A"/>
          <w:sz w:val="18"/>
          <w:szCs w:val="18"/>
        </w:rPr>
        <w:t xml:space="preserve">§7.2.c.x  </w:t>
      </w:r>
      <w:r>
        <w:rPr>
          <w:rFonts w:ascii="Garamond" w:cs="Garamond" w:eastAsia="Garamond" w:hAnsi="Garamond"/>
          <w:b/>
          <w:bCs/>
          <w:color w:val="1B2A4A"/>
          <w:sz w:val="22"/>
          <w:szCs w:val="22"/>
        </w:rPr>
        <w:t xml:space="preserve">Cycle and Timing</w:t>
      </w:r>
    </w:p>
    <w:p>
      <w:pPr>
        <w:spacing w:after="120" w:before="0"/>
        <w:ind w:left="1296"/>
        <w:jc w:val="both"/>
      </w:pPr>
      <w:r>
        <w:rPr>
          <w:rFonts w:ascii="Garamond" w:cs="Garamond" w:eastAsia="Garamond" w:hAnsi="Garamond"/>
          <w:color w:val="2a2520"/>
          <w:sz w:val="22"/>
          <w:szCs w:val="22"/>
        </w:rPr>
        <w:t xml:space="preserve">Regional boundaries are redrawn following each decennial census, on the same cycle as House redistricting; the §8.1.a census triggers both simultaneously. Regions in effect at the time of any presidential election govern that election. No mid-cycle redraw may occur except pursuant to §7.2.c.ix or §7.2.c.viii. The Legislature establishes by statute the precise timing of the pool-building window — when each State's Pool opens following completion of the prior redistricting cycle, and when it closes before the draw. Once established, the statutory timing may not be altered for a minimum of two complete redistricting cycles, preventing legislative manipulation of the pool-building window to affect a forthcoming draw.</w:t>
      </w:r>
    </w:p>
    <w:p>
      <w:pPr>
        <w:spacing w:after="60" w:before="200"/>
        <w:ind w:left="863"/>
      </w:pPr>
      <w:r>
        <w:rPr>
          <w:rFonts w:ascii="Courier New" w:cs="Courier New" w:eastAsia="Courier New" w:hAnsi="Courier New"/>
          <w:b/>
          <w:bCs/>
          <w:color w:val="1B2A4A"/>
          <w:sz w:val="18"/>
          <w:szCs w:val="18"/>
        </w:rPr>
        <w:t xml:space="preserve">§7.2.d  </w:t>
      </w:r>
      <w:r>
        <w:rPr>
          <w:rFonts w:ascii="Garamond" w:cs="Garamond" w:eastAsia="Garamond" w:hAnsi="Garamond"/>
          <w:b/>
          <w:bCs/>
          <w:color w:val="1B2A4A"/>
          <w:sz w:val="22"/>
          <w:szCs w:val="22"/>
        </w:rPr>
        <w:t xml:space="preserve">Territory Presidential Voting</w:t>
      </w:r>
    </w:p>
    <w:p>
      <w:pPr>
        <w:spacing w:after="120" w:before="0"/>
        <w:ind w:left="863"/>
        <w:jc w:val="both"/>
      </w:pPr>
      <w:r>
        <w:rPr>
          <w:rFonts w:ascii="Garamond" w:cs="Garamond" w:eastAsia="Garamond" w:hAnsi="Garamond"/>
          <w:color w:val="2a2520"/>
          <w:sz w:val="22"/>
          <w:szCs w:val="22"/>
        </w:rPr>
        <w:t xml:space="preserve">Territory citizens hold the full §1.20 right to vote in presidential elections. Their votes count in the national first-preference total — the 65% component of the combined score — but Territories are not assigned to presidential election regions and do not contribute to the 35% regional breadth component. The regional breadth measure reflects the geographic distribution of the Republic's State structure. Territory citizens participate fully in the national democratic mandate; they do not give Territories a footprint in the regional component that States earn through the Statehood process.</w:t>
      </w:r>
    </w:p>
    <w:p>
      <w:pPr>
        <w:spacing w:after="60" w:before="200"/>
        <w:ind w:left="863"/>
      </w:pPr>
      <w:r>
        <w:rPr>
          <w:rFonts w:ascii="Courier New" w:cs="Courier New" w:eastAsia="Courier New" w:hAnsi="Courier New"/>
          <w:b/>
          <w:bCs/>
          <w:color w:val="1B2A4A"/>
          <w:sz w:val="18"/>
          <w:szCs w:val="18"/>
        </w:rPr>
        <w:t xml:space="preserve">§7.2.e  </w:t>
      </w:r>
      <w:r>
        <w:rPr>
          <w:rFonts w:ascii="Garamond" w:cs="Garamond" w:eastAsia="Garamond" w:hAnsi="Garamond"/>
          <w:b/>
          <w:bCs/>
          <w:color w:val="1B2A4A"/>
          <w:sz w:val="22"/>
          <w:szCs w:val="22"/>
        </w:rPr>
        <w:t xml:space="preserve">Election Certification</w:t>
      </w:r>
    </w:p>
    <w:p>
      <w:pPr>
        <w:spacing w:after="120" w:before="0"/>
        <w:ind w:left="863"/>
        <w:jc w:val="both"/>
      </w:pPr>
      <w:r>
        <w:rPr>
          <w:rFonts w:ascii="Garamond" w:cs="Garamond" w:eastAsia="Garamond" w:hAnsi="Garamond"/>
          <w:color w:val="2a2520"/>
          <w:sz w:val="22"/>
          <w:szCs w:val="22"/>
        </w:rPr>
        <w:t xml:space="preserve">The Electoral Commission certifies the final presidential election result to the NRS within a period the Legislature defines by statute. Certification is final and may be challenged only before the Supreme Court within 14 days. No transfer of presidential authority may be delayed beyond the constitutionally fixed moment.</w:t>
      </w:r>
    </w:p>
    <w:p>
      <w:pPr>
        <w:spacing w:after="60" w:before="200"/>
        <w:ind w:left="863"/>
      </w:pPr>
      <w:r>
        <w:rPr>
          <w:rFonts w:ascii="Courier New" w:cs="Courier New" w:eastAsia="Courier New" w:hAnsi="Courier New"/>
          <w:b/>
          <w:bCs/>
          <w:color w:val="1B2A4A"/>
          <w:sz w:val="18"/>
          <w:szCs w:val="18"/>
        </w:rPr>
        <w:t xml:space="preserve">§7.2.f  </w:t>
      </w:r>
      <w:r>
        <w:rPr>
          <w:rFonts w:ascii="Garamond" w:cs="Garamond" w:eastAsia="Garamond" w:hAnsi="Garamond"/>
          <w:b/>
          <w:bCs/>
          <w:color w:val="1B2A4A"/>
          <w:sz w:val="22"/>
          <w:szCs w:val="22"/>
        </w:rPr>
        <w:t xml:space="preserve">Run-off</w:t>
      </w:r>
    </w:p>
    <w:p>
      <w:pPr>
        <w:spacing w:after="120" w:before="0"/>
        <w:ind w:left="863"/>
        <w:jc w:val="both"/>
      </w:pPr>
      <w:r>
        <w:rPr>
          <w:rFonts w:ascii="Garamond" w:cs="Garamond" w:eastAsia="Garamond" w:hAnsi="Garamond"/>
          <w:color w:val="2a2520"/>
          <w:sz w:val="22"/>
          <w:szCs w:val="22"/>
        </w:rPr>
        <w:t xml:space="preserve">If two candidates are within 0.5 percentage points of each other on the final combined score as calculated under §7.2.b, a head-to-head national RCV runoff is conducted between those two candidates. The runoff closes the edge-case gap where the combined score is mathematically indeterminate.</w:t>
      </w:r>
    </w:p>
    <w:p>
      <w:pPr>
        <w:spacing w:after="60" w:before="200"/>
        <w:ind w:left="431"/>
      </w:pPr>
      <w:r>
        <w:rPr>
          <w:rFonts w:ascii="Courier New" w:cs="Courier New" w:eastAsia="Courier New" w:hAnsi="Courier New"/>
          <w:b/>
          <w:bCs/>
          <w:color w:val="1B2A4A"/>
          <w:sz w:val="18"/>
          <w:szCs w:val="18"/>
        </w:rPr>
        <w:t xml:space="preserve">§7.3  </w:t>
      </w:r>
      <w:r>
        <w:rPr>
          <w:rFonts w:ascii="Garamond" w:cs="Garamond" w:eastAsia="Garamond" w:hAnsi="Garamond"/>
          <w:b/>
          <w:bCs/>
          <w:color w:val="1B2A4A"/>
          <w:sz w:val="22"/>
          <w:szCs w:val="22"/>
        </w:rPr>
        <w:t xml:space="preserve">Legislative Elections</w:t>
      </w:r>
    </w:p>
    <w:p>
      <w:pPr>
        <w:spacing w:after="120" w:before="0"/>
        <w:ind w:left="431"/>
        <w:jc w:val="both"/>
      </w:pPr>
      <w:r>
        <w:rPr>
          <w:rFonts w:ascii="Garamond" w:cs="Garamond" w:eastAsia="Garamond" w:hAnsi="Garamond"/>
          <w:color w:val="2a2520"/>
          <w:sz w:val="22"/>
          <w:szCs w:val="22"/>
        </w:rPr>
        <w:t xml:space="preserve">Legislative elections are administered by the Electoral Commission free from executive interference. The National Voting System is the uniform platform for all federal elections.</w:t>
      </w:r>
    </w:p>
    <w:p>
      <w:pPr>
        <w:spacing w:after="60" w:before="200"/>
        <w:ind w:left="863"/>
      </w:pPr>
      <w:r>
        <w:rPr>
          <w:rFonts w:ascii="Courier New" w:cs="Courier New" w:eastAsia="Courier New" w:hAnsi="Courier New"/>
          <w:b/>
          <w:bCs/>
          <w:color w:val="1B2A4A"/>
          <w:sz w:val="18"/>
          <w:szCs w:val="18"/>
        </w:rPr>
        <w:t xml:space="preserve">§7.3.a  </w:t>
      </w:r>
      <w:r>
        <w:rPr>
          <w:rFonts w:ascii="Garamond" w:cs="Garamond" w:eastAsia="Garamond" w:hAnsi="Garamond"/>
          <w:b/>
          <w:bCs/>
          <w:color w:val="1B2A4A"/>
          <w:sz w:val="22"/>
          <w:szCs w:val="22"/>
        </w:rPr>
        <w:t xml:space="preserve">No Executive Interference</w:t>
      </w:r>
    </w:p>
    <w:p>
      <w:pPr>
        <w:spacing w:after="120" w:before="0"/>
        <w:ind w:left="863"/>
        <w:jc w:val="both"/>
      </w:pPr>
      <w:r>
        <w:rPr>
          <w:rFonts w:ascii="Garamond" w:cs="Garamond" w:eastAsia="Garamond" w:hAnsi="Garamond"/>
          <w:color w:val="2a2520"/>
          <w:sz w:val="22"/>
          <w:szCs w:val="22"/>
        </w:rPr>
        <w:t xml:space="preserve">The President may not declare, postpone, or influence the scheduling of elections — including declaring emergencies that have the effect of postponing them. §1.26.e's prohibition on emergency-based election postponement backs this up: even a genuine emergency cannot defer a scheduled election.</w:t>
      </w:r>
    </w:p>
    <w:p>
      <w:pPr>
        <w:spacing w:after="60" w:before="200"/>
        <w:ind w:left="863"/>
      </w:pPr>
      <w:r>
        <w:rPr>
          <w:rFonts w:ascii="Courier New" w:cs="Courier New" w:eastAsia="Courier New" w:hAnsi="Courier New"/>
          <w:b/>
          <w:bCs/>
          <w:color w:val="1B2A4A"/>
          <w:sz w:val="18"/>
          <w:szCs w:val="18"/>
        </w:rPr>
        <w:t xml:space="preserve">§7.3.b  </w:t>
      </w:r>
      <w:r>
        <w:rPr>
          <w:rFonts w:ascii="Garamond" w:cs="Garamond" w:eastAsia="Garamond" w:hAnsi="Garamond"/>
          <w:b/>
          <w:bCs/>
          <w:color w:val="1B2A4A"/>
          <w:sz w:val="22"/>
          <w:szCs w:val="22"/>
        </w:rPr>
        <w:t xml:space="preserve">National Voting System</w:t>
      </w:r>
    </w:p>
    <w:p>
      <w:pPr>
        <w:spacing w:after="120" w:before="0"/>
        <w:ind w:left="863"/>
        <w:jc w:val="both"/>
      </w:pPr>
      <w:r>
        <w:rPr>
          <w:rFonts w:ascii="Garamond" w:cs="Garamond" w:eastAsia="Garamond" w:hAnsi="Garamond"/>
          <w:color w:val="2a2520"/>
          <w:sz w:val="22"/>
          <w:szCs w:val="22"/>
        </w:rPr>
        <w:t xml:space="preserve">The Electoral Commission administers the National Voting System through which all federal elections and referenda are conducted. The NVS is constitutionally required to maintain ballot secrecy, public auditability, and resilience — properties defined in Article XVI creating a cross-constitutional guarantee.</w:t>
      </w:r>
    </w:p>
    <w:p>
      <w:pPr>
        <w:spacing w:after="60" w:before="200"/>
        <w:ind w:left="863"/>
      </w:pPr>
      <w:r>
        <w:rPr>
          <w:rFonts w:ascii="Courier New" w:cs="Courier New" w:eastAsia="Courier New" w:hAnsi="Courier New"/>
          <w:b/>
          <w:bCs/>
          <w:color w:val="1B2A4A"/>
          <w:sz w:val="18"/>
          <w:szCs w:val="18"/>
        </w:rPr>
        <w:t xml:space="preserve">§7.3.c  </w:t>
      </w:r>
      <w:r>
        <w:rPr>
          <w:rFonts w:ascii="Garamond" w:cs="Garamond" w:eastAsia="Garamond" w:hAnsi="Garamond"/>
          <w:b/>
          <w:bCs/>
          <w:color w:val="1B2A4A"/>
          <w:sz w:val="22"/>
          <w:szCs w:val="22"/>
        </w:rPr>
        <w:t xml:space="preserve">Participation Protection</w:t>
      </w:r>
    </w:p>
    <w:p>
      <w:pPr>
        <w:spacing w:after="120" w:before="0"/>
        <w:ind w:left="863"/>
        <w:jc w:val="both"/>
      </w:pPr>
      <w:r>
        <w:rPr>
          <w:rFonts w:ascii="Garamond" w:cs="Garamond" w:eastAsia="Garamond" w:hAnsi="Garamond"/>
          <w:color w:val="2a2520"/>
          <w:sz w:val="22"/>
          <w:szCs w:val="22"/>
        </w:rPr>
        <w:t xml:space="preserve">No State may take any action that reduces NVS access, functionality, or availability within its territory. State-level voter suppression — long lines, ID requirements that function as bars, polling place closures that reduce access — is constitutionally prohibited to the extent it reduces access for eligible citizens.</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VIII — The Inspectorates</w:t>
      </w:r>
    </w:p>
    <w:p>
      <w:pPr>
        <w:spacing w:after="120"/>
      </w:pPr>
    </w:p>
    <w:p>
      <w:pPr>
        <w:spacing w:after="60" w:before="200"/>
        <w:ind w:left="431"/>
      </w:pPr>
      <w:r>
        <w:rPr>
          <w:rFonts w:ascii="Courier New" w:cs="Courier New" w:eastAsia="Courier New" w:hAnsi="Courier New"/>
          <w:b/>
          <w:bCs/>
          <w:color w:val="1B2A4A"/>
          <w:sz w:val="18"/>
          <w:szCs w:val="18"/>
        </w:rPr>
        <w:t xml:space="preserve">§8.1  </w:t>
      </w:r>
      <w:r>
        <w:rPr>
          <w:rFonts w:ascii="Garamond" w:cs="Garamond" w:eastAsia="Garamond" w:hAnsi="Garamond"/>
          <w:b/>
          <w:bCs/>
          <w:color w:val="1B2A4A"/>
          <w:sz w:val="22"/>
          <w:szCs w:val="22"/>
        </w:rPr>
        <w:t xml:space="preserve">Three Inspectorates</w:t>
      </w:r>
    </w:p>
    <w:p>
      <w:pPr>
        <w:spacing w:after="120" w:before="0"/>
        <w:ind w:left="431"/>
        <w:jc w:val="both"/>
      </w:pPr>
      <w:r>
        <w:rPr>
          <w:rFonts w:ascii="Garamond" w:cs="Garamond" w:eastAsia="Garamond" w:hAnsi="Garamond"/>
          <w:color w:val="2a2520"/>
          <w:sz w:val="22"/>
          <w:szCs w:val="22"/>
        </w:rPr>
        <w:t xml:space="preserve">The Republic maintains three constitutionally independent Inspectorates — Legislative, Executive, and Judicial — each selected by branches other than those it oversees. The Inspectorates hold an information-only mandate: they publish findings but do not issue binding orders. Each Inspector General serves a 10-year non-renewable term with a constitutionally protected funding floor.</w:t>
      </w:r>
    </w:p>
    <w:p>
      <w:pPr>
        <w:spacing w:after="60" w:before="200"/>
        <w:ind w:left="863"/>
      </w:pPr>
      <w:r>
        <w:rPr>
          <w:rFonts w:ascii="Courier New" w:cs="Courier New" w:eastAsia="Courier New" w:hAnsi="Courier New"/>
          <w:b/>
          <w:bCs/>
          <w:color w:val="1B2A4A"/>
          <w:sz w:val="18"/>
          <w:szCs w:val="18"/>
        </w:rPr>
        <w:t xml:space="preserve">§8.1.a  </w:t>
      </w:r>
      <w:r>
        <w:rPr>
          <w:rFonts w:ascii="Garamond" w:cs="Garamond" w:eastAsia="Garamond" w:hAnsi="Garamond"/>
          <w:b/>
          <w:bCs/>
          <w:color w:val="1B2A4A"/>
          <w:sz w:val="22"/>
          <w:szCs w:val="22"/>
        </w:rPr>
        <w:t xml:space="preserve">The Legislative Inspectorate (LI)</w:t>
      </w:r>
    </w:p>
    <w:p>
      <w:pPr>
        <w:spacing w:after="120" w:before="0"/>
        <w:ind w:left="863"/>
        <w:jc w:val="both"/>
      </w:pPr>
      <w:r>
        <w:rPr>
          <w:rFonts w:ascii="Garamond" w:cs="Garamond" w:eastAsia="Garamond" w:hAnsi="Garamond"/>
          <w:color w:val="2a2520"/>
          <w:sz w:val="22"/>
          <w:szCs w:val="22"/>
        </w:rPr>
        <w:t xml:space="preserve">LI Mandate — audits the Legislature for fiscal accuracy, constitutional compliance, and NRS integrity. Conducts the population census (assigned to the LI because the census determines House seat allocation — giving this to a body nominated by the House would be a direct conflict of interest). Reviews House district maps. Publishes germaneness analyses. Annual compliance report published to the NRS. Determines referendum eligibility for citizen-initiated repeal petitions under §11.1.b.</w:t>
      </w:r>
    </w:p>
    <w:p>
      <w:pPr>
        <w:spacing w:after="60" w:before="200"/>
        <w:ind w:left="863"/>
      </w:pPr>
      <w:r>
        <w:rPr>
          <w:rFonts w:ascii="Courier New" w:cs="Courier New" w:eastAsia="Courier New" w:hAnsi="Courier New"/>
          <w:b/>
          <w:bCs/>
          <w:color w:val="1B2A4A"/>
          <w:sz w:val="18"/>
          <w:szCs w:val="18"/>
        </w:rPr>
        <w:t xml:space="preserve">§8.1.b  </w:t>
      </w:r>
      <w:r>
        <w:rPr>
          <w:rFonts w:ascii="Garamond" w:cs="Garamond" w:eastAsia="Garamond" w:hAnsi="Garamond"/>
          <w:b/>
          <w:bCs/>
          <w:color w:val="1B2A4A"/>
          <w:sz w:val="22"/>
          <w:szCs w:val="22"/>
        </w:rPr>
        <w:t xml:space="preserve">The Executive Inspectorate (EI)</w:t>
      </w:r>
    </w:p>
    <w:p>
      <w:pPr>
        <w:spacing w:after="120" w:before="0"/>
        <w:ind w:left="863"/>
        <w:jc w:val="both"/>
      </w:pPr>
      <w:r>
        <w:rPr>
          <w:rFonts w:ascii="Garamond" w:cs="Garamond" w:eastAsia="Garamond" w:hAnsi="Garamond"/>
          <w:color w:val="2a2520"/>
          <w:sz w:val="22"/>
          <w:szCs w:val="22"/>
        </w:rPr>
        <w:t xml:space="preserve">EI Mandate — audits both executives and the Monetary Authority. Annual military compliance assessment: were Tier authorizations followed? Was §1.30.d Intelligence Firewall maintained? Were fund certifications observed? Publishes clemency background reports before any executive act. Reviews disclosure records for constitutional appointments.</w:t>
      </w:r>
    </w:p>
    <w:p>
      <w:pPr>
        <w:spacing w:after="60" w:before="200"/>
        <w:ind w:left="863"/>
      </w:pPr>
      <w:r>
        <w:rPr>
          <w:rFonts w:ascii="Courier New" w:cs="Courier New" w:eastAsia="Courier New" w:hAnsi="Courier New"/>
          <w:b/>
          <w:bCs/>
          <w:color w:val="1B2A4A"/>
          <w:sz w:val="18"/>
          <w:szCs w:val="18"/>
        </w:rPr>
        <w:t xml:space="preserve">§8.1.c  </w:t>
      </w:r>
      <w:r>
        <w:rPr>
          <w:rFonts w:ascii="Garamond" w:cs="Garamond" w:eastAsia="Garamond" w:hAnsi="Garamond"/>
          <w:b/>
          <w:bCs/>
          <w:color w:val="1B2A4A"/>
          <w:sz w:val="22"/>
          <w:szCs w:val="22"/>
        </w:rPr>
        <w:t xml:space="preserve">The Judicial Inspectorate (JI)</w:t>
      </w:r>
    </w:p>
    <w:p>
      <w:pPr>
        <w:spacing w:after="120" w:before="0"/>
        <w:ind w:left="863"/>
        <w:jc w:val="both"/>
      </w:pPr>
      <w:r>
        <w:rPr>
          <w:rFonts w:ascii="Garamond" w:cs="Garamond" w:eastAsia="Garamond" w:hAnsi="Garamond"/>
          <w:color w:val="2a2520"/>
          <w:sz w:val="22"/>
          <w:szCs w:val="22"/>
        </w:rPr>
        <w:t xml:space="preserve">JI Mandate — audits the courts for judicial scope and independence. Maintains the SC Candidate Registry. Vets judicial nominees and Electoral Commission candidates. Audits the Electoral Commission annually. Reviews accommodation compact compliance under §19.1, Associated Community compact compliance under Article XX, and Article XIV indigenous compact obligations. The JI's structural independence — selection by public lottery with no political nomination — makes it the appropriate body to administer all constitutional lottery draws and candidate certification functions throughout the Republic, in addition to its core judicial audit mandate. This dual role is a deliberate constitutional design choice, not an accumulation of functions by default.</w:t>
      </w:r>
    </w:p>
    <w:p>
      <w:pPr>
        <w:spacing w:after="60" w:before="200"/>
        <w:ind w:left="431"/>
      </w:pPr>
      <w:r>
        <w:rPr>
          <w:rFonts w:ascii="Courier New" w:cs="Courier New" w:eastAsia="Courier New" w:hAnsi="Courier New"/>
          <w:b/>
          <w:bCs/>
          <w:color w:val="1B2A4A"/>
          <w:sz w:val="18"/>
          <w:szCs w:val="18"/>
        </w:rPr>
        <w:t xml:space="preserve">§8.2  </w:t>
      </w:r>
      <w:r>
        <w:rPr>
          <w:rFonts w:ascii="Garamond" w:cs="Garamond" w:eastAsia="Garamond" w:hAnsi="Garamond"/>
          <w:b/>
          <w:bCs/>
          <w:color w:val="1B2A4A"/>
          <w:sz w:val="22"/>
          <w:szCs w:val="22"/>
        </w:rPr>
        <w:t xml:space="preserve">Selection and Independence</w:t>
      </w:r>
    </w:p>
    <w:p>
      <w:pPr>
        <w:spacing w:after="120" w:before="0"/>
        <w:ind w:left="431"/>
        <w:jc w:val="both"/>
      </w:pPr>
      <w:r>
        <w:rPr>
          <w:rFonts w:ascii="Garamond" w:cs="Garamond" w:eastAsia="Garamond" w:hAnsi="Garamond"/>
          <w:color w:val="2a2520"/>
          <w:sz w:val="22"/>
          <w:szCs w:val="22"/>
        </w:rPr>
        <w:t xml:space="preserve">Each Inspectorate is constituted through a cross-nomination process that structurally excludes the body being watched from selecting those who watch it. The Supreme Court nominates the LI Inspector General, confirmed by Senate 2/3 supermajority. The House nominates the EI Inspector General, confirmed by Senate simple majority with JI vetting. The JI Inspector General is selected by public lottery with no political nomination by any branch.</w:t>
      </w:r>
    </w:p>
    <w:p>
      <w:pPr>
        <w:spacing w:after="60" w:before="200"/>
        <w:ind w:left="431"/>
      </w:pPr>
      <w:r>
        <w:rPr>
          <w:rFonts w:ascii="Courier New" w:cs="Courier New" w:eastAsia="Courier New" w:hAnsi="Courier New"/>
          <w:b/>
          <w:bCs/>
          <w:color w:val="1B2A4A"/>
          <w:sz w:val="18"/>
          <w:szCs w:val="18"/>
        </w:rPr>
        <w:t xml:space="preserve">§8.3  </w:t>
      </w:r>
      <w:r>
        <w:rPr>
          <w:rFonts w:ascii="Garamond" w:cs="Garamond" w:eastAsia="Garamond" w:hAnsi="Garamond"/>
          <w:b/>
          <w:bCs/>
          <w:color w:val="1B2A4A"/>
          <w:sz w:val="22"/>
          <w:szCs w:val="22"/>
        </w:rPr>
        <w:t xml:space="preserve">Inspector General Selection</w:t>
      </w:r>
    </w:p>
    <w:p>
      <w:pPr>
        <w:spacing w:after="120" w:before="0"/>
        <w:ind w:left="431"/>
        <w:jc w:val="both"/>
      </w:pPr>
      <w:r>
        <w:rPr>
          <w:rFonts w:ascii="Garamond" w:cs="Garamond" w:eastAsia="Garamond" w:hAnsi="Garamond"/>
          <w:color w:val="2a2520"/>
          <w:sz w:val="22"/>
          <w:szCs w:val="22"/>
        </w:rPr>
        <w:t xml:space="preserve">Each Inspectorate is headed by an Inspector General selected through a cross-nominating process that ensures no branch selects its own overseer. The selection mechanisms for each IG are specified in this section.</w:t>
      </w:r>
    </w:p>
    <w:p>
      <w:pPr>
        <w:spacing w:after="60" w:before="200"/>
        <w:ind w:left="863"/>
      </w:pPr>
      <w:r>
        <w:rPr>
          <w:rFonts w:ascii="Courier New" w:cs="Courier New" w:eastAsia="Courier New" w:hAnsi="Courier New"/>
          <w:b/>
          <w:bCs/>
          <w:color w:val="1B2A4A"/>
          <w:sz w:val="18"/>
          <w:szCs w:val="18"/>
        </w:rPr>
        <w:t xml:space="preserve">§8.3.a  </w:t>
      </w:r>
      <w:r>
        <w:rPr>
          <w:rFonts w:ascii="Garamond" w:cs="Garamond" w:eastAsia="Garamond" w:hAnsi="Garamond"/>
          <w:b/>
          <w:bCs/>
          <w:color w:val="1B2A4A"/>
          <w:sz w:val="22"/>
          <w:szCs w:val="22"/>
        </w:rPr>
        <w:t xml:space="preserve">Legislative IG</w:t>
      </w:r>
    </w:p>
    <w:p>
      <w:pPr>
        <w:spacing w:after="120" w:before="0"/>
        <w:ind w:left="863"/>
        <w:jc w:val="both"/>
      </w:pPr>
      <w:r>
        <w:rPr>
          <w:rFonts w:ascii="Garamond" w:cs="Garamond" w:eastAsia="Garamond" w:hAnsi="Garamond"/>
          <w:color w:val="2a2520"/>
          <w:sz w:val="22"/>
          <w:szCs w:val="22"/>
        </w:rPr>
        <w:t xml:space="preserve">LI Inspector General Selection — nominated by the Supreme Court, confirmed by the Senate by 2/3 supermajority. The House is entirely excluded — the body whose seat allocation the census determines has no role in selecting the office that conducts the census. The 2/3 Senate threshold ensures the LI IG commands cross-party support.</w:t>
      </w:r>
    </w:p>
    <w:p>
      <w:pPr>
        <w:spacing w:after="60" w:before="200"/>
        <w:ind w:left="863"/>
      </w:pPr>
      <w:r>
        <w:rPr>
          <w:rFonts w:ascii="Courier New" w:cs="Courier New" w:eastAsia="Courier New" w:hAnsi="Courier New"/>
          <w:b/>
          <w:bCs/>
          <w:color w:val="1B2A4A"/>
          <w:sz w:val="18"/>
          <w:szCs w:val="18"/>
        </w:rPr>
        <w:t xml:space="preserve">§8.3.b  </w:t>
      </w:r>
      <w:r>
        <w:rPr>
          <w:rFonts w:ascii="Garamond" w:cs="Garamond" w:eastAsia="Garamond" w:hAnsi="Garamond"/>
          <w:b/>
          <w:bCs/>
          <w:color w:val="1B2A4A"/>
          <w:sz w:val="22"/>
          <w:szCs w:val="22"/>
        </w:rPr>
        <w:t xml:space="preserve">Executive IG</w:t>
      </w:r>
    </w:p>
    <w:p>
      <w:pPr>
        <w:spacing w:after="120" w:before="0"/>
        <w:ind w:left="863"/>
        <w:jc w:val="both"/>
      </w:pPr>
      <w:r>
        <w:rPr>
          <w:rFonts w:ascii="Garamond" w:cs="Garamond" w:eastAsia="Garamond" w:hAnsi="Garamond"/>
          <w:color w:val="2a2520"/>
          <w:sz w:val="22"/>
          <w:szCs w:val="22"/>
        </w:rPr>
        <w:t xml:space="preserve">EI Inspector General Selection — nominated by the House, confirmed by the Senate by simple majority, with JI vetting of the nominee's disclosure record before the confirmation vote. The House nominates the EI because the PM — whom the EI watches — is accountable to the House, creating structural alignment without giving the PM or President control over selection.</w:t>
      </w:r>
    </w:p>
    <w:p>
      <w:pPr>
        <w:spacing w:after="60" w:before="200"/>
        <w:ind w:left="863"/>
      </w:pPr>
      <w:r>
        <w:rPr>
          <w:rFonts w:ascii="Courier New" w:cs="Courier New" w:eastAsia="Courier New" w:hAnsi="Courier New"/>
          <w:b/>
          <w:bCs/>
          <w:color w:val="1B2A4A"/>
          <w:sz w:val="18"/>
          <w:szCs w:val="18"/>
        </w:rPr>
        <w:t xml:space="preserve">§8.3.c  </w:t>
      </w:r>
      <w:r>
        <w:rPr>
          <w:rFonts w:ascii="Garamond" w:cs="Garamond" w:eastAsia="Garamond" w:hAnsi="Garamond"/>
          <w:b/>
          <w:bCs/>
          <w:color w:val="1B2A4A"/>
          <w:sz w:val="22"/>
          <w:szCs w:val="22"/>
        </w:rPr>
        <w:t xml:space="preserve">Term and Staggering</w:t>
      </w:r>
    </w:p>
    <w:p>
      <w:pPr>
        <w:spacing w:after="120" w:before="0"/>
        <w:ind w:left="863"/>
        <w:jc w:val="both"/>
      </w:pPr>
      <w:r>
        <w:rPr>
          <w:rFonts w:ascii="Garamond" w:cs="Garamond" w:eastAsia="Garamond" w:hAnsi="Garamond"/>
          <w:color w:val="2a2520"/>
          <w:sz w:val="22"/>
          <w:szCs w:val="22"/>
        </w:rPr>
        <w:t xml:space="preserve">All IGs serve 10-year non-renewable terms. No two IG terms may begin within 18 months of each other, ensuring continuous institutional knowledge. An outgoing IG may not be reappointed to the same office. The stagger means the system never faces simultaneous turnover in multiple offices.</w:t>
      </w:r>
    </w:p>
    <w:p>
      <w:pPr>
        <w:spacing w:after="60" w:before="200"/>
        <w:ind w:left="431"/>
      </w:pPr>
      <w:r>
        <w:rPr>
          <w:rFonts w:ascii="Courier New" w:cs="Courier New" w:eastAsia="Courier New" w:hAnsi="Courier New"/>
          <w:b/>
          <w:bCs/>
          <w:color w:val="1B2A4A"/>
          <w:sz w:val="18"/>
          <w:szCs w:val="18"/>
        </w:rPr>
        <w:t xml:space="preserve">§8.4  </w:t>
      </w:r>
      <w:r>
        <w:rPr>
          <w:rFonts w:ascii="Garamond" w:cs="Garamond" w:eastAsia="Garamond" w:hAnsi="Garamond"/>
          <w:b/>
          <w:bCs/>
          <w:color w:val="1B2A4A"/>
          <w:sz w:val="22"/>
          <w:szCs w:val="22"/>
        </w:rPr>
        <w:t xml:space="preserve">Judicial Inspectorate — Audit and Certification Mandate</w:t>
      </w:r>
    </w:p>
    <w:p>
      <w:pPr>
        <w:spacing w:after="120" w:before="0"/>
        <w:ind w:left="431"/>
        <w:jc w:val="both"/>
      </w:pPr>
      <w:r>
        <w:rPr>
          <w:rFonts w:ascii="Garamond" w:cs="Garamond" w:eastAsia="Garamond" w:hAnsi="Garamond"/>
          <w:color w:val="2a2520"/>
          <w:sz w:val="22"/>
          <w:szCs w:val="22"/>
        </w:rPr>
        <w:t xml:space="preserve">The Judicial Inspectorate holds two constitutional mandates. First, as auditor: it monitors the court system, administers the SC candidate registry, and conducts compliance audits across compact obligations. Second, as certification administrator: it certifies lottery draws and panel selections throughout the constitution, including the State Designee Panel, the Regional Boundary Commission, and the RSA Technical Integrity Commission. Both mandates are informational only — the JI publishes findings and certifies processes; it does not issue binding orders or control outcomes.</w:t>
      </w:r>
    </w:p>
    <w:p>
      <w:pPr>
        <w:spacing w:after="60" w:before="200"/>
        <w:ind w:left="863"/>
      </w:pPr>
      <w:r>
        <w:rPr>
          <w:rFonts w:ascii="Courier New" w:cs="Courier New" w:eastAsia="Courier New" w:hAnsi="Courier New"/>
          <w:b/>
          <w:bCs/>
          <w:color w:val="1B2A4A"/>
          <w:sz w:val="18"/>
          <w:szCs w:val="18"/>
        </w:rPr>
        <w:t xml:space="preserve">§8.4.a  </w:t>
      </w:r>
      <w:r>
        <w:rPr>
          <w:rFonts w:ascii="Garamond" w:cs="Garamond" w:eastAsia="Garamond" w:hAnsi="Garamond"/>
          <w:b/>
          <w:bCs/>
          <w:color w:val="1B2A4A"/>
          <w:sz w:val="22"/>
          <w:szCs w:val="22"/>
        </w:rPr>
        <w:t xml:space="preserve">Judicial IG Candidate Pool</w:t>
      </w:r>
    </w:p>
    <w:p>
      <w:pPr>
        <w:spacing w:after="120" w:before="0"/>
        <w:ind w:left="863"/>
        <w:jc w:val="both"/>
      </w:pPr>
      <w:r>
        <w:rPr>
          <w:rFonts w:ascii="Garamond" w:cs="Garamond" w:eastAsia="Garamond" w:hAnsi="Garamond"/>
          <w:color w:val="2a2520"/>
          <w:sz w:val="22"/>
          <w:szCs w:val="22"/>
        </w:rPr>
        <w:t xml:space="preserve">JI IG Selection — drawn by public lottery from a qualified candidate pool. The outgoing JI IG administers the draw, witnessed by the other two IGs and three citizens chosen by jury protocols. Published to the NRS immediately. No political body nominates the JI IG — the most structurally independent selection mechanism in the constitution.</w:t>
      </w:r>
    </w:p>
    <w:p>
      <w:pPr>
        <w:spacing w:after="60" w:before="200"/>
        <w:ind w:left="863"/>
      </w:pPr>
      <w:r>
        <w:rPr>
          <w:rFonts w:ascii="Courier New" w:cs="Courier New" w:eastAsia="Courier New" w:hAnsi="Courier New"/>
          <w:b/>
          <w:bCs/>
          <w:color w:val="1B2A4A"/>
          <w:sz w:val="18"/>
          <w:szCs w:val="18"/>
        </w:rPr>
        <w:t xml:space="preserve">§8.4.b  </w:t>
      </w:r>
      <w:r>
        <w:rPr>
          <w:rFonts w:ascii="Garamond" w:cs="Garamond" w:eastAsia="Garamond" w:hAnsi="Garamond"/>
          <w:b/>
          <w:bCs/>
          <w:color w:val="1B2A4A"/>
          <w:sz w:val="22"/>
          <w:szCs w:val="22"/>
        </w:rPr>
        <w:t xml:space="preserve">JI Compact Compliance Audit</w:t>
      </w:r>
    </w:p>
    <w:p>
      <w:pPr>
        <w:spacing w:after="120" w:before="0"/>
        <w:ind w:left="863"/>
        <w:jc w:val="both"/>
      </w:pPr>
      <w:r>
        <w:rPr>
          <w:rFonts w:ascii="Garamond" w:cs="Garamond" w:eastAsia="Garamond" w:hAnsi="Garamond"/>
          <w:color w:val="2a2520"/>
          <w:sz w:val="22"/>
          <w:szCs w:val="22"/>
        </w:rPr>
        <w:t xml:space="preserve">Annual compliance reviews for §19.1 accommodation compacts, Article XX Associated Community compacts, and Article XIV indigenous compact obligations. The JI verifies that Article I rights protections are being maintained and that compact terms are being honored by both parties.</w:t>
      </w:r>
    </w:p>
    <w:p>
      <w:pPr>
        <w:spacing w:after="60" w:before="200"/>
        <w:ind w:left="863"/>
      </w:pPr>
      <w:r>
        <w:rPr>
          <w:rFonts w:ascii="Courier New" w:cs="Courier New" w:eastAsia="Courier New" w:hAnsi="Courier New"/>
          <w:b/>
          <w:bCs/>
          <w:color w:val="1B2A4A"/>
          <w:sz w:val="18"/>
          <w:szCs w:val="18"/>
        </w:rPr>
        <w:t xml:space="preserve">§8.4.c  </w:t>
      </w:r>
      <w:r>
        <w:rPr>
          <w:rFonts w:ascii="Garamond" w:cs="Garamond" w:eastAsia="Garamond" w:hAnsi="Garamond"/>
          <w:b/>
          <w:bCs/>
          <w:color w:val="1B2A4A"/>
          <w:sz w:val="22"/>
          <w:szCs w:val="22"/>
        </w:rPr>
        <w:t xml:space="preserve">JI Court Operations Audit</w:t>
      </w:r>
    </w:p>
    <w:p>
      <w:pPr>
        <w:spacing w:after="120" w:before="0"/>
        <w:ind w:left="863"/>
        <w:jc w:val="both"/>
      </w:pPr>
      <w:r>
        <w:rPr>
          <w:rFonts w:ascii="Garamond" w:cs="Garamond" w:eastAsia="Garamond" w:hAnsi="Garamond"/>
          <w:color w:val="2a2520"/>
          <w:sz w:val="22"/>
          <w:szCs w:val="22"/>
        </w:rPr>
        <w:t xml:space="preserve">Annual audit of the court system for judicial scope compliance, independence from political pressure, and proper administration of judicial functions. The JI does not audit judicial reasoning — it audits whether courts are operating within their constitutional mandate and free from inappropriate influence.</w:t>
      </w:r>
    </w:p>
    <w:p>
      <w:pPr>
        <w:spacing w:after="60" w:before="200"/>
        <w:ind w:left="863"/>
      </w:pPr>
      <w:r>
        <w:rPr>
          <w:rFonts w:ascii="Courier New" w:cs="Courier New" w:eastAsia="Courier New" w:hAnsi="Courier New"/>
          <w:b/>
          <w:bCs/>
          <w:color w:val="1B2A4A"/>
          <w:sz w:val="18"/>
          <w:szCs w:val="18"/>
        </w:rPr>
        <w:t xml:space="preserve">§8.4.d  </w:t>
      </w:r>
      <w:r>
        <w:rPr>
          <w:rFonts w:ascii="Garamond" w:cs="Garamond" w:eastAsia="Garamond" w:hAnsi="Garamond"/>
          <w:b/>
          <w:bCs/>
          <w:color w:val="1B2A4A"/>
          <w:sz w:val="22"/>
          <w:szCs w:val="22"/>
        </w:rPr>
        <w:t xml:space="preserve">JI Electoral Commission Audit</w:t>
      </w:r>
    </w:p>
    <w:p>
      <w:pPr>
        <w:spacing w:after="120" w:before="0"/>
        <w:ind w:left="863"/>
        <w:jc w:val="both"/>
      </w:pPr>
      <w:r>
        <w:rPr>
          <w:rFonts w:ascii="Garamond" w:cs="Garamond" w:eastAsia="Garamond" w:hAnsi="Garamond"/>
          <w:color w:val="2a2520"/>
          <w:sz w:val="22"/>
          <w:szCs w:val="22"/>
        </w:rPr>
        <w:t xml:space="preserve">Annual audit of the EC for electoral integrity compliance, administrative accuracy, and independence. Distinct from the EI's executive compliance audit — the JI focuses on electoral administration integrity. Published to the NRS as a standalone annual report.</w:t>
      </w:r>
    </w:p>
    <w:p>
      <w:pPr>
        <w:spacing w:after="60" w:before="200"/>
        <w:ind w:left="863"/>
      </w:pPr>
      <w:r>
        <w:rPr>
          <w:rFonts w:ascii="Courier New" w:cs="Courier New" w:eastAsia="Courier New" w:hAnsi="Courier New"/>
          <w:b/>
          <w:bCs/>
          <w:color w:val="1B2A4A"/>
          <w:sz w:val="18"/>
          <w:szCs w:val="18"/>
        </w:rPr>
        <w:t xml:space="preserve">§8.4.e  </w:t>
      </w:r>
      <w:r>
        <w:rPr>
          <w:rFonts w:ascii="Garamond" w:cs="Garamond" w:eastAsia="Garamond" w:hAnsi="Garamond"/>
          <w:b/>
          <w:bCs/>
          <w:color w:val="1B2A4A"/>
          <w:sz w:val="22"/>
          <w:szCs w:val="22"/>
        </w:rPr>
        <w:t xml:space="preserve">Supreme Court Candidate Registry</w:t>
      </w:r>
    </w:p>
    <w:p>
      <w:pPr>
        <w:spacing w:after="120" w:before="0"/>
        <w:ind w:left="863"/>
        <w:jc w:val="both"/>
      </w:pPr>
      <w:r>
        <w:rPr>
          <w:rFonts w:ascii="Garamond" w:cs="Garamond" w:eastAsia="Garamond" w:hAnsi="Garamond"/>
          <w:color w:val="2a2520"/>
          <w:sz w:val="22"/>
          <w:szCs w:val="22"/>
        </w:rPr>
        <w:t xml:space="preserve">The JI maintains the standing registry from which SC candidates are drawn. Any citizen meeting the eligibility criteria (15+ years legal practice or 10+ years judicial service, no current government position, no disqualifying financial interest) may apply. Applications reviewed within 21 days. Registry inclusion does not expire. Publicly accessible on the NRS at all times.</w:t>
      </w:r>
    </w:p>
    <w:p>
      <w:pPr>
        <w:spacing w:after="60" w:before="200"/>
        <w:ind w:left="863"/>
      </w:pPr>
      <w:r>
        <w:rPr>
          <w:rFonts w:ascii="Courier New" w:cs="Courier New" w:eastAsia="Courier New" w:hAnsi="Courier New"/>
          <w:b/>
          <w:bCs/>
          <w:color w:val="1B2A4A"/>
          <w:sz w:val="18"/>
          <w:szCs w:val="18"/>
        </w:rPr>
        <w:t xml:space="preserve">§8.4.f  </w:t>
      </w:r>
      <w:r>
        <w:rPr>
          <w:rFonts w:ascii="Garamond" w:cs="Garamond" w:eastAsia="Garamond" w:hAnsi="Garamond"/>
          <w:b/>
          <w:bCs/>
          <w:color w:val="1B2A4A"/>
          <w:sz w:val="22"/>
          <w:szCs w:val="22"/>
        </w:rPr>
        <w:t xml:space="preserve">JI Judicial Independence Audit</w:t>
      </w:r>
    </w:p>
    <w:p>
      <w:pPr>
        <w:spacing w:after="120" w:before="0"/>
        <w:ind w:left="863"/>
        <w:jc w:val="both"/>
      </w:pPr>
      <w:r>
        <w:rPr>
          <w:rFonts w:ascii="Garamond" w:cs="Garamond" w:eastAsia="Garamond" w:hAnsi="Garamond"/>
          <w:color w:val="2a2520"/>
          <w:sz w:val="22"/>
          <w:szCs w:val="22"/>
        </w:rPr>
        <w:t xml:space="preserve">Annual published audit of the entire court system. The JI audits the independence of the process, not judicial reasoning or outcomes: are judges free from political pressure? Are proper recusal procedures being followed? Are ex parte communications being reported? Are court appointments following constitutional processes?</w:t>
      </w:r>
    </w:p>
    <w:p>
      <w:pPr>
        <w:spacing w:after="60" w:before="200"/>
        <w:ind w:left="863"/>
      </w:pPr>
      <w:r>
        <w:rPr>
          <w:rFonts w:ascii="Courier New" w:cs="Courier New" w:eastAsia="Courier New" w:hAnsi="Courier New"/>
          <w:b/>
          <w:bCs/>
          <w:color w:val="1B2A4A"/>
          <w:sz w:val="18"/>
          <w:szCs w:val="18"/>
        </w:rPr>
        <w:t xml:space="preserve">§8.4.g  </w:t>
      </w:r>
      <w:r>
        <w:rPr>
          <w:rFonts w:ascii="Garamond" w:cs="Garamond" w:eastAsia="Garamond" w:hAnsi="Garamond"/>
          <w:b/>
          <w:bCs/>
          <w:color w:val="1B2A4A"/>
          <w:sz w:val="22"/>
          <w:szCs w:val="22"/>
        </w:rPr>
        <w:t xml:space="preserve">SC Independence Assessment</w:t>
      </w:r>
    </w:p>
    <w:p>
      <w:pPr>
        <w:spacing w:after="120" w:before="0"/>
        <w:ind w:left="863"/>
        <w:jc w:val="both"/>
      </w:pPr>
      <w:r>
        <w:rPr>
          <w:rFonts w:ascii="Garamond" w:cs="Garamond" w:eastAsia="Garamond" w:hAnsi="Garamond"/>
          <w:color w:val="2a2520"/>
          <w:sz w:val="22"/>
          <w:szCs w:val="22"/>
        </w:rPr>
        <w:t xml:space="preserve">Within the annual judicial audit, the JI publishes a specific assessment of SC independence: the integrity of the SC election process; any attempts to influence SC candidates before election; any contacts between SC justices and political actors not disclosed to the NRS; the adequacy of the SC's internal disclosure protocols.</w:t>
      </w:r>
    </w:p>
    <w:p>
      <w:pPr>
        <w:spacing w:after="60" w:before="200"/>
        <w:ind w:left="863"/>
      </w:pPr>
      <w:r>
        <w:rPr>
          <w:rFonts w:ascii="Courier New" w:cs="Courier New" w:eastAsia="Courier New" w:hAnsi="Courier New"/>
          <w:b/>
          <w:bCs/>
          <w:color w:val="1B2A4A"/>
          <w:sz w:val="18"/>
          <w:szCs w:val="18"/>
        </w:rPr>
        <w:t xml:space="preserve">§8.4.h  </w:t>
      </w:r>
      <w:r>
        <w:rPr>
          <w:rFonts w:ascii="Garamond" w:cs="Garamond" w:eastAsia="Garamond" w:hAnsi="Garamond"/>
          <w:b/>
          <w:bCs/>
          <w:color w:val="1B2A4A"/>
          <w:sz w:val="22"/>
          <w:szCs w:val="22"/>
        </w:rPr>
        <w:t xml:space="preserve">Inferior Court Compliance</w:t>
      </w:r>
    </w:p>
    <w:p>
      <w:pPr>
        <w:spacing w:after="120" w:before="0"/>
        <w:ind w:left="863"/>
        <w:jc w:val="both"/>
      </w:pPr>
      <w:r>
        <w:rPr>
          <w:rFonts w:ascii="Garamond" w:cs="Garamond" w:eastAsia="Garamond" w:hAnsi="Garamond"/>
          <w:color w:val="2a2520"/>
          <w:sz w:val="22"/>
          <w:szCs w:val="22"/>
        </w:rPr>
        <w:t xml:space="preserve">The JI audits inferior courts for compliance with their jurisdictional limits under §4.3.b. Courts that repeatedly exceed their jurisdictional scope, or demonstrate a pattern of failing to apply constitutional standards, are flagged in the JI annual report. The JI identifies systemic compliance issues for legislative or SC attention.</w:t>
      </w:r>
    </w:p>
    <w:p>
      <w:pPr>
        <w:spacing w:after="60" w:before="200"/>
        <w:ind w:left="863"/>
      </w:pPr>
      <w:r>
        <w:rPr>
          <w:rFonts w:ascii="Courier New" w:cs="Courier New" w:eastAsia="Courier New" w:hAnsi="Courier New"/>
          <w:b/>
          <w:bCs/>
          <w:color w:val="1B2A4A"/>
          <w:sz w:val="18"/>
          <w:szCs w:val="18"/>
        </w:rPr>
        <w:t xml:space="preserve">§8.4.i  </w:t>
      </w:r>
      <w:r>
        <w:rPr>
          <w:rFonts w:ascii="Garamond" w:cs="Garamond" w:eastAsia="Garamond" w:hAnsi="Garamond"/>
          <w:b/>
          <w:bCs/>
          <w:color w:val="1B2A4A"/>
          <w:sz w:val="22"/>
          <w:szCs w:val="22"/>
        </w:rPr>
        <w:t xml:space="preserve">Gatekeeping Appeal</w:t>
      </w:r>
    </w:p>
    <w:p>
      <w:pPr>
        <w:spacing w:after="120" w:before="0"/>
        <w:ind w:left="863"/>
        <w:jc w:val="both"/>
      </w:pPr>
      <w:r>
        <w:rPr>
          <w:rFonts w:ascii="Garamond" w:cs="Garamond" w:eastAsia="Garamond" w:hAnsi="Garamond"/>
          <w:color w:val="2a2520"/>
          <w:sz w:val="22"/>
          <w:szCs w:val="22"/>
        </w:rPr>
        <w:t xml:space="preserve">Any candidate removed from a ballot by the JI's certification function may appeal to the Appellate Court within 14 days. The Court reviews only whether the JI correctly applied the eligibility criteria. Must rule within 21 days. If the removal is found improper, the candidate is reinstated to the ballot.</w:t>
      </w:r>
    </w:p>
    <w:p>
      <w:pPr>
        <w:spacing w:after="60" w:before="200"/>
        <w:ind w:left="431"/>
      </w:pPr>
      <w:r>
        <w:rPr>
          <w:rFonts w:ascii="Courier New" w:cs="Courier New" w:eastAsia="Courier New" w:hAnsi="Courier New"/>
          <w:b/>
          <w:bCs/>
          <w:color w:val="1B2A4A"/>
          <w:sz w:val="18"/>
          <w:szCs w:val="18"/>
        </w:rPr>
        <w:t xml:space="preserve">§8.5  </w:t>
      </w:r>
      <w:r>
        <w:rPr>
          <w:rFonts w:ascii="Garamond" w:cs="Garamond" w:eastAsia="Garamond" w:hAnsi="Garamond"/>
          <w:b/>
          <w:bCs/>
          <w:color w:val="1B2A4A"/>
          <w:sz w:val="22"/>
          <w:szCs w:val="22"/>
        </w:rPr>
        <w:t xml:space="preserve">Inspector General Removal</w:t>
      </w:r>
    </w:p>
    <w:p>
      <w:pPr>
        <w:spacing w:after="120" w:before="0"/>
        <w:ind w:left="431"/>
        <w:jc w:val="both"/>
      </w:pPr>
      <w:r>
        <w:rPr>
          <w:rFonts w:ascii="Garamond" w:cs="Garamond" w:eastAsia="Garamond" w:hAnsi="Garamond"/>
          <w:color w:val="2a2520"/>
          <w:sz w:val="22"/>
          <w:szCs w:val="22"/>
        </w:rPr>
        <w:t xml:space="preserve">An Inspector General may be removed only through the mechanisms specified in this section. The removal thresholds are designed to prevent any single branch from eliminating its oversight body through ordinary political action.</w:t>
      </w:r>
    </w:p>
    <w:p>
      <w:pPr>
        <w:spacing w:after="60" w:before="200"/>
        <w:ind w:left="863"/>
      </w:pPr>
      <w:r>
        <w:rPr>
          <w:rFonts w:ascii="Courier New" w:cs="Courier New" w:eastAsia="Courier New" w:hAnsi="Courier New"/>
          <w:b/>
          <w:bCs/>
          <w:color w:val="1B2A4A"/>
          <w:sz w:val="18"/>
          <w:szCs w:val="18"/>
        </w:rPr>
        <w:t xml:space="preserve">§8.5.a  </w:t>
      </w:r>
      <w:r>
        <w:rPr>
          <w:rFonts w:ascii="Garamond" w:cs="Garamond" w:eastAsia="Garamond" w:hAnsi="Garamond"/>
          <w:b/>
          <w:bCs/>
          <w:color w:val="1B2A4A"/>
          <w:sz w:val="22"/>
          <w:szCs w:val="22"/>
        </w:rPr>
        <w:t xml:space="preserve">For-Cause Removal</w:t>
      </w:r>
    </w:p>
    <w:p>
      <w:pPr>
        <w:spacing w:after="120" w:before="0"/>
        <w:ind w:left="863"/>
        <w:jc w:val="both"/>
      </w:pPr>
      <w:r>
        <w:rPr>
          <w:rFonts w:ascii="Garamond" w:cs="Garamond" w:eastAsia="Garamond" w:hAnsi="Garamond"/>
          <w:color w:val="2a2520"/>
          <w:sz w:val="22"/>
          <w:szCs w:val="22"/>
        </w:rPr>
        <w:t xml:space="preserve">For-cause removal of an Inspector General requires a 2/3 vote of both chambers simultaneously, preceded by a substantiated finding from a State Designee Panel under §8.9.f. Duty suspension triggers upon publication of a substantiated Panel finding, pending the legislative vote and any SC review.</w:t>
      </w:r>
    </w:p>
    <w:p>
      <w:pPr>
        <w:spacing w:after="60" w:before="200"/>
        <w:ind w:left="863"/>
      </w:pPr>
      <w:r>
        <w:rPr>
          <w:rFonts w:ascii="Courier New" w:cs="Courier New" w:eastAsia="Courier New" w:hAnsi="Courier New"/>
          <w:b/>
          <w:bCs/>
          <w:color w:val="1B2A4A"/>
          <w:sz w:val="18"/>
          <w:szCs w:val="18"/>
        </w:rPr>
        <w:t xml:space="preserve">§8.5.b  </w:t>
      </w:r>
      <w:r>
        <w:rPr>
          <w:rFonts w:ascii="Garamond" w:cs="Garamond" w:eastAsia="Garamond" w:hAnsi="Garamond"/>
          <w:b/>
          <w:bCs/>
          <w:color w:val="1B2A4A"/>
          <w:sz w:val="22"/>
          <w:szCs w:val="22"/>
        </w:rPr>
        <w:t xml:space="preserve">No-Cause Removal</w:t>
      </w:r>
    </w:p>
    <w:p>
      <w:pPr>
        <w:spacing w:after="120" w:before="0"/>
        <w:ind w:left="863"/>
        <w:jc w:val="both"/>
      </w:pPr>
      <w:r>
        <w:rPr>
          <w:rFonts w:ascii="Garamond" w:cs="Garamond" w:eastAsia="Garamond" w:hAnsi="Garamond"/>
          <w:color w:val="2a2520"/>
          <w:sz w:val="22"/>
          <w:szCs w:val="22"/>
        </w:rPr>
        <w:t xml:space="preserve">Any IG may be removed without cause by 3/4 of both chambers simultaneously, except the Judicial Inspectorate IG under §8.5.c, whose lottery-based selection makes no-cause removal equivalent to a political veto over the draw result. The higher threshold (3/4 vs 2/3 for cause) ensures no-cause removal is used only when extraordinary circumstances make continued service untenable regardless of conduct.</w:t>
      </w:r>
    </w:p>
    <w:p>
      <w:pPr>
        <w:spacing w:after="60" w:before="200"/>
        <w:ind w:left="863"/>
      </w:pPr>
      <w:r>
        <w:rPr>
          <w:rFonts w:ascii="Courier New" w:cs="Courier New" w:eastAsia="Courier New" w:hAnsi="Courier New"/>
          <w:b/>
          <w:bCs/>
          <w:color w:val="1B2A4A"/>
          <w:sz w:val="18"/>
          <w:szCs w:val="18"/>
        </w:rPr>
        <w:t xml:space="preserve">§8.5.c  </w:t>
      </w:r>
      <w:r>
        <w:rPr>
          <w:rFonts w:ascii="Garamond" w:cs="Garamond" w:eastAsia="Garamond" w:hAnsi="Garamond"/>
          <w:b/>
          <w:bCs/>
          <w:color w:val="1B2A4A"/>
          <w:sz w:val="22"/>
          <w:szCs w:val="22"/>
        </w:rPr>
        <w:t xml:space="preserve">Judicial IG — For-Cause Only</w:t>
      </w:r>
    </w:p>
    <w:p>
      <w:pPr>
        <w:spacing w:after="120" w:before="0"/>
        <w:ind w:left="863"/>
        <w:jc w:val="both"/>
      </w:pPr>
      <w:r>
        <w:rPr>
          <w:rFonts w:ascii="Garamond" w:cs="Garamond" w:eastAsia="Garamond" w:hAnsi="Garamond"/>
          <w:color w:val="2a2520"/>
          <w:sz w:val="22"/>
          <w:szCs w:val="22"/>
        </w:rPr>
        <w:t xml:space="preserve">JI Removal — the JI IG may only be removed for cause; no-cause removal is not available. The JI's lottery-based selection and its role in judicial independence oversight makes it the most insulated of the three offices.</w:t>
      </w:r>
    </w:p>
    <w:p>
      <w:pPr>
        <w:spacing w:after="60" w:before="200"/>
        <w:ind w:left="431"/>
      </w:pPr>
      <w:r>
        <w:rPr>
          <w:rFonts w:ascii="Courier New" w:cs="Courier New" w:eastAsia="Courier New" w:hAnsi="Courier New"/>
          <w:b/>
          <w:bCs/>
          <w:color w:val="1B2A4A"/>
          <w:sz w:val="18"/>
          <w:szCs w:val="18"/>
        </w:rPr>
        <w:t xml:space="preserve">§8.6  </w:t>
      </w:r>
      <w:r>
        <w:rPr>
          <w:rFonts w:ascii="Garamond" w:cs="Garamond" w:eastAsia="Garamond" w:hAnsi="Garamond"/>
          <w:b/>
          <w:bCs/>
          <w:color w:val="1B2A4A"/>
          <w:sz w:val="22"/>
          <w:szCs w:val="22"/>
        </w:rPr>
        <w:t xml:space="preserve">Inspectorate Operations and Mandate</w:t>
      </w:r>
    </w:p>
    <w:p>
      <w:pPr>
        <w:spacing w:after="120" w:before="0"/>
        <w:ind w:left="431"/>
        <w:jc w:val="both"/>
      </w:pPr>
      <w:r>
        <w:rPr>
          <w:rFonts w:ascii="Garamond" w:cs="Garamond" w:eastAsia="Garamond" w:hAnsi="Garamond"/>
          <w:color w:val="2a2520"/>
          <w:sz w:val="22"/>
          <w:szCs w:val="22"/>
        </w:rPr>
        <w:t xml:space="preserve">The three Inspectorates operate under a shared information-only mandate: they observe, audit, and publish. They hold no enforcement authority. Their power derives entirely from the constitutional weight of a permanent public record.</w:t>
      </w:r>
    </w:p>
    <w:p>
      <w:pPr>
        <w:spacing w:after="60" w:before="200"/>
        <w:ind w:left="863"/>
      </w:pPr>
      <w:r>
        <w:rPr>
          <w:rFonts w:ascii="Courier New" w:cs="Courier New" w:eastAsia="Courier New" w:hAnsi="Courier New"/>
          <w:b/>
          <w:bCs/>
          <w:color w:val="1B2A4A"/>
          <w:sz w:val="18"/>
          <w:szCs w:val="18"/>
        </w:rPr>
        <w:t xml:space="preserve">§8.6.a  </w:t>
      </w:r>
      <w:r>
        <w:rPr>
          <w:rFonts w:ascii="Garamond" w:cs="Garamond" w:eastAsia="Garamond" w:hAnsi="Garamond"/>
          <w:b/>
          <w:bCs/>
          <w:color w:val="1B2A4A"/>
          <w:sz w:val="22"/>
          <w:szCs w:val="22"/>
        </w:rPr>
        <w:t xml:space="preserve">Information-Only Mandate</w:t>
      </w:r>
    </w:p>
    <w:p>
      <w:pPr>
        <w:spacing w:after="120" w:before="0"/>
        <w:ind w:left="863"/>
        <w:jc w:val="both"/>
      </w:pPr>
      <w:r>
        <w:rPr>
          <w:rFonts w:ascii="Garamond" w:cs="Garamond" w:eastAsia="Garamond" w:hAnsi="Garamond"/>
          <w:color w:val="2a2520"/>
          <w:sz w:val="22"/>
          <w:szCs w:val="22"/>
        </w:rPr>
        <w:t xml:space="preserve">Inspectorates publish facts; they do not issue binding orders or legal determinations. A finding that a government actor has breached the constitution is a factual statement, not a judgment.</w:t>
      </w:r>
    </w:p>
    <w:p>
      <w:pPr>
        <w:spacing w:after="60" w:before="200"/>
        <w:ind w:left="863"/>
      </w:pPr>
      <w:r>
        <w:rPr>
          <w:rFonts w:ascii="Courier New" w:cs="Courier New" w:eastAsia="Courier New" w:hAnsi="Courier New"/>
          <w:b/>
          <w:bCs/>
          <w:color w:val="1B2A4A"/>
          <w:sz w:val="18"/>
          <w:szCs w:val="18"/>
        </w:rPr>
        <w:t xml:space="preserve">§8.6.b  </w:t>
      </w:r>
      <w:r>
        <w:rPr>
          <w:rFonts w:ascii="Garamond" w:cs="Garamond" w:eastAsia="Garamond" w:hAnsi="Garamond"/>
          <w:b/>
          <w:bCs/>
          <w:color w:val="1B2A4A"/>
          <w:sz w:val="22"/>
          <w:szCs w:val="22"/>
        </w:rPr>
        <w:t xml:space="preserve">NRS Publication Requirement</w:t>
      </w:r>
    </w:p>
    <w:p>
      <w:pPr>
        <w:spacing w:after="120" w:before="0"/>
        <w:ind w:left="863"/>
        <w:jc w:val="both"/>
      </w:pPr>
      <w:r>
        <w:rPr>
          <w:rFonts w:ascii="Garamond" w:cs="Garamond" w:eastAsia="Garamond" w:hAnsi="Garamond"/>
          <w:color w:val="2a2520"/>
          <w:sz w:val="22"/>
          <w:szCs w:val="22"/>
        </w:rPr>
        <w:t xml:space="preserve">Every Inspectorate finding, report, and discrepancy notice must be published to the NRS permanently and free of charge. No official may suppress, delay, classify, or alter an Inspectorate Report before publication. The publication requirement is absolute.</w:t>
      </w:r>
    </w:p>
    <w:p>
      <w:pPr>
        <w:spacing w:after="60" w:before="200"/>
        <w:ind w:left="863"/>
      </w:pPr>
      <w:r>
        <w:rPr>
          <w:rFonts w:ascii="Courier New" w:cs="Courier New" w:eastAsia="Courier New" w:hAnsi="Courier New"/>
          <w:b/>
          <w:bCs/>
          <w:color w:val="1B2A4A"/>
          <w:sz w:val="18"/>
          <w:szCs w:val="18"/>
        </w:rPr>
        <w:t xml:space="preserve">§8.6.c  </w:t>
      </w:r>
      <w:r>
        <w:rPr>
          <w:rFonts w:ascii="Garamond" w:cs="Garamond" w:eastAsia="Garamond" w:hAnsi="Garamond"/>
          <w:b/>
          <w:bCs/>
          <w:color w:val="1B2A4A"/>
          <w:sz w:val="22"/>
          <w:szCs w:val="22"/>
        </w:rPr>
        <w:t xml:space="preserve">Minority Reports</w:t>
      </w:r>
    </w:p>
    <w:p>
      <w:pPr>
        <w:spacing w:after="120" w:before="0"/>
        <w:ind w:left="863"/>
        <w:jc w:val="both"/>
      </w:pPr>
      <w:r>
        <w:rPr>
          <w:rFonts w:ascii="Garamond" w:cs="Garamond" w:eastAsia="Garamond" w:hAnsi="Garamond"/>
          <w:color w:val="2a2520"/>
          <w:sz w:val="22"/>
          <w:szCs w:val="22"/>
        </w:rPr>
        <w:t xml:space="preserve">Any staff member may publish a Minority Report directly to the NRS if they believe a finding has been improperly omitted or suppressed by the IG. Staff cannot be disciplined for filing a Minority Report — the protection is absolute. Creates an internal whistleblower mechanism within the Inspectorate's own accountability structure.</w:t>
      </w:r>
    </w:p>
    <w:p>
      <w:pPr>
        <w:spacing w:after="60" w:before="200"/>
        <w:ind w:left="863"/>
      </w:pPr>
      <w:r>
        <w:rPr>
          <w:rFonts w:ascii="Courier New" w:cs="Courier New" w:eastAsia="Courier New" w:hAnsi="Courier New"/>
          <w:b/>
          <w:bCs/>
          <w:color w:val="1B2A4A"/>
          <w:sz w:val="18"/>
          <w:szCs w:val="18"/>
        </w:rPr>
        <w:t xml:space="preserve">§8.6.d  </w:t>
      </w:r>
      <w:r>
        <w:rPr>
          <w:rFonts w:ascii="Garamond" w:cs="Garamond" w:eastAsia="Garamond" w:hAnsi="Garamond"/>
          <w:b/>
          <w:bCs/>
          <w:color w:val="1B2A4A"/>
          <w:sz w:val="22"/>
          <w:szCs w:val="22"/>
        </w:rPr>
        <w:t xml:space="preserve">Classification Exemption for Inspectorate Reports</w:t>
      </w:r>
    </w:p>
    <w:p>
      <w:pPr>
        <w:spacing w:after="120" w:before="0"/>
        <w:ind w:left="863"/>
        <w:jc w:val="both"/>
      </w:pPr>
      <w:r>
        <w:rPr>
          <w:rFonts w:ascii="Garamond" w:cs="Garamond" w:eastAsia="Garamond" w:hAnsi="Garamond"/>
          <w:color w:val="2a2520"/>
          <w:sz w:val="22"/>
          <w:szCs w:val="22"/>
        </w:rPr>
        <w:t xml:space="preserve">Inspectorate Reports are permanently exempt from classification. If an investigation involves classified material, the Report describes the issue's nature without reproducing classified content and flags it for the relevant executive. The classification exemption is one of the few absolute rules in the constitution — it admits no national security exception.</w:t>
      </w:r>
    </w:p>
    <w:p>
      <w:pPr>
        <w:spacing w:after="60" w:before="200"/>
        <w:ind w:left="863"/>
      </w:pPr>
      <w:r>
        <w:rPr>
          <w:rFonts w:ascii="Courier New" w:cs="Courier New" w:eastAsia="Courier New" w:hAnsi="Courier New"/>
          <w:b/>
          <w:bCs/>
          <w:color w:val="1B2A4A"/>
          <w:sz w:val="18"/>
          <w:szCs w:val="18"/>
        </w:rPr>
        <w:t xml:space="preserve">§8.6.e  </w:t>
      </w:r>
      <w:r>
        <w:rPr>
          <w:rFonts w:ascii="Garamond" w:cs="Garamond" w:eastAsia="Garamond" w:hAnsi="Garamond"/>
          <w:b/>
          <w:bCs/>
          <w:color w:val="1B2A4A"/>
          <w:sz w:val="22"/>
          <w:szCs w:val="22"/>
        </w:rPr>
        <w:t xml:space="preserve">Annual State of the Republic Report</w:t>
      </w:r>
    </w:p>
    <w:p>
      <w:pPr>
        <w:spacing w:after="120" w:before="0"/>
        <w:ind w:left="863"/>
        <w:jc w:val="both"/>
      </w:pPr>
      <w:r>
        <w:rPr>
          <w:rFonts w:ascii="Garamond" w:cs="Garamond" w:eastAsia="Garamond" w:hAnsi="Garamond"/>
          <w:color w:val="2a2520"/>
          <w:sz w:val="22"/>
          <w:szCs w:val="22"/>
        </w:rPr>
        <w:t xml:space="preserve">The three Inspectorates jointly publish an annual report on a constitutionally fixed date, regardless of whether any political actor requests it. Covers compliance rates, investigation summaries, constitutional strains, and a forward-looking risk register. No government actor may delay, suppress, or require advance review.</w:t>
      </w:r>
    </w:p>
    <w:p>
      <w:pPr>
        <w:spacing w:after="60" w:before="200"/>
        <w:ind w:left="863"/>
      </w:pPr>
      <w:r>
        <w:rPr>
          <w:rFonts w:ascii="Courier New" w:cs="Courier New" w:eastAsia="Courier New" w:hAnsi="Courier New"/>
          <w:b/>
          <w:bCs/>
          <w:color w:val="1B2A4A"/>
          <w:sz w:val="18"/>
          <w:szCs w:val="18"/>
        </w:rPr>
        <w:t xml:space="preserve">§8.6.f  </w:t>
      </w:r>
      <w:r>
        <w:rPr>
          <w:rFonts w:ascii="Garamond" w:cs="Garamond" w:eastAsia="Garamond" w:hAnsi="Garamond"/>
          <w:b/>
          <w:bCs/>
          <w:color w:val="1B2A4A"/>
          <w:sz w:val="22"/>
          <w:szCs w:val="22"/>
        </w:rPr>
        <w:t xml:space="preserve">Joint Investigation Authority</w:t>
      </w:r>
    </w:p>
    <w:p>
      <w:pPr>
        <w:spacing w:after="120" w:before="0"/>
        <w:ind w:left="863"/>
        <w:jc w:val="both"/>
      </w:pPr>
      <w:r>
        <w:rPr>
          <w:rFonts w:ascii="Garamond" w:cs="Garamond" w:eastAsia="Garamond" w:hAnsi="Garamond"/>
          <w:color w:val="2a2520"/>
          <w:sz w:val="22"/>
          <w:szCs w:val="22"/>
        </w:rPr>
        <w:t xml:space="preserve">Where a compliance question spans multiple Inspectorate mandates, the Inspectorates may conduct a joint investigation. Joint findings are published as a combined report. Neither IG may veto the other's contribution to a joint finding.</w:t>
      </w:r>
    </w:p>
    <w:p>
      <w:pPr>
        <w:spacing w:after="60" w:before="200"/>
        <w:ind w:left="863"/>
      </w:pPr>
      <w:r>
        <w:rPr>
          <w:rFonts w:ascii="Courier New" w:cs="Courier New" w:eastAsia="Courier New" w:hAnsi="Courier New"/>
          <w:b/>
          <w:bCs/>
          <w:color w:val="1B2A4A"/>
          <w:sz w:val="18"/>
          <w:szCs w:val="18"/>
        </w:rPr>
        <w:t xml:space="preserve">§8.6.g  </w:t>
      </w:r>
      <w:r>
        <w:rPr>
          <w:rFonts w:ascii="Garamond" w:cs="Garamond" w:eastAsia="Garamond" w:hAnsi="Garamond"/>
          <w:b/>
          <w:bCs/>
          <w:color w:val="1B2A4A"/>
          <w:sz w:val="22"/>
          <w:szCs w:val="22"/>
        </w:rPr>
        <w:t xml:space="preserve">Investigative Access</w:t>
      </w:r>
    </w:p>
    <w:p>
      <w:pPr>
        <w:spacing w:after="120" w:before="0"/>
        <w:ind w:left="863"/>
        <w:jc w:val="both"/>
      </w:pPr>
      <w:r>
        <w:rPr>
          <w:rFonts w:ascii="Garamond" w:cs="Garamond" w:eastAsia="Garamond" w:hAnsi="Garamond"/>
          <w:color w:val="2a2520"/>
          <w:sz w:val="22"/>
          <w:szCs w:val="22"/>
        </w:rPr>
        <w:t xml:space="preserve">All three Inspectorates have unrestricted access to records, personnel, facilities, and systems within their audit mandate. No official may obstruct, delay, or impede an Inspectorate investigation. Obstruction is a constitutional breach reportable by the affected Inspectorate to the NRS.</w:t>
      </w:r>
    </w:p>
    <w:p>
      <w:pPr>
        <w:spacing w:after="60" w:before="200"/>
        <w:ind w:left="431"/>
      </w:pPr>
      <w:r>
        <w:rPr>
          <w:rFonts w:ascii="Courier New" w:cs="Courier New" w:eastAsia="Courier New" w:hAnsi="Courier New"/>
          <w:b/>
          <w:bCs/>
          <w:color w:val="1B2A4A"/>
          <w:sz w:val="18"/>
          <w:szCs w:val="18"/>
        </w:rPr>
        <w:t xml:space="preserve">§8.7  </w:t>
      </w:r>
      <w:r>
        <w:rPr>
          <w:rFonts w:ascii="Garamond" w:cs="Garamond" w:eastAsia="Garamond" w:hAnsi="Garamond"/>
          <w:b/>
          <w:bCs/>
          <w:color w:val="1B2A4A"/>
          <w:sz w:val="22"/>
          <w:szCs w:val="22"/>
        </w:rPr>
        <w:t xml:space="preserve">Triggered Investigations</w:t>
      </w:r>
    </w:p>
    <w:p>
      <w:pPr>
        <w:spacing w:after="120" w:before="0"/>
        <w:ind w:left="431"/>
        <w:jc w:val="both"/>
      </w:pPr>
      <w:r>
        <w:rPr>
          <w:rFonts w:ascii="Garamond" w:cs="Garamond" w:eastAsia="Garamond" w:hAnsi="Garamond"/>
          <w:color w:val="2a2520"/>
          <w:sz w:val="22"/>
          <w:szCs w:val="22"/>
        </w:rPr>
        <w:t xml:space="preserve">EI Dereliction Investigation — the EI may investigate a constitutional officer for dereliction: failure to perform a constitutionally mandated function. Dereliction is distinct from breach — breach is doing something unconstitutional, dereliction is failing to do something constitutionally required. The EI publishes its dereliction findings to the NRS.</w:t>
      </w:r>
    </w:p>
    <w:p>
      <w:pPr>
        <w:spacing w:after="60" w:before="200"/>
        <w:ind w:left="863"/>
      </w:pPr>
      <w:r>
        <w:rPr>
          <w:rFonts w:ascii="Courier New" w:cs="Courier New" w:eastAsia="Courier New" w:hAnsi="Courier New"/>
          <w:b/>
          <w:bCs/>
          <w:color w:val="1B2A4A"/>
          <w:sz w:val="18"/>
          <w:szCs w:val="18"/>
        </w:rPr>
        <w:t xml:space="preserve">§8.7.a  </w:t>
      </w:r>
      <w:r>
        <w:rPr>
          <w:rFonts w:ascii="Garamond" w:cs="Garamond" w:eastAsia="Garamond" w:hAnsi="Garamond"/>
          <w:b/>
          <w:bCs/>
          <w:color w:val="1B2A4A"/>
          <w:sz w:val="22"/>
          <w:szCs w:val="22"/>
        </w:rPr>
        <w:t xml:space="preserve">Official Trigger</w:t>
      </w:r>
    </w:p>
    <w:p>
      <w:pPr>
        <w:spacing w:after="120" w:before="0"/>
        <w:ind w:left="863"/>
        <w:jc w:val="both"/>
      </w:pPr>
      <w:r>
        <w:rPr>
          <w:rFonts w:ascii="Garamond" w:cs="Garamond" w:eastAsia="Garamond" w:hAnsi="Garamond"/>
          <w:color w:val="2a2520"/>
          <w:sz w:val="22"/>
          <w:szCs w:val="22"/>
        </w:rPr>
        <w:t xml:space="preserve">Dereliction Standards — dereliction requires: (a) the constitutional function is clearly established; (b) the officer failed to perform it within the constitutionally required period; and (c) the failure was not caused by circumstances genuinely beyond the officer's control. Political disagreement with a constitutional requirement is not a defense.</w:t>
      </w:r>
    </w:p>
    <w:p>
      <w:pPr>
        <w:spacing w:after="60" w:before="200"/>
        <w:ind w:left="431"/>
      </w:pPr>
      <w:r>
        <w:rPr>
          <w:rFonts w:ascii="Courier New" w:cs="Courier New" w:eastAsia="Courier New" w:hAnsi="Courier New"/>
          <w:b/>
          <w:bCs/>
          <w:color w:val="1B2A4A"/>
          <w:sz w:val="18"/>
          <w:szCs w:val="18"/>
        </w:rPr>
        <w:t xml:space="preserve">§8.8  </w:t>
      </w:r>
      <w:r>
        <w:rPr>
          <w:rFonts w:ascii="Garamond" w:cs="Garamond" w:eastAsia="Garamond" w:hAnsi="Garamond"/>
          <w:b/>
          <w:bCs/>
          <w:color w:val="1B2A4A"/>
          <w:sz w:val="22"/>
          <w:szCs w:val="22"/>
        </w:rPr>
        <w:t xml:space="preserve">EI Annual Military Assessment</w:t>
      </w:r>
    </w:p>
    <w:p>
      <w:pPr>
        <w:spacing w:after="120" w:before="0"/>
        <w:ind w:left="431"/>
        <w:jc w:val="both"/>
      </w:pPr>
      <w:r>
        <w:rPr>
          <w:rFonts w:ascii="Garamond" w:cs="Garamond" w:eastAsia="Garamond" w:hAnsi="Garamond"/>
          <w:color w:val="2a2520"/>
          <w:sz w:val="22"/>
          <w:szCs w:val="22"/>
        </w:rPr>
        <w:t xml:space="preserve">A dedicated section within the EI's annual report covering: whether military operations in the prior year were authorized through the correct Tier; whether the §1.30.d Intelligence Firewall was maintained; whether PM fund certifications were obtained and observed; whether the 48-hour NRS publication requirement was met for all military orders.</w:t>
      </w:r>
    </w:p>
    <w:p>
      <w:pPr>
        <w:spacing w:after="60" w:before="200"/>
        <w:ind w:left="431"/>
      </w:pPr>
      <w:r>
        <w:rPr>
          <w:rFonts w:ascii="Courier New" w:cs="Courier New" w:eastAsia="Courier New" w:hAnsi="Courier New"/>
          <w:b/>
          <w:bCs/>
          <w:color w:val="1B2A4A"/>
          <w:sz w:val="18"/>
          <w:szCs w:val="18"/>
        </w:rPr>
        <w:t xml:space="preserve">§8.9  </w:t>
      </w:r>
      <w:r>
        <w:rPr>
          <w:rFonts w:ascii="Garamond" w:cs="Garamond" w:eastAsia="Garamond" w:hAnsi="Garamond"/>
          <w:b/>
          <w:bCs/>
          <w:color w:val="1B2A4A"/>
          <w:sz w:val="22"/>
          <w:szCs w:val="22"/>
        </w:rPr>
        <w:t xml:space="preserve">State Designee Panel</w:t>
      </w:r>
    </w:p>
    <w:p>
      <w:pPr>
        <w:spacing w:after="120" w:before="0"/>
        <w:ind w:left="431"/>
        <w:jc w:val="both"/>
      </w:pPr>
      <w:r>
        <w:rPr>
          <w:rFonts w:ascii="Garamond" w:cs="Garamond" w:eastAsia="Garamond" w:hAnsi="Garamond"/>
          <w:color w:val="2a2520"/>
          <w:sz w:val="22"/>
          <w:szCs w:val="22"/>
        </w:rPr>
        <w:t xml:space="preserve">The State Designee Panel is a verification body constituted per proceeding whose sole constitutional function is to assess, prior to any qualifying For-Cause removal vote by the Legislature, whether the stated grounds for removal are substantiated within the enumerated constitutional categories. The Panel publishes a binary finding — grounds substantiated or grounds unsubstantiated — and the Legislature may proceed to any removal vote regardless of the finding's direction. The Panel has no investigative authority and no institutional presence outside of active proceedings. It is a verification body, not a court.</w:t>
      </w:r>
    </w:p>
    <w:p>
      <w:pPr>
        <w:spacing w:after="60" w:before="200"/>
        <w:ind w:left="863"/>
      </w:pPr>
      <w:r>
        <w:rPr>
          <w:rFonts w:ascii="Courier New" w:cs="Courier New" w:eastAsia="Courier New" w:hAnsi="Courier New"/>
          <w:b/>
          <w:bCs/>
          <w:color w:val="1B2A4A"/>
          <w:sz w:val="18"/>
          <w:szCs w:val="18"/>
        </w:rPr>
        <w:t xml:space="preserve">§8.9.a  </w:t>
      </w:r>
      <w:r>
        <w:rPr>
          <w:rFonts w:ascii="Garamond" w:cs="Garamond" w:eastAsia="Garamond" w:hAnsi="Garamond"/>
          <w:b/>
          <w:bCs/>
          <w:color w:val="1B2A4A"/>
          <w:sz w:val="22"/>
          <w:szCs w:val="22"/>
        </w:rPr>
        <w:t xml:space="preserve">State Designee Pools</w:t>
      </w:r>
    </w:p>
    <w:p>
      <w:pPr>
        <w:spacing w:after="120" w:before="0"/>
        <w:ind w:left="863"/>
        <w:jc w:val="both"/>
      </w:pPr>
      <w:r>
        <w:rPr>
          <w:rFonts w:ascii="Garamond" w:cs="Garamond" w:eastAsia="Garamond" w:hAnsi="Garamond"/>
          <w:color w:val="2a2520"/>
          <w:sz w:val="22"/>
          <w:szCs w:val="22"/>
        </w:rPr>
        <w:t xml:space="preserve">Each State maintains a standing State Designee Pool. Any Republic citizen may be placed into a State's Pool through that State's own constitutional or statutory process, provided they meet the following eligibility requirements at the time of entry: (1) at least five continuous years of Republic citizenship; (2) no current federal elected or appointed office; (3) no federal elected or appointed office held within the three years prior to pool entry; (4) no pending federal criminal proceedings; (5) no current service in any Panel constituted under this Article. Pool membership is a public record maintained on the NRS by the LI. A member whose position is extinguished upon completing service in a proceeding may be re-added to the pool by their State in any subsequent calendar year within the annual addition cap.</w:t>
      </w:r>
    </w:p>
    <w:p>
      <w:pPr>
        <w:spacing w:after="60" w:before="200"/>
        <w:ind w:left="863"/>
      </w:pPr>
      <w:r>
        <w:rPr>
          <w:rFonts w:ascii="Courier New" w:cs="Courier New" w:eastAsia="Courier New" w:hAnsi="Courier New"/>
          <w:b/>
          <w:bCs/>
          <w:color w:val="1B2A4A"/>
          <w:sz w:val="18"/>
          <w:szCs w:val="18"/>
        </w:rPr>
        <w:t xml:space="preserve">§8.9.b  </w:t>
      </w:r>
      <w:r>
        <w:rPr>
          <w:rFonts w:ascii="Garamond" w:cs="Garamond" w:eastAsia="Garamond" w:hAnsi="Garamond"/>
          <w:b/>
          <w:bCs/>
          <w:color w:val="1B2A4A"/>
          <w:sz w:val="22"/>
          <w:szCs w:val="22"/>
        </w:rPr>
        <w:t xml:space="preserve">Designee Pool Annual Addition Cap</w:t>
      </w:r>
    </w:p>
    <w:p>
      <w:pPr>
        <w:spacing w:after="120" w:before="0"/>
        <w:ind w:left="863"/>
        <w:jc w:val="both"/>
      </w:pPr>
      <w:r>
        <w:rPr>
          <w:rFonts w:ascii="Garamond" w:cs="Garamond" w:eastAsia="Garamond" w:hAnsi="Garamond"/>
          <w:color w:val="2a2520"/>
          <w:sz w:val="22"/>
          <w:szCs w:val="22"/>
        </w:rPr>
        <w:t xml:space="preserve">Each State may add no more than five entrants to its Pool per calendar year. Unused addition slots do not carry forward; a year with fewer than five additions simply has fewer, and unused capacity is permanently lost. If a pool member voluntarily withdraws, becomes ineligible, or is drawn to serve in a proceeding, their position is extinguished and not replaced outside of the normal annual addition process and the mandatory designation provision of §8.9.b.i.</w:t>
      </w:r>
    </w:p>
    <w:p>
      <w:pPr>
        <w:spacing w:after="60" w:before="200"/>
        <w:ind w:left="1296"/>
      </w:pPr>
      <w:r>
        <w:rPr>
          <w:rFonts w:ascii="Courier New" w:cs="Courier New" w:eastAsia="Courier New" w:hAnsi="Courier New"/>
          <w:b/>
          <w:bCs/>
          <w:color w:val="1B2A4A"/>
          <w:sz w:val="18"/>
          <w:szCs w:val="18"/>
        </w:rPr>
        <w:t xml:space="preserve">§8.9.b.i  </w:t>
      </w:r>
      <w:r>
        <w:rPr>
          <w:rFonts w:ascii="Garamond" w:cs="Garamond" w:eastAsia="Garamond" w:hAnsi="Garamond"/>
          <w:b/>
          <w:bCs/>
          <w:color w:val="1B2A4A"/>
          <w:sz w:val="22"/>
          <w:szCs w:val="22"/>
        </w:rPr>
        <w:t xml:space="preserve">Mandatory State Designation</w:t>
      </w:r>
    </w:p>
    <w:p>
      <w:pPr>
        <w:spacing w:after="120" w:before="0"/>
        <w:ind w:left="1296"/>
        <w:jc w:val="both"/>
      </w:pPr>
      <w:r>
        <w:rPr>
          <w:rFonts w:ascii="Garamond" w:cs="Garamond" w:eastAsia="Garamond" w:hAnsi="Garamond"/>
          <w:color w:val="2a2520"/>
          <w:sz w:val="22"/>
          <w:szCs w:val="22"/>
        </w:rPr>
        <w:t xml:space="preserve">If the combined national pool contains fewer than thirty eligible members at the time any proceeding is activated, or if any State has made zero additions to its Pool for three or more consecutive calendar years and its Pool contains fewer than two eligible members, the JI issues a Mandatory Designation Notice to each State meeting either condition. Each notified State must designate one eligible person to its Pool within ten days of the notice. Designated persons must meet all eligibility requirements of §8.9.a; the mandatory designation process does not lower the eligibility standard. Mandatory designations are not subject to the annual addition cap of §8.9.b and do not consume a voluntary addition slot. Failure to make a mandatory designation within the required period is a constitutional compliance failure flagged by the LI in the annual State of the Republic Report and in a standalone NRS notice. The EI assumes mandatory designation oversight when an LI IG removal proceeding is the triggering event.</w:t>
      </w:r>
    </w:p>
    <w:p>
      <w:pPr>
        <w:spacing w:after="60" w:before="200"/>
        <w:ind w:left="863"/>
      </w:pPr>
      <w:r>
        <w:rPr>
          <w:rFonts w:ascii="Courier New" w:cs="Courier New" w:eastAsia="Courier New" w:hAnsi="Courier New"/>
          <w:b/>
          <w:bCs/>
          <w:color w:val="1B2A4A"/>
          <w:sz w:val="18"/>
          <w:szCs w:val="18"/>
        </w:rPr>
        <w:t xml:space="preserve">§8.9.c  </w:t>
      </w:r>
      <w:r>
        <w:rPr>
          <w:rFonts w:ascii="Garamond" w:cs="Garamond" w:eastAsia="Garamond" w:hAnsi="Garamond"/>
          <w:b/>
          <w:bCs/>
          <w:color w:val="1B2A4A"/>
          <w:sz w:val="22"/>
          <w:szCs w:val="22"/>
        </w:rPr>
        <w:t xml:space="preserve">Pool Monitoring</w:t>
      </w:r>
    </w:p>
    <w:p>
      <w:pPr>
        <w:spacing w:after="120" w:before="0"/>
        <w:ind w:left="863"/>
        <w:jc w:val="both"/>
      </w:pPr>
      <w:r>
        <w:rPr>
          <w:rFonts w:ascii="Garamond" w:cs="Garamond" w:eastAsia="Garamond" w:hAnsi="Garamond"/>
          <w:color w:val="2a2520"/>
          <w:sz w:val="22"/>
          <w:szCs w:val="22"/>
        </w:rPr>
        <w:t xml:space="preserve">The LI monitors each State's Pool and publishes an annual Pool Status Report to the NRS. If any State's Pool falls below two eligible entrants, the LI publishes a Pool Health Notice — advisory, not compulsory. If the combined national pool falls below twenty eligible members at the time any proceeding is activated, the LI must convene an emergency pool-health session with State governments and publish its findings to the NRS within 30 days. A State's failure to maintain a pool is not a constitutional violation but is flagged in the annual State of the Republic Report. Exception: when an LI IG removal proceeding is active, the EI assumes pool monitoring duties for the duration of that proceeding.</w:t>
      </w:r>
    </w:p>
    <w:p>
      <w:pPr>
        <w:spacing w:after="60" w:before="200"/>
        <w:ind w:left="863"/>
      </w:pPr>
      <w:r>
        <w:rPr>
          <w:rFonts w:ascii="Courier New" w:cs="Courier New" w:eastAsia="Courier New" w:hAnsi="Courier New"/>
          <w:b/>
          <w:bCs/>
          <w:color w:val="1B2A4A"/>
          <w:sz w:val="18"/>
          <w:szCs w:val="18"/>
        </w:rPr>
        <w:t xml:space="preserve">§8.9.d  </w:t>
      </w:r>
      <w:r>
        <w:rPr>
          <w:rFonts w:ascii="Garamond" w:cs="Garamond" w:eastAsia="Garamond" w:hAnsi="Garamond"/>
          <w:b/>
          <w:bCs/>
          <w:color w:val="1B2A4A"/>
          <w:sz w:val="22"/>
          <w:szCs w:val="22"/>
        </w:rPr>
        <w:t xml:space="preserve">Panel Constitution</w:t>
      </w:r>
    </w:p>
    <w:p>
      <w:pPr>
        <w:spacing w:after="120" w:before="0"/>
        <w:ind w:left="863"/>
        <w:jc w:val="both"/>
      </w:pPr>
      <w:r>
        <w:rPr>
          <w:rFonts w:ascii="Garamond" w:cs="Garamond" w:eastAsia="Garamond" w:hAnsi="Garamond"/>
          <w:color w:val="2a2520"/>
          <w:sz w:val="22"/>
          <w:szCs w:val="22"/>
        </w:rPr>
        <w:t xml:space="preserve">Upon activation of a qualifying proceeding under §8.9.f, the JI constitutes the State Designee Panel by public lottery within five days of activation. The JI draws five members by lot from the combined national eligible pool — all State pools aggregated — plus two alternates, in a single session certified jointly by all three Inspectorates. The session may be conducted remotely under parameters set by statute. The full draw is recorded to the NRS in real time. Drawn members must accept or decline service within 48 hours of notification; a member who declines is replaced by the first available alternate in the order drawn. If both alternates are exhausted before five members have accepted, the JI conducts a supplemental draw from the remaining eligible pool by the same procedure. The Panel is constituted for the duration of the proceeding and dissolves upon publication of the finding under §8.9.h.</w:t>
      </w:r>
    </w:p>
    <w:p>
      <w:pPr>
        <w:spacing w:after="60" w:before="200"/>
        <w:ind w:left="1296"/>
      </w:pPr>
      <w:r>
        <w:rPr>
          <w:rFonts w:ascii="Courier New" w:cs="Courier New" w:eastAsia="Courier New" w:hAnsi="Courier New"/>
          <w:b/>
          <w:bCs/>
          <w:color w:val="1B2A4A"/>
          <w:sz w:val="18"/>
          <w:szCs w:val="18"/>
        </w:rPr>
        <w:t xml:space="preserve">§8.9.d.i  </w:t>
      </w:r>
      <w:r>
        <w:rPr>
          <w:rFonts w:ascii="Garamond" w:cs="Garamond" w:eastAsia="Garamond" w:hAnsi="Garamond"/>
          <w:b/>
          <w:bCs/>
          <w:color w:val="1B2A4A"/>
          <w:sz w:val="22"/>
          <w:szCs w:val="22"/>
        </w:rPr>
        <w:t xml:space="preserve">Draw Challenge</w:t>
      </w:r>
    </w:p>
    <w:p>
      <w:pPr>
        <w:spacing w:after="120" w:before="0"/>
        <w:ind w:left="1296"/>
        <w:jc w:val="both"/>
      </w:pPr>
      <w:r>
        <w:rPr>
          <w:rFonts w:ascii="Garamond" w:cs="Garamond" w:eastAsia="Garamond" w:hAnsi="Garamond"/>
          <w:color w:val="2a2520"/>
          <w:sz w:val="22"/>
          <w:szCs w:val="22"/>
        </w:rPr>
        <w:t xml:space="preserve">The named officer subject to the proceeding, or the initiating body, may challenge a drawn member within 48 hours of NRS publication of the draw on grounds of a documented relationship or conflict of interest impairing impartiality. The JI rules on any challenge within 48 hours of filing. If sustained, the challenged member's seat is filled by the first available alternate in the order drawn; if no alternate remains, a supplemental draw is conducted. The 21-day review clock under §8.9.f is suspended during any pending challenge and resumes from the point of suspension upon JI ruling. No challenge may be filed solely on grounds of the member's State of origin, professional background, or prior pool membership.</w:t>
      </w:r>
    </w:p>
    <w:p>
      <w:pPr>
        <w:spacing w:after="60" w:before="200"/>
        <w:ind w:left="863"/>
      </w:pPr>
      <w:r>
        <w:rPr>
          <w:rFonts w:ascii="Courier New" w:cs="Courier New" w:eastAsia="Courier New" w:hAnsi="Courier New"/>
          <w:b/>
          <w:bCs/>
          <w:color w:val="1B2A4A"/>
          <w:sz w:val="18"/>
          <w:szCs w:val="18"/>
        </w:rPr>
        <w:t xml:space="preserve">§8.9.e  </w:t>
      </w:r>
      <w:r>
        <w:rPr>
          <w:rFonts w:ascii="Garamond" w:cs="Garamond" w:eastAsia="Garamond" w:hAnsi="Garamond"/>
          <w:b/>
          <w:bCs/>
          <w:color w:val="1B2A4A"/>
          <w:sz w:val="22"/>
          <w:szCs w:val="22"/>
        </w:rPr>
        <w:t xml:space="preserve">Ongoing Eligibility</w:t>
      </w:r>
    </w:p>
    <w:p>
      <w:pPr>
        <w:spacing w:after="120" w:before="0"/>
        <w:ind w:left="863"/>
        <w:jc w:val="both"/>
      </w:pPr>
      <w:r>
        <w:rPr>
          <w:rFonts w:ascii="Garamond" w:cs="Garamond" w:eastAsia="Garamond" w:hAnsi="Garamond"/>
          <w:color w:val="2a2520"/>
          <w:sz w:val="22"/>
          <w:szCs w:val="22"/>
        </w:rPr>
        <w:t xml:space="preserve">From the date a member accepts service through the date the Panel's finding is published, Panel members may not: assume any federal elected or appointed position; serve as retained legal counsel in any federal proceeding involving the Legislature, either executive, or any Inspectorate; or accept appointment to any State government executive position above the level of department director. Assumption of a disqualifying position extinguishes the seat; the first available alternate fills it in the order established at draw. A member may recuse themselves at any time; recusal extinguishes the seat without replacement beyond the available alternates.</w:t>
      </w:r>
    </w:p>
    <w:p>
      <w:pPr>
        <w:spacing w:after="60" w:before="200"/>
        <w:ind w:left="863"/>
      </w:pPr>
      <w:r>
        <w:rPr>
          <w:rFonts w:ascii="Courier New" w:cs="Courier New" w:eastAsia="Courier New" w:hAnsi="Courier New"/>
          <w:b/>
          <w:bCs/>
          <w:color w:val="1B2A4A"/>
          <w:sz w:val="18"/>
          <w:szCs w:val="18"/>
        </w:rPr>
        <w:t xml:space="preserve">§8.9.f  </w:t>
      </w:r>
      <w:r>
        <w:rPr>
          <w:rFonts w:ascii="Garamond" w:cs="Garamond" w:eastAsia="Garamond" w:hAnsi="Garamond"/>
          <w:b/>
          <w:bCs/>
          <w:color w:val="1B2A4A"/>
          <w:sz w:val="22"/>
          <w:szCs w:val="22"/>
        </w:rPr>
        <w:t xml:space="preserve">Activation and Meeting Parameters</w:t>
      </w:r>
    </w:p>
    <w:p>
      <w:pPr>
        <w:spacing w:after="120" w:before="0"/>
        <w:ind w:left="863"/>
        <w:jc w:val="both"/>
      </w:pPr>
      <w:r>
        <w:rPr>
          <w:rFonts w:ascii="Garamond" w:cs="Garamond" w:eastAsia="Garamond" w:hAnsi="Garamond"/>
          <w:color w:val="2a2520"/>
          <w:sz w:val="22"/>
          <w:szCs w:val="22"/>
        </w:rPr>
        <w:t xml:space="preserve">A qualifying proceeding is initiated when the initiating body transmits the stated grounds and supporting documentary record to the JI, triggering the draw under §8.9.d. The 21-day review clock begins from the date the Panel is fully constituted — five members having accepted service and any draw challenges under §8.9.d.i having been resolved. The Legislature sets by statute the parameters under which the Panel conducts its review, including: authorization of and requirements for remote participation; quorum and voting requirements; secure platform specifications; and any other operational parameters. The Legislature may not set parameters that prevent effective deliberation or impose undue burden on members. The Panel may request additional documentary submissions from the initiating body within the first seven days of the review period; this does not extend the 21-day deadline. No submission received after day seven is required to be considered.</w:t>
      </w:r>
    </w:p>
    <w:p>
      <w:pPr>
        <w:spacing w:after="60" w:before="200"/>
        <w:ind w:left="863"/>
      </w:pPr>
      <w:r>
        <w:rPr>
          <w:rFonts w:ascii="Courier New" w:cs="Courier New" w:eastAsia="Courier New" w:hAnsi="Courier New"/>
          <w:b/>
          <w:bCs/>
          <w:color w:val="1B2A4A"/>
          <w:sz w:val="18"/>
          <w:szCs w:val="18"/>
        </w:rPr>
        <w:t xml:space="preserve">§8.9.g  </w:t>
      </w:r>
      <w:r>
        <w:rPr>
          <w:rFonts w:ascii="Garamond" w:cs="Garamond" w:eastAsia="Garamond" w:hAnsi="Garamond"/>
          <w:b/>
          <w:bCs/>
          <w:color w:val="1B2A4A"/>
          <w:sz w:val="22"/>
          <w:szCs w:val="22"/>
        </w:rPr>
        <w:t xml:space="preserve">Scope of Review</w:t>
      </w:r>
    </w:p>
    <w:p>
      <w:pPr>
        <w:spacing w:after="120" w:before="0"/>
        <w:ind w:left="863"/>
        <w:jc w:val="both"/>
      </w:pPr>
      <w:r>
        <w:rPr>
          <w:rFonts w:ascii="Garamond" w:cs="Garamond" w:eastAsia="Garamond" w:hAnsi="Garamond"/>
          <w:color w:val="2a2520"/>
          <w:sz w:val="22"/>
          <w:szCs w:val="22"/>
        </w:rPr>
        <w:t xml:space="preserve">The Panel's review is categorical and bounded. The Panel determines only whether the stated grounds, as documented in the submitted record, constitute at least one of the enumerated constitutional categories for For-Cause removal applicable to the subject office. The Panel does not: independently investigate or gather evidence beyond the submitted record; assess the credibility of any witness or document; weigh competing factual accounts; evaluate whether removal is warranted as a policy matter; or issue any order, direction, or recommendation beyond the binary finding. The published finding states the conclusion and identifies which constitutional category or categories it finds present or absent in the submitted record.</w:t>
      </w:r>
    </w:p>
    <w:p>
      <w:pPr>
        <w:spacing w:after="60" w:before="200"/>
        <w:ind w:left="863"/>
      </w:pPr>
      <w:r>
        <w:rPr>
          <w:rFonts w:ascii="Courier New" w:cs="Courier New" w:eastAsia="Courier New" w:hAnsi="Courier New"/>
          <w:b/>
          <w:bCs/>
          <w:color w:val="1B2A4A"/>
          <w:sz w:val="18"/>
          <w:szCs w:val="18"/>
        </w:rPr>
        <w:t xml:space="preserve">§8.9.h  </w:t>
      </w:r>
      <w:r>
        <w:rPr>
          <w:rFonts w:ascii="Garamond" w:cs="Garamond" w:eastAsia="Garamond" w:hAnsi="Garamond"/>
          <w:b/>
          <w:bCs/>
          <w:color w:val="1B2A4A"/>
          <w:sz w:val="22"/>
          <w:szCs w:val="22"/>
        </w:rPr>
        <w:t xml:space="preserve">Effect of Finding</w:t>
      </w:r>
    </w:p>
    <w:p>
      <w:pPr>
        <w:spacing w:after="120" w:before="0"/>
        <w:ind w:left="863"/>
        <w:jc w:val="both"/>
      </w:pPr>
      <w:r>
        <w:rPr>
          <w:rFonts w:ascii="Garamond" w:cs="Garamond" w:eastAsia="Garamond" w:hAnsi="Garamond"/>
          <w:color w:val="2a2520"/>
          <w:sz w:val="22"/>
          <w:szCs w:val="22"/>
        </w:rPr>
        <w:t xml:space="preserve">A finding of grounds substantiated: constitutes the condition precedent that authorizes the Legislature to proceed to a For-Cause removal vote at the applicable threshold; triggers the duty-suspension provisions of §8.5.a or §16.2.a as applicable; and is published permanently to the NRS alongside any subsequent legislative vote. A finding of grounds unsubstantiated: does not bar the Legislature from proceeding to a removal vote; is published permanently to the NRS alongside any subsequent legislative vote; and constitutes no legal determination as to the truth or falsity of the stated grounds. All constitutional voting thresholds for removal remain in effect regardless of the Panel's finding.</w:t>
      </w:r>
    </w:p>
    <w:p>
      <w:pPr>
        <w:spacing w:after="60" w:before="200"/>
        <w:ind w:left="863"/>
      </w:pPr>
      <w:r>
        <w:rPr>
          <w:rFonts w:ascii="Courier New" w:cs="Courier New" w:eastAsia="Courier New" w:hAnsi="Courier New"/>
          <w:b/>
          <w:bCs/>
          <w:color w:val="1B2A4A"/>
          <w:sz w:val="18"/>
          <w:szCs w:val="18"/>
        </w:rPr>
        <w:t xml:space="preserve">§8.9.i  </w:t>
      </w:r>
      <w:r>
        <w:rPr>
          <w:rFonts w:ascii="Garamond" w:cs="Garamond" w:eastAsia="Garamond" w:hAnsi="Garamond"/>
          <w:b/>
          <w:bCs/>
          <w:color w:val="1B2A4A"/>
          <w:sz w:val="22"/>
          <w:szCs w:val="22"/>
        </w:rPr>
        <w:t xml:space="preserve">SC Review</w:t>
      </w:r>
    </w:p>
    <w:p>
      <w:pPr>
        <w:spacing w:after="120" w:before="0"/>
        <w:ind w:left="863"/>
        <w:jc w:val="both"/>
      </w:pPr>
      <w:r>
        <w:rPr>
          <w:rFonts w:ascii="Garamond" w:cs="Garamond" w:eastAsia="Garamond" w:hAnsi="Garamond"/>
          <w:color w:val="2a2520"/>
          <w:sz w:val="22"/>
          <w:szCs w:val="22"/>
        </w:rPr>
        <w:t xml:space="preserve">Any named officer subject to a Panel finding may petition the Supreme Court for review within 14 days of NRS publication. The Court reviews only whether the Panel correctly applied the constitutional categories to the submitted record — it does not review the substance of the underlying grounds, the adequacy of the documentary record, or any subsequent legislative vote. A petition does not automatically stay a duty-suspension triggered by a substantiated finding; the Court may grant a temporary stay on a showing of probable constitutional error in the Panel's categorical determination. The Court must rule within 21 days of the petition. If the Court finds the Panel's determination constitutionally erroneous, the proceeding returns to the Panel for a corrected determination; the Legislature may not vote until the corrected determination is published.</w:t>
      </w:r>
    </w:p>
    <w:p>
      <w:pPr>
        <w:spacing w:after="60" w:before="200"/>
        <w:ind w:left="863"/>
      </w:pPr>
      <w:r>
        <w:rPr>
          <w:rFonts w:ascii="Courier New" w:cs="Courier New" w:eastAsia="Courier New" w:hAnsi="Courier New"/>
          <w:b/>
          <w:bCs/>
          <w:color w:val="1B2A4A"/>
          <w:sz w:val="18"/>
          <w:szCs w:val="18"/>
        </w:rPr>
        <w:t xml:space="preserve">§8.9.j  </w:t>
      </w:r>
      <w:r>
        <w:rPr>
          <w:rFonts w:ascii="Garamond" w:cs="Garamond" w:eastAsia="Garamond" w:hAnsi="Garamond"/>
          <w:b/>
          <w:bCs/>
          <w:color w:val="1B2A4A"/>
          <w:sz w:val="22"/>
          <w:szCs w:val="22"/>
        </w:rPr>
        <w:t xml:space="preserve">Compensation</w:t>
      </w:r>
    </w:p>
    <w:p>
      <w:pPr>
        <w:spacing w:after="120" w:before="0"/>
        <w:ind w:left="863"/>
        <w:jc w:val="both"/>
      </w:pPr>
      <w:r>
        <w:rPr>
          <w:rFonts w:ascii="Garamond" w:cs="Garamond" w:eastAsia="Garamond" w:hAnsi="Garamond"/>
          <w:color w:val="2a2520"/>
          <w:sz w:val="22"/>
          <w:szCs w:val="22"/>
        </w:rPr>
        <w:t xml:space="preserve">Panel members receive no compensation for pool membership. Members receive service-day compensation for each day of active service during a constituted proceeding, from the date of acceptance through the date of finding publication. Rates and any remote service equivalencies are set by statute. The member's State pays the service-day compensation; the federal government reimburses each State for compensation paid to its drawn member. Service-day records and compensation amounts are published to the NRS alongside each Panel finding.</w:t>
      </w:r>
    </w:p>
    <w:p>
      <w:pPr>
        <w:spacing w:after="60" w:before="200"/>
        <w:ind w:left="431"/>
      </w:pPr>
      <w:r>
        <w:rPr>
          <w:rFonts w:ascii="Courier New" w:cs="Courier New" w:eastAsia="Courier New" w:hAnsi="Courier New"/>
          <w:b/>
          <w:bCs/>
          <w:color w:val="1B2A4A"/>
          <w:sz w:val="18"/>
          <w:szCs w:val="18"/>
        </w:rPr>
        <w:t xml:space="preserve">§8.10  </w:t>
      </w:r>
      <w:r>
        <w:rPr>
          <w:rFonts w:ascii="Garamond" w:cs="Garamond" w:eastAsia="Garamond" w:hAnsi="Garamond"/>
          <w:b/>
          <w:bCs/>
          <w:color w:val="1B2A4A"/>
          <w:sz w:val="22"/>
          <w:szCs w:val="22"/>
        </w:rPr>
        <w:t xml:space="preserve">Inspectorate Minimum Funding Guarantee</w:t>
      </w:r>
    </w:p>
    <w:p>
      <w:pPr>
        <w:spacing w:after="120" w:before="0"/>
        <w:ind w:left="431"/>
        <w:jc w:val="both"/>
      </w:pPr>
      <w:r>
        <w:rPr>
          <w:rFonts w:ascii="Garamond" w:cs="Garamond" w:eastAsia="Garamond" w:hAnsi="Garamond"/>
          <w:color w:val="2a2520"/>
          <w:sz w:val="22"/>
          <w:szCs w:val="22"/>
        </w:rPr>
        <w:t xml:space="preserve">The annual appropriation for each Inspectorate may not fall below the prior fiscal year's funding level without a 2/3 vote of both chambers simultaneously. This floor ensures that Inspectorate independence cannot be undermined through budgetary attrition by the branches they audit. The Monetary Authority certifies each Inspectorate's prior-year funding level annually and publishes the certified floor to the NRS before the Legislature begins its annual budget process.</w:t>
      </w:r>
    </w:p>
    <w:p>
      <w:pPr>
        <w:spacing w:after="60" w:before="200"/>
        <w:ind w:left="431"/>
      </w:pPr>
      <w:r>
        <w:rPr>
          <w:rFonts w:ascii="Courier New" w:cs="Courier New" w:eastAsia="Courier New" w:hAnsi="Courier New"/>
          <w:b/>
          <w:bCs/>
          <w:color w:val="1B2A4A"/>
          <w:sz w:val="18"/>
          <w:szCs w:val="18"/>
        </w:rPr>
        <w:t xml:space="preserve">§8.11  </w:t>
      </w:r>
      <w:r>
        <w:rPr>
          <w:rFonts w:ascii="Garamond" w:cs="Garamond" w:eastAsia="Garamond" w:hAnsi="Garamond"/>
          <w:b/>
          <w:bCs/>
          <w:color w:val="1B2A4A"/>
          <w:sz w:val="22"/>
          <w:szCs w:val="22"/>
        </w:rPr>
        <w:t xml:space="preserve">Eighth-Year Assessment</w:t>
      </w:r>
    </w:p>
    <w:p>
      <w:pPr>
        <w:spacing w:after="120" w:before="0"/>
        <w:ind w:left="431"/>
        <w:jc w:val="both"/>
      </w:pPr>
      <w:r>
        <w:rPr>
          <w:rFonts w:ascii="Garamond" w:cs="Garamond" w:eastAsia="Garamond" w:hAnsi="Garamond"/>
          <w:color w:val="2a2520"/>
          <w:sz w:val="22"/>
          <w:szCs w:val="22"/>
        </w:rPr>
        <w:t xml:space="preserve">Every eight years from the date of full constitutional operation, the three Inspectorates jointly assess the performance of the constitutional framework across all domains: enforcement of Article I rights; functioning of the Inspectorate reporting mechanism; compliance with fiscal obligations; completeness of military subordination; and comprehensiveness of NRS coverage. The assessment is published to the NRS and transmitted to both chambers of the Legislature. The Legislature must respond within 90 days with a published statement. Findings and responses form a permanent longitudinal record of constitutional performance.</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IX — The National Record System</w:t>
      </w:r>
    </w:p>
    <w:p>
      <w:pPr>
        <w:spacing w:after="120"/>
      </w:pPr>
    </w:p>
    <w:p>
      <w:pPr>
        <w:spacing w:after="60" w:before="200"/>
        <w:ind w:left="431"/>
      </w:pPr>
      <w:r>
        <w:rPr>
          <w:rFonts w:ascii="Courier New" w:cs="Courier New" w:eastAsia="Courier New" w:hAnsi="Courier New"/>
          <w:b/>
          <w:bCs/>
          <w:color w:val="1B2A4A"/>
          <w:sz w:val="18"/>
          <w:szCs w:val="18"/>
        </w:rPr>
        <w:t xml:space="preserve">§9.1  </w:t>
      </w:r>
      <w:r>
        <w:rPr>
          <w:rFonts w:ascii="Garamond" w:cs="Garamond" w:eastAsia="Garamond" w:hAnsi="Garamond"/>
          <w:b/>
          <w:bCs/>
          <w:color w:val="1B2A4A"/>
          <w:sz w:val="22"/>
          <w:szCs w:val="22"/>
        </w:rPr>
        <w:t xml:space="preserve">NRS Properties</w:t>
      </w:r>
    </w:p>
    <w:p>
      <w:pPr>
        <w:spacing w:after="120" w:before="0"/>
        <w:ind w:left="431"/>
        <w:jc w:val="both"/>
      </w:pPr>
      <w:r>
        <w:rPr>
          <w:rFonts w:ascii="Garamond" w:cs="Garamond" w:eastAsia="Garamond" w:hAnsi="Garamond"/>
          <w:color w:val="2a2520"/>
          <w:sz w:val="22"/>
          <w:szCs w:val="22"/>
        </w:rPr>
        <w:t xml:space="preserve">The National Record System — the constitutional backbone of transparency. Permanent, tamper-evident, freely accessible to every Inhabitant at no cost. Every government act required to be published must be on the NRS before it takes legal effect. The NRS is the definitive public record of the Republic — if something happened in government and it is not on the NRS, it is constitutionally suspect.</w:t>
      </w:r>
    </w:p>
    <w:p>
      <w:pPr>
        <w:spacing w:after="60" w:before="200"/>
        <w:ind w:left="863"/>
      </w:pPr>
      <w:r>
        <w:rPr>
          <w:rFonts w:ascii="Courier New" w:cs="Courier New" w:eastAsia="Courier New" w:hAnsi="Courier New"/>
          <w:b/>
          <w:bCs/>
          <w:color w:val="1B2A4A"/>
          <w:sz w:val="18"/>
          <w:szCs w:val="18"/>
        </w:rPr>
        <w:t xml:space="preserve">§9.1.a  </w:t>
      </w:r>
      <w:r>
        <w:rPr>
          <w:rFonts w:ascii="Garamond" w:cs="Garamond" w:eastAsia="Garamond" w:hAnsi="Garamond"/>
          <w:b/>
          <w:bCs/>
          <w:color w:val="1B2A4A"/>
          <w:sz w:val="22"/>
          <w:szCs w:val="22"/>
        </w:rPr>
        <w:t xml:space="preserve">Immutability</w:t>
      </w:r>
    </w:p>
    <w:p>
      <w:pPr>
        <w:spacing w:after="120" w:before="0"/>
        <w:ind w:left="863"/>
        <w:jc w:val="both"/>
      </w:pPr>
      <w:r>
        <w:rPr>
          <w:rFonts w:ascii="Garamond" w:cs="Garamond" w:eastAsia="Garamond" w:hAnsi="Garamond"/>
          <w:color w:val="2a2520"/>
          <w:sz w:val="22"/>
          <w:szCs w:val="22"/>
        </w:rPr>
        <w:t xml:space="preserve">NRS Permanence — records published to the NRS may not be deleted, altered, or reclassified after publication. Corrections are published as new entries alongside the original, not as replacements. The full history of any government act — including corrections, amendments, and subsequent interpretations — is permanently available.</w:t>
      </w:r>
    </w:p>
    <w:p>
      <w:pPr>
        <w:spacing w:after="60" w:before="200"/>
        <w:ind w:left="863"/>
      </w:pPr>
      <w:r>
        <w:rPr>
          <w:rFonts w:ascii="Courier New" w:cs="Courier New" w:eastAsia="Courier New" w:hAnsi="Courier New"/>
          <w:b/>
          <w:bCs/>
          <w:color w:val="1B2A4A"/>
          <w:sz w:val="18"/>
          <w:szCs w:val="18"/>
        </w:rPr>
        <w:t xml:space="preserve">§9.1.b  </w:t>
      </w:r>
      <w:r>
        <w:rPr>
          <w:rFonts w:ascii="Garamond" w:cs="Garamond" w:eastAsia="Garamond" w:hAnsi="Garamond"/>
          <w:b/>
          <w:bCs/>
          <w:color w:val="1B2A4A"/>
          <w:sz w:val="22"/>
          <w:szCs w:val="22"/>
        </w:rPr>
        <w:t xml:space="preserve">NRS Access</w:t>
      </w:r>
    </w:p>
    <w:p>
      <w:pPr>
        <w:spacing w:after="120" w:before="0"/>
        <w:ind w:left="863"/>
        <w:jc w:val="both"/>
      </w:pPr>
      <w:r>
        <w:rPr>
          <w:rFonts w:ascii="Garamond" w:cs="Garamond" w:eastAsia="Garamond" w:hAnsi="Garamond"/>
          <w:color w:val="2a2520"/>
          <w:sz w:val="22"/>
          <w:szCs w:val="22"/>
        </w:rPr>
        <w:t xml:space="preserve">Freely accessible to every Inhabitant at no cost. No registration, no fees, no identification required for read access. The Republic must provide free public access terminals in every State and Territory. The NRS is not a luxury service — it is the mechanism by which Inhabitants verify that government acts exist and what they say.</w:t>
      </w:r>
    </w:p>
    <w:p>
      <w:pPr>
        <w:spacing w:after="60" w:before="200"/>
        <w:ind w:left="863"/>
      </w:pPr>
      <w:r>
        <w:rPr>
          <w:rFonts w:ascii="Courier New" w:cs="Courier New" w:eastAsia="Courier New" w:hAnsi="Courier New"/>
          <w:b/>
          <w:bCs/>
          <w:color w:val="1B2A4A"/>
          <w:sz w:val="18"/>
          <w:szCs w:val="18"/>
        </w:rPr>
        <w:t xml:space="preserve">§9.1.c  </w:t>
      </w:r>
      <w:r>
        <w:rPr>
          <w:rFonts w:ascii="Garamond" w:cs="Garamond" w:eastAsia="Garamond" w:hAnsi="Garamond"/>
          <w:b/>
          <w:bCs/>
          <w:color w:val="1B2A4A"/>
          <w:sz w:val="22"/>
          <w:szCs w:val="22"/>
        </w:rPr>
        <w:t xml:space="preserve">Public Accessibility</w:t>
      </w:r>
    </w:p>
    <w:p>
      <w:pPr>
        <w:spacing w:after="120" w:before="0"/>
        <w:ind w:left="863"/>
        <w:jc w:val="both"/>
      </w:pPr>
      <w:r>
        <w:rPr>
          <w:rFonts w:ascii="Garamond" w:cs="Garamond" w:eastAsia="Garamond" w:hAnsi="Garamond"/>
          <w:color w:val="2a2520"/>
          <w:sz w:val="22"/>
          <w:szCs w:val="22"/>
        </w:rPr>
        <w:t xml:space="preserve">NRS Publication Requirements — every category of government act required to be published must be published within the time specified by the constitution or enabling statute. Acts not published within their required period are not void (except where the constitution specifically provides otherwise), but the publication failure is a constitutional breach reportable by the relevant Inspectorate.</w:t>
      </w:r>
    </w:p>
    <w:p>
      <w:pPr>
        <w:spacing w:after="60" w:before="200"/>
        <w:ind w:left="863"/>
      </w:pPr>
      <w:r>
        <w:rPr>
          <w:rFonts w:ascii="Courier New" w:cs="Courier New" w:eastAsia="Courier New" w:hAnsi="Courier New"/>
          <w:b/>
          <w:bCs/>
          <w:color w:val="1B2A4A"/>
          <w:sz w:val="18"/>
          <w:szCs w:val="18"/>
        </w:rPr>
        <w:t xml:space="preserve">§9.1.d  </w:t>
      </w:r>
      <w:r>
        <w:rPr>
          <w:rFonts w:ascii="Garamond" w:cs="Garamond" w:eastAsia="Garamond" w:hAnsi="Garamond"/>
          <w:b/>
          <w:bCs/>
          <w:color w:val="1B2A4A"/>
          <w:sz w:val="22"/>
          <w:szCs w:val="22"/>
        </w:rPr>
        <w:t xml:space="preserve">NRS Technical Standards</w:t>
      </w:r>
    </w:p>
    <w:p>
      <w:pPr>
        <w:spacing w:after="120" w:before="0"/>
        <w:ind w:left="863"/>
        <w:jc w:val="both"/>
      </w:pPr>
      <w:r>
        <w:rPr>
          <w:rFonts w:ascii="Garamond" w:cs="Garamond" w:eastAsia="Garamond" w:hAnsi="Garamond"/>
          <w:color w:val="2a2520"/>
          <w:sz w:val="22"/>
          <w:szCs w:val="22"/>
        </w:rPr>
        <w:t xml:space="preserve">The Legislature must by statute define the technical standards: format, metadata requirements, search and retrieval standards, and backup and redundancy requirements. The standards must ensure the NRS remains fully functional in the event of a localized technical failure. No single point of failure is constitutionally acceptable.</w:t>
      </w:r>
    </w:p>
    <w:p>
      <w:pPr>
        <w:spacing w:after="60" w:before="200"/>
        <w:ind w:left="863"/>
      </w:pPr>
      <w:r>
        <w:rPr>
          <w:rFonts w:ascii="Courier New" w:cs="Courier New" w:eastAsia="Courier New" w:hAnsi="Courier New"/>
          <w:b/>
          <w:bCs/>
          <w:color w:val="1B2A4A"/>
          <w:sz w:val="18"/>
          <w:szCs w:val="18"/>
        </w:rPr>
        <w:t xml:space="preserve">§9.1.e  </w:t>
      </w:r>
      <w:r>
        <w:rPr>
          <w:rFonts w:ascii="Garamond" w:cs="Garamond" w:eastAsia="Garamond" w:hAnsi="Garamond"/>
          <w:b/>
          <w:bCs/>
          <w:color w:val="1B2A4A"/>
          <w:sz w:val="22"/>
          <w:szCs w:val="22"/>
        </w:rPr>
        <w:t xml:space="preserve">NRS Integrity Audit</w:t>
      </w:r>
    </w:p>
    <w:p>
      <w:pPr>
        <w:spacing w:after="120" w:before="0"/>
        <w:ind w:left="863"/>
        <w:jc w:val="both"/>
      </w:pPr>
      <w:r>
        <w:rPr>
          <w:rFonts w:ascii="Garamond" w:cs="Garamond" w:eastAsia="Garamond" w:hAnsi="Garamond"/>
          <w:color w:val="2a2520"/>
          <w:sz w:val="22"/>
          <w:szCs w:val="22"/>
        </w:rPr>
        <w:t xml:space="preserve">The LI audits NRS integrity annually, verifying that: all required publications have been made; no records have been altered or deleted; search and retrieval functions are operating correctly; and access is genuinely free and unrestricted.</w:t>
      </w:r>
    </w:p>
    <w:p>
      <w:pPr>
        <w:spacing w:after="60" w:before="200"/>
        <w:ind w:left="863"/>
      </w:pPr>
      <w:r>
        <w:rPr>
          <w:rFonts w:ascii="Courier New" w:cs="Courier New" w:eastAsia="Courier New" w:hAnsi="Courier New"/>
          <w:b/>
          <w:bCs/>
          <w:color w:val="1B2A4A"/>
          <w:sz w:val="18"/>
          <w:szCs w:val="18"/>
        </w:rPr>
        <w:t xml:space="preserve">§9.1.f  </w:t>
      </w:r>
      <w:r>
        <w:rPr>
          <w:rFonts w:ascii="Garamond" w:cs="Garamond" w:eastAsia="Garamond" w:hAnsi="Garamond"/>
          <w:b/>
          <w:bCs/>
          <w:color w:val="1B2A4A"/>
          <w:sz w:val="22"/>
          <w:szCs w:val="22"/>
        </w:rPr>
        <w:t xml:space="preserve">Third-Party NRS Mirrors</w:t>
      </w:r>
    </w:p>
    <w:p>
      <w:pPr>
        <w:spacing w:after="120" w:before="0"/>
        <w:ind w:left="863"/>
        <w:jc w:val="both"/>
      </w:pPr>
      <w:r>
        <w:rPr>
          <w:rFonts w:ascii="Garamond" w:cs="Garamond" w:eastAsia="Garamond" w:hAnsi="Garamond"/>
          <w:color w:val="2a2520"/>
          <w:sz w:val="22"/>
          <w:szCs w:val="22"/>
        </w:rPr>
        <w:t xml:space="preserve">The Legislature may authorize non-governmental organizations to maintain verified mirrors of the NRS for redundancy. Mirrors must meet the same technical standards as the primary NRS. The primary NRS remains a government function — the authorization does not create a privatization pathway.</w:t>
      </w:r>
    </w:p>
    <w:p>
      <w:pPr>
        <w:spacing w:after="60" w:before="200"/>
        <w:ind w:left="863"/>
      </w:pPr>
      <w:r>
        <w:rPr>
          <w:rFonts w:ascii="Courier New" w:cs="Courier New" w:eastAsia="Courier New" w:hAnsi="Courier New"/>
          <w:b/>
          <w:bCs/>
          <w:color w:val="1B2A4A"/>
          <w:sz w:val="18"/>
          <w:szCs w:val="18"/>
        </w:rPr>
        <w:t xml:space="preserve">§9.1.g  </w:t>
      </w:r>
      <w:r>
        <w:rPr>
          <w:rFonts w:ascii="Garamond" w:cs="Garamond" w:eastAsia="Garamond" w:hAnsi="Garamond"/>
          <w:b/>
          <w:bCs/>
          <w:color w:val="1B2A4A"/>
          <w:sz w:val="22"/>
          <w:szCs w:val="22"/>
        </w:rPr>
        <w:t xml:space="preserve">NRS Classification Exemption</w:t>
      </w:r>
    </w:p>
    <w:p>
      <w:pPr>
        <w:spacing w:after="120" w:before="0"/>
        <w:ind w:left="863"/>
        <w:jc w:val="both"/>
      </w:pPr>
      <w:r>
        <w:rPr>
          <w:rFonts w:ascii="Garamond" w:cs="Garamond" w:eastAsia="Garamond" w:hAnsi="Garamond"/>
          <w:color w:val="2a2520"/>
          <w:sz w:val="22"/>
          <w:szCs w:val="22"/>
        </w:rPr>
        <w:t xml:space="preserve">Inspectorate Reports published to the NRS are permanently exempt from classification, consistent with §8.6.d. The NRS itself may not apply classification restrictions to Inspectorate Reports — the publication platform cannot override the content exemption.</w:t>
      </w:r>
    </w:p>
    <w:p>
      <w:pPr>
        <w:spacing w:after="60" w:before="200"/>
        <w:ind w:left="863"/>
      </w:pPr>
      <w:r>
        <w:rPr>
          <w:rFonts w:ascii="Courier New" w:cs="Courier New" w:eastAsia="Courier New" w:hAnsi="Courier New"/>
          <w:b/>
          <w:bCs/>
          <w:color w:val="1B2A4A"/>
          <w:sz w:val="18"/>
          <w:szCs w:val="18"/>
        </w:rPr>
        <w:t xml:space="preserve">§9.1.h  </w:t>
      </w:r>
      <w:r>
        <w:rPr>
          <w:rFonts w:ascii="Garamond" w:cs="Garamond" w:eastAsia="Garamond" w:hAnsi="Garamond"/>
          <w:b/>
          <w:bCs/>
          <w:color w:val="1B2A4A"/>
          <w:sz w:val="22"/>
          <w:szCs w:val="22"/>
        </w:rPr>
        <w:t xml:space="preserve">Cross-Jurisdictional Record Recognition</w:t>
      </w:r>
    </w:p>
    <w:p>
      <w:pPr>
        <w:spacing w:after="120" w:before="0"/>
        <w:ind w:left="863"/>
        <w:jc w:val="both"/>
      </w:pPr>
      <w:r>
        <w:rPr>
          <w:rFonts w:ascii="Garamond" w:cs="Garamond" w:eastAsia="Garamond" w:hAnsi="Garamond"/>
          <w:color w:val="2a2520"/>
          <w:sz w:val="22"/>
          <w:szCs w:val="22"/>
        </w:rPr>
        <w:t xml:space="preserve">Records published to the NRS by any jurisdiction within the Republic are recognized as authentic records by all other jurisdictions without re-certification, apostille, or additional verification. The NRS publication is the authentication. A court, agency, or official that refuses to recognize an NRS-published record on the grounds that it originated in another jurisdiction acts in constitutional defiance of this provision.</w:t>
      </w:r>
    </w:p>
    <w:p>
      <w:pPr>
        <w:spacing w:after="60" w:before="200"/>
        <w:ind w:left="431"/>
      </w:pPr>
      <w:r>
        <w:rPr>
          <w:rFonts w:ascii="Courier New" w:cs="Courier New" w:eastAsia="Courier New" w:hAnsi="Courier New"/>
          <w:b/>
          <w:bCs/>
          <w:color w:val="1B2A4A"/>
          <w:sz w:val="18"/>
          <w:szCs w:val="18"/>
        </w:rPr>
        <w:t xml:space="preserve">§9.2  </w:t>
      </w:r>
      <w:r>
        <w:rPr>
          <w:rFonts w:ascii="Garamond" w:cs="Garamond" w:eastAsia="Garamond" w:hAnsi="Garamond"/>
          <w:b/>
          <w:bCs/>
          <w:color w:val="1B2A4A"/>
          <w:sz w:val="22"/>
          <w:szCs w:val="22"/>
        </w:rPr>
        <w:t xml:space="preserve">Historical Records Preservation</w:t>
      </w:r>
    </w:p>
    <w:p>
      <w:pPr>
        <w:spacing w:after="120" w:before="0"/>
        <w:ind w:left="431"/>
        <w:jc w:val="both"/>
      </w:pPr>
      <w:r>
        <w:rPr>
          <w:rFonts w:ascii="Garamond" w:cs="Garamond" w:eastAsia="Garamond" w:hAnsi="Garamond"/>
          <w:color w:val="2a2520"/>
          <w:sz w:val="22"/>
          <w:szCs w:val="22"/>
        </w:rPr>
        <w:t xml:space="preserve">The NRS includes a permanent historical archive of all prior legislative acts, executive orders, judicial decisions, and government documents dating to the Republic's founding. The Legislature may not delete records from the historical archive — it may annotate them to indicate supersession or repeal, but the original records remain.</w:t>
      </w:r>
    </w:p>
    <w:p>
      <w:pPr>
        <w:spacing w:after="60" w:before="200"/>
        <w:ind w:left="431"/>
      </w:pPr>
      <w:r>
        <w:rPr>
          <w:rFonts w:ascii="Courier New" w:cs="Courier New" w:eastAsia="Courier New" w:hAnsi="Courier New"/>
          <w:b/>
          <w:bCs/>
          <w:color w:val="1B2A4A"/>
          <w:sz w:val="18"/>
          <w:szCs w:val="18"/>
        </w:rPr>
        <w:t xml:space="preserve">§9.3  </w:t>
      </w:r>
      <w:r>
        <w:rPr>
          <w:rFonts w:ascii="Garamond" w:cs="Garamond" w:eastAsia="Garamond" w:hAnsi="Garamond"/>
          <w:b/>
          <w:bCs/>
          <w:color w:val="1B2A4A"/>
          <w:sz w:val="22"/>
          <w:szCs w:val="22"/>
        </w:rPr>
        <w:t xml:space="preserve">RSA Technical Integrity</w:t>
      </w:r>
    </w:p>
    <w:p>
      <w:pPr>
        <w:spacing w:after="120" w:before="0"/>
        <w:ind w:left="431"/>
        <w:jc w:val="both"/>
      </w:pPr>
      <w:r>
        <w:rPr>
          <w:rFonts w:ascii="Garamond" w:cs="Garamond" w:eastAsia="Garamond" w:hAnsi="Garamond"/>
          <w:color w:val="2a2520"/>
          <w:sz w:val="22"/>
          <w:szCs w:val="22"/>
        </w:rPr>
        <w:t xml:space="preserve">The Republic System Administrator operates the NRS under the oversight of the Legislative Inspectorate. The RSA Director is a statutory independent officer under §3.7. A decennial Technical Integrity Commission reviews whether the NRS architecture continues to meet the constitutional requirements for distributed custody, cryptographic verification, and public accessibility under §9.1.</w:t>
      </w:r>
    </w:p>
    <w:p>
      <w:pPr>
        <w:spacing w:after="60" w:before="200"/>
        <w:ind w:left="863"/>
      </w:pPr>
      <w:r>
        <w:rPr>
          <w:rFonts w:ascii="Courier New" w:cs="Courier New" w:eastAsia="Courier New" w:hAnsi="Courier New"/>
          <w:b/>
          <w:bCs/>
          <w:color w:val="1B2A4A"/>
          <w:sz w:val="18"/>
          <w:szCs w:val="18"/>
        </w:rPr>
        <w:t xml:space="preserve">§9.3.a  </w:t>
      </w:r>
      <w:r>
        <w:rPr>
          <w:rFonts w:ascii="Garamond" w:cs="Garamond" w:eastAsia="Garamond" w:hAnsi="Garamond"/>
          <w:b/>
          <w:bCs/>
          <w:color w:val="1B2A4A"/>
          <w:sz w:val="22"/>
          <w:szCs w:val="22"/>
        </w:rPr>
        <w:t xml:space="preserve">RSA Technical Integrity Commission</w:t>
      </w:r>
    </w:p>
    <w:p>
      <w:pPr>
        <w:spacing w:after="120" w:before="0"/>
        <w:ind w:left="863"/>
        <w:jc w:val="both"/>
      </w:pPr>
      <w:r>
        <w:rPr>
          <w:rFonts w:ascii="Garamond" w:cs="Garamond" w:eastAsia="Garamond" w:hAnsi="Garamond"/>
          <w:color w:val="2a2520"/>
          <w:sz w:val="22"/>
          <w:szCs w:val="22"/>
        </w:rPr>
        <w:t xml:space="preserve">A decennial RSA Technical Integrity Commission reviews whether the NRS architecture continues to meet the constitutional requirements for distributed, tamper-evident operation established by §9.1. The Commission has publication authority only — it may not issue binding orders, impose penalties, or direct the RSA Director. Its findings are published jointly by all three Inspectorates to the NRS and cannot be withheld, suppressed, or altered after publication. Qualifications for pool eligibility, audit methodology and scope, working session parameters, compensation, and decennial trigger timing are established by statute.</w:t>
      </w:r>
    </w:p>
    <w:p>
      <w:pPr>
        <w:spacing w:after="60" w:before="200"/>
        <w:ind w:left="863"/>
      </w:pPr>
      <w:r>
        <w:rPr>
          <w:rFonts w:ascii="Courier New" w:cs="Courier New" w:eastAsia="Courier New" w:hAnsi="Courier New"/>
          <w:b/>
          <w:bCs/>
          <w:color w:val="1B2A4A"/>
          <w:sz w:val="18"/>
          <w:szCs w:val="18"/>
        </w:rPr>
        <w:t xml:space="preserve">§9.3.b  </w:t>
      </w:r>
      <w:r>
        <w:rPr>
          <w:rFonts w:ascii="Garamond" w:cs="Garamond" w:eastAsia="Garamond" w:hAnsi="Garamond"/>
          <w:b/>
          <w:bCs/>
          <w:color w:val="1B2A4A"/>
          <w:sz w:val="22"/>
          <w:szCs w:val="22"/>
        </w:rPr>
        <w:t xml:space="preserve">RSA Technical Pool — Constitution</w:t>
      </w:r>
    </w:p>
    <w:p>
      <w:pPr>
        <w:spacing w:after="120" w:before="0"/>
        <w:ind w:left="863"/>
        <w:jc w:val="both"/>
      </w:pPr>
      <w:r>
        <w:rPr>
          <w:rFonts w:ascii="Garamond" w:cs="Garamond" w:eastAsia="Garamond" w:hAnsi="Garamond"/>
          <w:color w:val="2a2520"/>
          <w:sz w:val="22"/>
          <w:szCs w:val="22"/>
        </w:rPr>
        <w:t xml:space="preserve">The President and PM each nominate one qualified person per year to the RSA Technical Pool. Each nominee must be confirmed by the Senate within 60 days of nomination by affirmative vote — no deemed-confirmed fallback applies to this position. Senate failure to vote within 60 days is a constitutional compliance failure published to the NRS by the LI. The pool is a public NRS record. Qualifications are defined by statute and certified by the JI at time of nomination. Over a ten-year cycle both executives may each nominate up to ten members, for a maximum pool of twenty confirmed members.</w:t>
      </w:r>
    </w:p>
    <w:p>
      <w:pPr>
        <w:spacing w:after="60" w:before="200"/>
        <w:ind w:left="863"/>
      </w:pPr>
      <w:r>
        <w:rPr>
          <w:rFonts w:ascii="Courier New" w:cs="Courier New" w:eastAsia="Courier New" w:hAnsi="Courier New"/>
          <w:b/>
          <w:bCs/>
          <w:color w:val="1B2A4A"/>
          <w:sz w:val="18"/>
          <w:szCs w:val="18"/>
        </w:rPr>
        <w:t xml:space="preserve">§9.3.c  </w:t>
      </w:r>
      <w:r>
        <w:rPr>
          <w:rFonts w:ascii="Garamond" w:cs="Garamond" w:eastAsia="Garamond" w:hAnsi="Garamond"/>
          <w:b/>
          <w:bCs/>
          <w:color w:val="1B2A4A"/>
          <w:sz w:val="22"/>
          <w:szCs w:val="22"/>
        </w:rPr>
        <w:t xml:space="preserve">Pool Reset</w:t>
      </w:r>
    </w:p>
    <w:p>
      <w:pPr>
        <w:spacing w:after="120" w:before="0"/>
        <w:ind w:left="863"/>
        <w:jc w:val="both"/>
      </w:pPr>
      <w:r>
        <w:rPr>
          <w:rFonts w:ascii="Garamond" w:cs="Garamond" w:eastAsia="Garamond" w:hAnsi="Garamond"/>
          <w:color w:val="2a2520"/>
          <w:sz w:val="22"/>
          <w:szCs w:val="22"/>
        </w:rPr>
        <w:t xml:space="preserve">The RSA Technical Pool resets after each decennial commission cycle. Previously confirmed pool members who did not serve on the commission may be re-nominated by either executive in the new cycle; fresh Senate confirmation under §9.3.b is required and no member carries forward automatically. Members who served on the commission are not eligible for re-nomination to the pool.</w:t>
      </w:r>
    </w:p>
    <w:p>
      <w:pPr>
        <w:spacing w:after="60" w:before="200"/>
        <w:ind w:left="863"/>
      </w:pPr>
      <w:r>
        <w:rPr>
          <w:rFonts w:ascii="Courier New" w:cs="Courier New" w:eastAsia="Courier New" w:hAnsi="Courier New"/>
          <w:b/>
          <w:bCs/>
          <w:color w:val="1B2A4A"/>
          <w:sz w:val="18"/>
          <w:szCs w:val="18"/>
        </w:rPr>
        <w:t xml:space="preserve">§9.3.d  </w:t>
      </w:r>
      <w:r>
        <w:rPr>
          <w:rFonts w:ascii="Garamond" w:cs="Garamond" w:eastAsia="Garamond" w:hAnsi="Garamond"/>
          <w:b/>
          <w:bCs/>
          <w:color w:val="1B2A4A"/>
          <w:sz w:val="22"/>
          <w:szCs w:val="22"/>
        </w:rPr>
        <w:t xml:space="preserve">Commission Draw</w:t>
      </w:r>
    </w:p>
    <w:p>
      <w:pPr>
        <w:spacing w:after="120" w:before="0"/>
        <w:ind w:left="863"/>
        <w:jc w:val="both"/>
      </w:pPr>
      <w:r>
        <w:rPr>
          <w:rFonts w:ascii="Garamond" w:cs="Garamond" w:eastAsia="Garamond" w:hAnsi="Garamond"/>
          <w:color w:val="2a2520"/>
          <w:sz w:val="22"/>
          <w:szCs w:val="22"/>
        </w:rPr>
        <w:t xml:space="preserve">When the decennial review is triggered, all three Inspectorates jointly constitute the Commission by public lottery, drawing five members at random from the eligible pool. The draw is conducted in a public session; all three Inspectorates certify the result and publish it to the NRS before the session closes. The remaining pool members constitute the standing replacement pool for the duration of the Commission's working period.</w:t>
      </w:r>
    </w:p>
    <w:p>
      <w:pPr>
        <w:spacing w:after="60" w:before="200"/>
        <w:ind w:left="863"/>
      </w:pPr>
      <w:r>
        <w:rPr>
          <w:rFonts w:ascii="Courier New" w:cs="Courier New" w:eastAsia="Courier New" w:hAnsi="Courier New"/>
          <w:b/>
          <w:bCs/>
          <w:color w:val="1B2A4A"/>
          <w:sz w:val="18"/>
          <w:szCs w:val="18"/>
        </w:rPr>
        <w:t xml:space="preserve">§9.3.e  </w:t>
      </w:r>
      <w:r>
        <w:rPr>
          <w:rFonts w:ascii="Garamond" w:cs="Garamond" w:eastAsia="Garamond" w:hAnsi="Garamond"/>
          <w:b/>
          <w:bCs/>
          <w:color w:val="1B2A4A"/>
          <w:sz w:val="22"/>
          <w:szCs w:val="22"/>
        </w:rPr>
        <w:t xml:space="preserve">Commission Replacement</w:t>
      </w:r>
    </w:p>
    <w:p>
      <w:pPr>
        <w:spacing w:after="120" w:before="0"/>
        <w:ind w:left="863"/>
        <w:jc w:val="both"/>
      </w:pPr>
      <w:r>
        <w:rPr>
          <w:rFonts w:ascii="Garamond" w:cs="Garamond" w:eastAsia="Garamond" w:hAnsi="Garamond"/>
          <w:color w:val="2a2520"/>
          <w:sz w:val="22"/>
          <w:szCs w:val="22"/>
        </w:rPr>
        <w:t xml:space="preserve">If a Commission member must be replaced during the review period — through ineligibility, withdrawal, or disqualification — all three Inspectorates draw one replacement at random from the remaining eligible pool members using the same public lottery procedure under §9.3.d. The replacement member holds the same authority and obligations as the member they replace.</w:t>
      </w:r>
    </w:p>
    <w:p>
      <w:pPr>
        <w:spacing w:after="60" w:before="200"/>
        <w:ind w:left="863"/>
      </w:pPr>
      <w:r>
        <w:rPr>
          <w:rFonts w:ascii="Courier New" w:cs="Courier New" w:eastAsia="Courier New" w:hAnsi="Courier New"/>
          <w:b/>
          <w:bCs/>
          <w:color w:val="1B2A4A"/>
          <w:sz w:val="18"/>
          <w:szCs w:val="18"/>
        </w:rPr>
        <w:t xml:space="preserve">§9.3.f  </w:t>
      </w:r>
      <w:r>
        <w:rPr>
          <w:rFonts w:ascii="Garamond" w:cs="Garamond" w:eastAsia="Garamond" w:hAnsi="Garamond"/>
          <w:b/>
          <w:bCs/>
          <w:color w:val="1B2A4A"/>
          <w:sz w:val="22"/>
          <w:szCs w:val="22"/>
        </w:rPr>
        <w:t xml:space="preserve">Tri-Inspectorate Oversight</w:t>
      </w:r>
    </w:p>
    <w:p>
      <w:pPr>
        <w:spacing w:after="120" w:before="0"/>
        <w:ind w:left="863"/>
        <w:jc w:val="both"/>
      </w:pPr>
      <w:r>
        <w:rPr>
          <w:rFonts w:ascii="Garamond" w:cs="Garamond" w:eastAsia="Garamond" w:hAnsi="Garamond"/>
          <w:color w:val="2a2520"/>
          <w:sz w:val="22"/>
          <w:szCs w:val="22"/>
        </w:rPr>
        <w:t xml:space="preserve">All three Inspectorates certify the draw under §9.3.d, oversee the Commission's working sessions to verify that the Commission has the access to records, systems, and personnel required by its statutory mandate, and review the Commission's findings before publication to confirm the findings reflect the Commission's genuine conclusions and have not been suppressed or modified. All three Inspectorate seals appear on findings published to the NRS. The RSA Director receives a copy of published findings simultaneously with NRS publication.</w:t>
      </w:r>
    </w:p>
    <w:p>
      <w:pPr>
        <w:spacing w:after="60" w:before="200"/>
        <w:ind w:left="863"/>
      </w:pPr>
      <w:r>
        <w:rPr>
          <w:rFonts w:ascii="Courier New" w:cs="Courier New" w:eastAsia="Courier New" w:hAnsi="Courier New"/>
          <w:b/>
          <w:bCs/>
          <w:color w:val="1B2A4A"/>
          <w:sz w:val="18"/>
          <w:szCs w:val="18"/>
        </w:rPr>
        <w:t xml:space="preserve">§9.3.g  </w:t>
      </w:r>
      <w:r>
        <w:rPr>
          <w:rFonts w:ascii="Garamond" w:cs="Garamond" w:eastAsia="Garamond" w:hAnsi="Garamond"/>
          <w:b/>
          <w:bCs/>
          <w:color w:val="1B2A4A"/>
          <w:sz w:val="22"/>
          <w:szCs w:val="22"/>
        </w:rPr>
        <w:t xml:space="preserve">Commission Findings</w:t>
      </w:r>
    </w:p>
    <w:p>
      <w:pPr>
        <w:spacing w:after="120" w:before="0"/>
        <w:ind w:left="863"/>
        <w:jc w:val="both"/>
      </w:pPr>
      <w:r>
        <w:rPr>
          <w:rFonts w:ascii="Garamond" w:cs="Garamond" w:eastAsia="Garamond" w:hAnsi="Garamond"/>
          <w:color w:val="2a2520"/>
          <w:sz w:val="22"/>
          <w:szCs w:val="22"/>
        </w:rPr>
        <w:t xml:space="preserve">Commission findings are published directly and jointly to the NRS by all three Inspectorates upon completion of the decennial review. Findings may include assessments of cryptographic integrity, node distribution adequacy, technical standard compliance, and any architectural features that approach or breach constitutional requirements. The Legislature, the RSA Director, and both executives receive findings simultaneously with NRS publication. The Commission's mandate ends upon publication; the Commission dissolves and the pool resets under §9.3.c.</w:t>
      </w:r>
    </w:p>
    <w:p>
      <w:pPr>
        <w:spacing w:after="60" w:before="200"/>
        <w:ind w:left="431"/>
      </w:pPr>
      <w:r>
        <w:rPr>
          <w:rFonts w:ascii="Courier New" w:cs="Courier New" w:eastAsia="Courier New" w:hAnsi="Courier New"/>
          <w:b/>
          <w:bCs/>
          <w:color w:val="1B2A4A"/>
          <w:sz w:val="18"/>
          <w:szCs w:val="18"/>
        </w:rPr>
        <w:t xml:space="preserve">§9.4  </w:t>
      </w:r>
      <w:r>
        <w:rPr>
          <w:rFonts w:ascii="Garamond" w:cs="Garamond" w:eastAsia="Garamond" w:hAnsi="Garamond"/>
          <w:b/>
          <w:bCs/>
          <w:color w:val="1B2A4A"/>
          <w:sz w:val="22"/>
          <w:szCs w:val="22"/>
        </w:rPr>
        <w:t xml:space="preserve">NRS and Electoral Integrity</w:t>
      </w:r>
    </w:p>
    <w:p>
      <w:pPr>
        <w:spacing w:after="120" w:before="0"/>
        <w:ind w:left="431"/>
        <w:jc w:val="both"/>
      </w:pPr>
      <w:r>
        <w:rPr>
          <w:rFonts w:ascii="Garamond" w:cs="Garamond" w:eastAsia="Garamond" w:hAnsi="Garamond"/>
          <w:color w:val="2a2520"/>
          <w:sz w:val="22"/>
          <w:szCs w:val="22"/>
        </w:rPr>
        <w:t xml:space="preserve">All electoral records (voter registration, ballot counts, audit trails, certification documents) must be published to the NRS within the timeframes specified by the Electoral Commission's constitutional mandate under Article XVI. No classification exception applies to electoral records.</w:t>
      </w:r>
    </w:p>
    <w:p>
      <w:pPr>
        <w:spacing w:after="60" w:before="200"/>
        <w:ind w:left="431"/>
      </w:pPr>
      <w:r>
        <w:rPr>
          <w:rFonts w:ascii="Courier New" w:cs="Courier New" w:eastAsia="Courier New" w:hAnsi="Courier New"/>
          <w:b/>
          <w:bCs/>
          <w:color w:val="1B2A4A"/>
          <w:sz w:val="18"/>
          <w:szCs w:val="18"/>
        </w:rPr>
        <w:t xml:space="preserve">§9.5  </w:t>
      </w:r>
      <w:r>
        <w:rPr>
          <w:rFonts w:ascii="Garamond" w:cs="Garamond" w:eastAsia="Garamond" w:hAnsi="Garamond"/>
          <w:b/>
          <w:bCs/>
          <w:color w:val="1B2A4A"/>
          <w:sz w:val="22"/>
          <w:szCs w:val="22"/>
        </w:rPr>
        <w:t xml:space="preserve">NRS Administration and Continuity</w:t>
      </w:r>
    </w:p>
    <w:p>
      <w:pPr>
        <w:spacing w:after="120" w:before="0"/>
        <w:ind w:left="431"/>
        <w:jc w:val="both"/>
      </w:pPr>
      <w:r>
        <w:rPr>
          <w:rFonts w:ascii="Garamond" w:cs="Garamond" w:eastAsia="Garamond" w:hAnsi="Garamond"/>
          <w:color w:val="2a2520"/>
          <w:sz w:val="22"/>
          <w:szCs w:val="22"/>
        </w:rPr>
        <w:t xml:space="preserve">The National Record System is administered by a technically independent office under LI oversight. This section governs staffing, continuity, citizen access, and the technical standards that maintain the NRS's constitutional integrity.</w:t>
      </w:r>
    </w:p>
    <w:p>
      <w:pPr>
        <w:spacing w:after="60" w:before="200"/>
        <w:ind w:left="863"/>
      </w:pPr>
      <w:r>
        <w:rPr>
          <w:rFonts w:ascii="Courier New" w:cs="Courier New" w:eastAsia="Courier New" w:hAnsi="Courier New"/>
          <w:b/>
          <w:bCs/>
          <w:color w:val="1B2A4A"/>
          <w:sz w:val="18"/>
          <w:szCs w:val="18"/>
        </w:rPr>
        <w:t xml:space="preserve">§9.5.a  </w:t>
      </w:r>
      <w:r>
        <w:rPr>
          <w:rFonts w:ascii="Garamond" w:cs="Garamond" w:eastAsia="Garamond" w:hAnsi="Garamond"/>
          <w:b/>
          <w:bCs/>
          <w:color w:val="1B2A4A"/>
          <w:sz w:val="22"/>
          <w:szCs w:val="22"/>
        </w:rPr>
        <w:t xml:space="preserve">NRS Staffing and Independence</w:t>
      </w:r>
    </w:p>
    <w:p>
      <w:pPr>
        <w:spacing w:after="120" w:before="0"/>
        <w:ind w:left="863"/>
        <w:jc w:val="both"/>
      </w:pPr>
      <w:r>
        <w:rPr>
          <w:rFonts w:ascii="Garamond" w:cs="Garamond" w:eastAsia="Garamond" w:hAnsi="Garamond"/>
          <w:color w:val="2a2520"/>
          <w:sz w:val="22"/>
          <w:szCs w:val="22"/>
        </w:rPr>
        <w:t xml:space="preserve">The NRS is administered by a non-partisan technical office reporting to the LI for oversight. NRS staff may not receive direction from either executive or the Legislature regarding the content, timing, or availability of any record. The NRS administrator is appointed by the LI following public application and qualification review.</w:t>
      </w:r>
    </w:p>
    <w:p>
      <w:pPr>
        <w:spacing w:after="60" w:before="200"/>
        <w:ind w:left="863"/>
      </w:pPr>
      <w:r>
        <w:rPr>
          <w:rFonts w:ascii="Courier New" w:cs="Courier New" w:eastAsia="Courier New" w:hAnsi="Courier New"/>
          <w:b/>
          <w:bCs/>
          <w:color w:val="1B2A4A"/>
          <w:sz w:val="18"/>
          <w:szCs w:val="18"/>
        </w:rPr>
        <w:t xml:space="preserve">§9.5.b  </w:t>
      </w:r>
      <w:r>
        <w:rPr>
          <w:rFonts w:ascii="Garamond" w:cs="Garamond" w:eastAsia="Garamond" w:hAnsi="Garamond"/>
          <w:b/>
          <w:bCs/>
          <w:color w:val="1B2A4A"/>
          <w:sz w:val="22"/>
          <w:szCs w:val="22"/>
        </w:rPr>
        <w:t xml:space="preserve">NRS Downtime Protocol</w:t>
      </w:r>
    </w:p>
    <w:p>
      <w:pPr>
        <w:spacing w:after="120" w:before="0"/>
        <w:ind w:left="863"/>
        <w:jc w:val="both"/>
      </w:pPr>
      <w:r>
        <w:rPr>
          <w:rFonts w:ascii="Garamond" w:cs="Garamond" w:eastAsia="Garamond" w:hAnsi="Garamond"/>
          <w:color w:val="2a2520"/>
          <w:sz w:val="22"/>
          <w:szCs w:val="22"/>
        </w:rPr>
        <w:t xml:space="preserve">In the event of a technical outage, government acts that would otherwise have required NRS publication to take effect are delayed until the outage is resolved. Emergency acts required for immediate public safety may be announced through alternative channels, but the NRS publication requirement applies from the moment the NRS is restored.</w:t>
      </w:r>
    </w:p>
    <w:p>
      <w:pPr>
        <w:spacing w:after="60" w:before="200"/>
        <w:ind w:left="863"/>
      </w:pPr>
      <w:r>
        <w:rPr>
          <w:rFonts w:ascii="Courier New" w:cs="Courier New" w:eastAsia="Courier New" w:hAnsi="Courier New"/>
          <w:b/>
          <w:bCs/>
          <w:color w:val="1B2A4A"/>
          <w:sz w:val="18"/>
          <w:szCs w:val="18"/>
        </w:rPr>
        <w:t xml:space="preserve">§9.5.c  </w:t>
      </w:r>
      <w:r>
        <w:rPr>
          <w:rFonts w:ascii="Garamond" w:cs="Garamond" w:eastAsia="Garamond" w:hAnsi="Garamond"/>
          <w:b/>
          <w:bCs/>
          <w:color w:val="1B2A4A"/>
          <w:sz w:val="22"/>
          <w:szCs w:val="22"/>
        </w:rPr>
        <w:t xml:space="preserve">Citizen NRS Submissions</w:t>
      </w:r>
    </w:p>
    <w:p>
      <w:pPr>
        <w:spacing w:after="120" w:before="0"/>
        <w:ind w:left="863"/>
        <w:jc w:val="both"/>
      </w:pPr>
      <w:r>
        <w:rPr>
          <w:rFonts w:ascii="Garamond" w:cs="Garamond" w:eastAsia="Garamond" w:hAnsi="Garamond"/>
          <w:color w:val="2a2520"/>
          <w:sz w:val="22"/>
          <w:szCs w:val="22"/>
        </w:rPr>
        <w:t xml:space="preserve">Citizens may submit corrections, context, or additional documentation relating to any NRS record via a public submission mechanism maintained by the LI. Submissions are published alongside the original record after accuracy review. Citizens cannot alter government records — only add publicly visible commentary.</w:t>
      </w:r>
    </w:p>
    <w:p>
      <w:pPr>
        <w:spacing w:after="60" w:before="200"/>
        <w:ind w:left="863"/>
      </w:pPr>
      <w:r>
        <w:rPr>
          <w:rFonts w:ascii="Courier New" w:cs="Courier New" w:eastAsia="Courier New" w:hAnsi="Courier New"/>
          <w:b/>
          <w:bCs/>
          <w:color w:val="1B2A4A"/>
          <w:sz w:val="18"/>
          <w:szCs w:val="18"/>
        </w:rPr>
        <w:t xml:space="preserve">§9.5.d  </w:t>
      </w:r>
      <w:r>
        <w:rPr>
          <w:rFonts w:ascii="Garamond" w:cs="Garamond" w:eastAsia="Garamond" w:hAnsi="Garamond"/>
          <w:b/>
          <w:bCs/>
          <w:color w:val="1B2A4A"/>
          <w:sz w:val="22"/>
          <w:szCs w:val="22"/>
        </w:rPr>
        <w:t xml:space="preserve">NRS Funding Floor</w:t>
      </w:r>
    </w:p>
    <w:p>
      <w:pPr>
        <w:spacing w:after="120" w:before="0"/>
        <w:ind w:left="863"/>
        <w:jc w:val="both"/>
      </w:pPr>
      <w:r>
        <w:rPr>
          <w:rFonts w:ascii="Garamond" w:cs="Garamond" w:eastAsia="Garamond" w:hAnsi="Garamond"/>
          <w:color w:val="2a2520"/>
          <w:sz w:val="22"/>
          <w:szCs w:val="22"/>
        </w:rPr>
        <w:t xml:space="preserve">Funding for the NRS may not be reduced below the prior year's level without a 2/3 vote of both chambers. The Legislature may increase NRS funding by simple majority. The funding floor protects the NRS from being defunded as a mechanism of opacity — reducing NRS functionality is treated as a constitutional concern.</w:t>
      </w:r>
    </w:p>
    <w:p>
      <w:pPr>
        <w:spacing w:after="60" w:before="200"/>
        <w:ind w:left="863"/>
      </w:pPr>
      <w:r>
        <w:rPr>
          <w:rFonts w:ascii="Courier New" w:cs="Courier New" w:eastAsia="Courier New" w:hAnsi="Courier New"/>
          <w:b/>
          <w:bCs/>
          <w:color w:val="1B2A4A"/>
          <w:sz w:val="18"/>
          <w:szCs w:val="18"/>
        </w:rPr>
        <w:t xml:space="preserve">§9.5.e  </w:t>
      </w:r>
      <w:r>
        <w:rPr>
          <w:rFonts w:ascii="Garamond" w:cs="Garamond" w:eastAsia="Garamond" w:hAnsi="Garamond"/>
          <w:b/>
          <w:bCs/>
          <w:color w:val="1B2A4A"/>
          <w:sz w:val="22"/>
          <w:szCs w:val="22"/>
        </w:rPr>
        <w:t xml:space="preserve">Improper Classification</w:t>
      </w:r>
    </w:p>
    <w:p>
      <w:pPr>
        <w:spacing w:after="120" w:before="0"/>
        <w:ind w:left="863"/>
        <w:jc w:val="both"/>
      </w:pPr>
      <w:r>
        <w:rPr>
          <w:rFonts w:ascii="Garamond" w:cs="Garamond" w:eastAsia="Garamond" w:hAnsi="Garamond"/>
          <w:color w:val="2a2520"/>
          <w:sz w:val="22"/>
          <w:szCs w:val="22"/>
        </w:rPr>
        <w:t xml:space="preserve">Classification used to conceal a constitutional violation, an illegal order, or embarrassing but non-sensitive information is constitutionally prohibited in itself. Improper classification is not an administrative error — it is a constitutional offense.</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 — The Basic Needs Floor</w:t>
      </w:r>
    </w:p>
    <w:p>
      <w:pPr>
        <w:spacing w:after="120"/>
      </w:pPr>
    </w:p>
    <w:p>
      <w:pPr>
        <w:spacing w:after="60" w:before="200"/>
        <w:ind w:left="431"/>
      </w:pPr>
      <w:r>
        <w:rPr>
          <w:rFonts w:ascii="Courier New" w:cs="Courier New" w:eastAsia="Courier New" w:hAnsi="Courier New"/>
          <w:b/>
          <w:bCs/>
          <w:color w:val="1B2A4A"/>
          <w:sz w:val="18"/>
          <w:szCs w:val="18"/>
        </w:rPr>
        <w:t xml:space="preserve">§10.1  </w:t>
      </w:r>
      <w:r>
        <w:rPr>
          <w:rFonts w:ascii="Garamond" w:cs="Garamond" w:eastAsia="Garamond" w:hAnsi="Garamond"/>
          <w:b/>
          <w:bCs/>
          <w:color w:val="1B2A4A"/>
          <w:sz w:val="22"/>
          <w:szCs w:val="22"/>
        </w:rPr>
        <w:t xml:space="preserve">The Basic Needs Floor</w:t>
      </w:r>
    </w:p>
    <w:p>
      <w:pPr>
        <w:spacing w:after="120" w:before="0"/>
        <w:ind w:left="431"/>
        <w:jc w:val="both"/>
      </w:pPr>
      <w:r>
        <w:rPr>
          <w:rFonts w:ascii="Garamond" w:cs="Garamond" w:eastAsia="Garamond" w:hAnsi="Garamond"/>
          <w:color w:val="2a2520"/>
          <w:sz w:val="22"/>
          <w:szCs w:val="22"/>
        </w:rPr>
        <w:t xml:space="preserve">A constitutional guarantee that the federal government will ensure every Inhabitant has access to a minimum basket of goods and services (food, housing, healthcare, education, and utilities) at a level adequate for a dignified life. Funded by a constitutionally reserved 5% of gross domestic revenue — this percentage cannot be reduced without a constitutional amendment.</w:t>
      </w:r>
    </w:p>
    <w:p>
      <w:pPr>
        <w:spacing w:after="60" w:before="200"/>
        <w:ind w:left="863"/>
      </w:pPr>
      <w:r>
        <w:rPr>
          <w:rFonts w:ascii="Courier New" w:cs="Courier New" w:eastAsia="Courier New" w:hAnsi="Courier New"/>
          <w:b/>
          <w:bCs/>
          <w:color w:val="1B2A4A"/>
          <w:sz w:val="18"/>
          <w:szCs w:val="18"/>
        </w:rPr>
        <w:t xml:space="preserve">§10.1.a  </w:t>
      </w:r>
      <w:r>
        <w:rPr>
          <w:rFonts w:ascii="Garamond" w:cs="Garamond" w:eastAsia="Garamond" w:hAnsi="Garamond"/>
          <w:b/>
          <w:bCs/>
          <w:color w:val="1B2A4A"/>
          <w:sz w:val="22"/>
          <w:szCs w:val="22"/>
        </w:rPr>
        <w:t xml:space="preserve">BNF Funding Reserve</w:t>
      </w:r>
    </w:p>
    <w:p>
      <w:pPr>
        <w:spacing w:after="120" w:before="0"/>
        <w:ind w:left="863"/>
        <w:jc w:val="both"/>
      </w:pPr>
      <w:r>
        <w:rPr>
          <w:rFonts w:ascii="Garamond" w:cs="Garamond" w:eastAsia="Garamond" w:hAnsi="Garamond"/>
          <w:color w:val="2a2520"/>
          <w:sz w:val="22"/>
          <w:szCs w:val="22"/>
        </w:rPr>
        <w:t xml:space="preserve">5% of gross domestic revenue is constitutionally reserved for the BNF and cannot be redirected. If the BNF requires more than 5%, the Legislature may appropriate additional funding by statute. The reserve is calculated annually by the MA and published to the NRS. During a Severe Revenue Contraction (§10.1.f), the National Endowment backstops the BNF.</w:t>
      </w:r>
    </w:p>
    <w:p>
      <w:pPr>
        <w:spacing w:after="60" w:before="200"/>
        <w:ind w:left="863"/>
      </w:pPr>
      <w:r>
        <w:rPr>
          <w:rFonts w:ascii="Courier New" w:cs="Courier New" w:eastAsia="Courier New" w:hAnsi="Courier New"/>
          <w:b/>
          <w:bCs/>
          <w:color w:val="1B2A4A"/>
          <w:sz w:val="18"/>
          <w:szCs w:val="18"/>
        </w:rPr>
        <w:t xml:space="preserve">§10.1.b  </w:t>
      </w:r>
      <w:r>
        <w:rPr>
          <w:rFonts w:ascii="Garamond" w:cs="Garamond" w:eastAsia="Garamond" w:hAnsi="Garamond"/>
          <w:b/>
          <w:bCs/>
          <w:color w:val="1B2A4A"/>
          <w:sz w:val="22"/>
          <w:szCs w:val="22"/>
        </w:rPr>
        <w:t xml:space="preserve">BNF Adequacy Standard</w:t>
      </w:r>
    </w:p>
    <w:p>
      <w:pPr>
        <w:spacing w:after="120" w:before="0"/>
        <w:ind w:left="863"/>
        <w:jc w:val="both"/>
      </w:pPr>
      <w:r>
        <w:rPr>
          <w:rFonts w:ascii="Garamond" w:cs="Garamond" w:eastAsia="Garamond" w:hAnsi="Garamond"/>
          <w:color w:val="2a2520"/>
          <w:sz w:val="22"/>
          <w:szCs w:val="22"/>
        </w:rPr>
        <w:t xml:space="preserve">The BNF basket must be sufficient to meet genuine basic needs — not merely nominally available. The PM's annual budget must fund the BNF at a level the MA certifies as adequate to deliver the constitutional basket to every eligible Inhabitant. A budget that funds the BNF below the MA's certified adequacy level is constitutionally deficient.</w:t>
      </w:r>
    </w:p>
    <w:p>
      <w:pPr>
        <w:spacing w:after="60" w:before="200"/>
        <w:ind w:left="863"/>
      </w:pPr>
      <w:r>
        <w:rPr>
          <w:rFonts w:ascii="Courier New" w:cs="Courier New" w:eastAsia="Courier New" w:hAnsi="Courier New"/>
          <w:b/>
          <w:bCs/>
          <w:color w:val="1B2A4A"/>
          <w:sz w:val="18"/>
          <w:szCs w:val="18"/>
        </w:rPr>
        <w:t xml:space="preserve">§10.1.c  </w:t>
      </w:r>
      <w:r>
        <w:rPr>
          <w:rFonts w:ascii="Garamond" w:cs="Garamond" w:eastAsia="Garamond" w:hAnsi="Garamond"/>
          <w:b/>
          <w:bCs/>
          <w:color w:val="1B2A4A"/>
          <w:sz w:val="22"/>
          <w:szCs w:val="22"/>
        </w:rPr>
        <w:t xml:space="preserve">BNF Coverage Scope</w:t>
      </w:r>
    </w:p>
    <w:p>
      <w:pPr>
        <w:spacing w:after="120" w:before="0"/>
        <w:ind w:left="863"/>
        <w:jc w:val="both"/>
      </w:pPr>
      <w:r>
        <w:rPr>
          <w:rFonts w:ascii="Garamond" w:cs="Garamond" w:eastAsia="Garamond" w:hAnsi="Garamond"/>
          <w:color w:val="2a2520"/>
          <w:sz w:val="22"/>
          <w:szCs w:val="22"/>
        </w:rPr>
        <w:t xml:space="preserve">The BNF must cover five categories: food security, housing, healthcare, education access, and digital connectivity. The Legislature defines the specific floor within each category by statute. No statute may reduce any category below the level of genuine adequacy — the constitutional floor is real sufficiency, not symbolic provision.</w:t>
      </w:r>
    </w:p>
    <w:p>
      <w:pPr>
        <w:spacing w:after="60" w:before="200"/>
        <w:ind w:left="863"/>
      </w:pPr>
      <w:r>
        <w:rPr>
          <w:rFonts w:ascii="Courier New" w:cs="Courier New" w:eastAsia="Courier New" w:hAnsi="Courier New"/>
          <w:b/>
          <w:bCs/>
          <w:color w:val="1B2A4A"/>
          <w:sz w:val="18"/>
          <w:szCs w:val="18"/>
        </w:rPr>
        <w:t xml:space="preserve">§10.1.d  </w:t>
      </w:r>
      <w:r>
        <w:rPr>
          <w:rFonts w:ascii="Garamond" w:cs="Garamond" w:eastAsia="Garamond" w:hAnsi="Garamond"/>
          <w:b/>
          <w:bCs/>
          <w:color w:val="1B2A4A"/>
          <w:sz w:val="22"/>
          <w:szCs w:val="22"/>
        </w:rPr>
        <w:t xml:space="preserve">BNF Non-Discrimination</w:t>
      </w:r>
    </w:p>
    <w:p>
      <w:pPr>
        <w:spacing w:after="120" w:before="0"/>
        <w:ind w:left="863"/>
        <w:jc w:val="both"/>
      </w:pPr>
      <w:r>
        <w:rPr>
          <w:rFonts w:ascii="Garamond" w:cs="Garamond" w:eastAsia="Garamond" w:hAnsi="Garamond"/>
          <w:color w:val="2a2520"/>
          <w:sz w:val="22"/>
          <w:szCs w:val="22"/>
        </w:rPr>
        <w:t xml:space="preserve">Access to BNF benefits may not be conditioned on citizenship, residency status, political affiliation, or any characteristic protected under §1.9. Every Inhabitant receives equal access. The Legislature may not create tiered access based on contribution history or prior benefit receipt — the BNF is a floor, not an insurance program.</w:t>
      </w:r>
    </w:p>
    <w:p>
      <w:pPr>
        <w:spacing w:after="60" w:before="200"/>
        <w:ind w:left="863"/>
      </w:pPr>
      <w:r>
        <w:rPr>
          <w:rFonts w:ascii="Courier New" w:cs="Courier New" w:eastAsia="Courier New" w:hAnsi="Courier New"/>
          <w:b/>
          <w:bCs/>
          <w:color w:val="1B2A4A"/>
          <w:sz w:val="18"/>
          <w:szCs w:val="18"/>
        </w:rPr>
        <w:t xml:space="preserve">§10.1.e  </w:t>
      </w:r>
      <w:r>
        <w:rPr>
          <w:rFonts w:ascii="Garamond" w:cs="Garamond" w:eastAsia="Garamond" w:hAnsi="Garamond"/>
          <w:b/>
          <w:bCs/>
          <w:color w:val="1B2A4A"/>
          <w:sz w:val="22"/>
          <w:szCs w:val="22"/>
        </w:rPr>
        <w:t xml:space="preserve">BNF Administration</w:t>
      </w:r>
    </w:p>
    <w:p>
      <w:pPr>
        <w:spacing w:after="120" w:before="0"/>
        <w:ind w:left="863"/>
        <w:jc w:val="both"/>
      </w:pPr>
      <w:r>
        <w:rPr>
          <w:rFonts w:ascii="Garamond" w:cs="Garamond" w:eastAsia="Garamond" w:hAnsi="Garamond"/>
          <w:color w:val="2a2520"/>
          <w:sz w:val="22"/>
          <w:szCs w:val="22"/>
        </w:rPr>
        <w:t xml:space="preserve">The PM administers the BNF through the Domestic Affairs Council. Administration must meet the constitutional adequacy standard — delivery mechanisms must actually reach Inhabitants, not merely be nominally available. The LI audits BNF delivery annually.</w:t>
      </w:r>
    </w:p>
    <w:p>
      <w:pPr>
        <w:spacing w:after="60" w:before="200"/>
        <w:ind w:left="863"/>
      </w:pPr>
      <w:r>
        <w:rPr>
          <w:rFonts w:ascii="Courier New" w:cs="Courier New" w:eastAsia="Courier New" w:hAnsi="Courier New"/>
          <w:b/>
          <w:bCs/>
          <w:color w:val="1B2A4A"/>
          <w:sz w:val="18"/>
          <w:szCs w:val="18"/>
        </w:rPr>
        <w:t xml:space="preserve">§10.1.f  </w:t>
      </w:r>
      <w:r>
        <w:rPr>
          <w:rFonts w:ascii="Garamond" w:cs="Garamond" w:eastAsia="Garamond" w:hAnsi="Garamond"/>
          <w:b/>
          <w:bCs/>
          <w:color w:val="1B2A4A"/>
          <w:sz w:val="22"/>
          <w:szCs w:val="22"/>
        </w:rPr>
        <w:t xml:space="preserve">Severe Revenue Contraction Protocol</w:t>
      </w:r>
    </w:p>
    <w:p>
      <w:pPr>
        <w:spacing w:after="120" w:before="0"/>
        <w:ind w:left="863"/>
        <w:jc w:val="both"/>
      </w:pPr>
      <w:r>
        <w:rPr>
          <w:rFonts w:ascii="Garamond" w:cs="Garamond" w:eastAsia="Garamond" w:hAnsi="Garamond"/>
          <w:color w:val="2a2520"/>
          <w:sz w:val="22"/>
          <w:szCs w:val="22"/>
        </w:rPr>
        <w:t xml:space="preserve">Where the MA certifies a severe revenue contraction, the BNF funding floor remains in effect and the National Endowment reserve fund supplements the 5% reserve to ensure BNF continuity. The MA certification triggers automatic activation of the Endowment — no legislative action required. The BNF is recession-proof.</w:t>
      </w:r>
    </w:p>
    <w:p>
      <w:pPr>
        <w:spacing w:after="60" w:before="200"/>
        <w:ind w:left="863"/>
      </w:pPr>
      <w:r>
        <w:rPr>
          <w:rFonts w:ascii="Courier New" w:cs="Courier New" w:eastAsia="Courier New" w:hAnsi="Courier New"/>
          <w:b/>
          <w:bCs/>
          <w:color w:val="1B2A4A"/>
          <w:sz w:val="18"/>
          <w:szCs w:val="18"/>
        </w:rPr>
        <w:t xml:space="preserve">§10.1.g  </w:t>
      </w:r>
      <w:r>
        <w:rPr>
          <w:rFonts w:ascii="Garamond" w:cs="Garamond" w:eastAsia="Garamond" w:hAnsi="Garamond"/>
          <w:b/>
          <w:bCs/>
          <w:color w:val="1B2A4A"/>
          <w:sz w:val="22"/>
          <w:szCs w:val="22"/>
        </w:rPr>
        <w:t xml:space="preserve">BNF and Emergency Declarations</w:t>
      </w:r>
    </w:p>
    <w:p>
      <w:pPr>
        <w:spacing w:after="120" w:before="0"/>
        <w:ind w:left="863"/>
        <w:jc w:val="both"/>
      </w:pPr>
      <w:r>
        <w:rPr>
          <w:rFonts w:ascii="Garamond" w:cs="Garamond" w:eastAsia="Garamond" w:hAnsi="Garamond"/>
          <w:color w:val="2a2520"/>
          <w:sz w:val="22"/>
          <w:szCs w:val="22"/>
        </w:rPr>
        <w:t xml:space="preserve">No domestic emergency may reduce, suspend, or otherwise diminish BNF benefits. The BNF is explicitly excluded from emergency powers. A PM who attempts to redirect BNF funds during an emergency has committed a constitutional breach reportable by the EI.</w:t>
      </w:r>
    </w:p>
    <w:p>
      <w:pPr>
        <w:spacing w:after="60" w:before="200"/>
        <w:ind w:left="431"/>
      </w:pPr>
      <w:r>
        <w:rPr>
          <w:rFonts w:ascii="Courier New" w:cs="Courier New" w:eastAsia="Courier New" w:hAnsi="Courier New"/>
          <w:b/>
          <w:bCs/>
          <w:color w:val="1B2A4A"/>
          <w:sz w:val="18"/>
          <w:szCs w:val="18"/>
        </w:rPr>
        <w:t xml:space="preserve">§10.2  </w:t>
      </w:r>
      <w:r>
        <w:rPr>
          <w:rFonts w:ascii="Garamond" w:cs="Garamond" w:eastAsia="Garamond" w:hAnsi="Garamond"/>
          <w:b/>
          <w:bCs/>
          <w:color w:val="1B2A4A"/>
          <w:sz w:val="22"/>
          <w:szCs w:val="22"/>
        </w:rPr>
        <w:t xml:space="preserve">Fiscal Accountability Framework</w:t>
      </w:r>
    </w:p>
    <w:p>
      <w:pPr>
        <w:spacing w:after="120" w:before="0"/>
        <w:ind w:left="431"/>
        <w:jc w:val="both"/>
      </w:pPr>
      <w:r>
        <w:rPr>
          <w:rFonts w:ascii="Garamond" w:cs="Garamond" w:eastAsia="Garamond" w:hAnsi="Garamond"/>
          <w:color w:val="2a2520"/>
          <w:sz w:val="22"/>
          <w:szCs w:val="22"/>
        </w:rPr>
        <w:t xml:space="preserve">The constitutional framework for government spending discipline. The Legislature must pass a balanced budget or publish a structural deficit justification. The fiscal framework is enforced by the Inspectorates — the LI audits legislative fiscal claims, the EI audits executive spending certifications.</w:t>
      </w:r>
    </w:p>
    <w:p>
      <w:pPr>
        <w:spacing w:after="60" w:before="200"/>
        <w:ind w:left="863"/>
      </w:pPr>
      <w:r>
        <w:rPr>
          <w:rFonts w:ascii="Courier New" w:cs="Courier New" w:eastAsia="Courier New" w:hAnsi="Courier New"/>
          <w:b/>
          <w:bCs/>
          <w:color w:val="1B2A4A"/>
          <w:sz w:val="18"/>
          <w:szCs w:val="18"/>
        </w:rPr>
        <w:t xml:space="preserve">§10.2.a  </w:t>
      </w:r>
      <w:r>
        <w:rPr>
          <w:rFonts w:ascii="Garamond" w:cs="Garamond" w:eastAsia="Garamond" w:hAnsi="Garamond"/>
          <w:b/>
          <w:bCs/>
          <w:color w:val="1B2A4A"/>
          <w:sz w:val="22"/>
          <w:szCs w:val="22"/>
        </w:rPr>
        <w:t xml:space="preserve">Deficit Threshold</w:t>
      </w:r>
    </w:p>
    <w:p>
      <w:pPr>
        <w:spacing w:after="120" w:before="0"/>
        <w:ind w:left="863"/>
        <w:jc w:val="both"/>
      </w:pPr>
      <w:r>
        <w:rPr>
          <w:rFonts w:ascii="Garamond" w:cs="Garamond" w:eastAsia="Garamond" w:hAnsi="Garamond"/>
          <w:color w:val="2a2520"/>
          <w:sz w:val="22"/>
          <w:szCs w:val="22"/>
        </w:rPr>
        <w:t xml:space="preserve">Structural deficits above the constitutional threshold (defined by the MA by statute) require a published justification from the Legislature and a published plan for return to balance. The MA reviews the justification for fiscal accuracy — not political adequacy.</w:t>
      </w:r>
    </w:p>
    <w:p>
      <w:pPr>
        <w:spacing w:after="60" w:before="200"/>
        <w:ind w:left="863"/>
      </w:pPr>
      <w:r>
        <w:rPr>
          <w:rFonts w:ascii="Courier New" w:cs="Courier New" w:eastAsia="Courier New" w:hAnsi="Courier New"/>
          <w:b/>
          <w:bCs/>
          <w:color w:val="1B2A4A"/>
          <w:sz w:val="18"/>
          <w:szCs w:val="18"/>
        </w:rPr>
        <w:t xml:space="preserve">§10.2.b  </w:t>
      </w:r>
      <w:r>
        <w:rPr>
          <w:rFonts w:ascii="Garamond" w:cs="Garamond" w:eastAsia="Garamond" w:hAnsi="Garamond"/>
          <w:b/>
          <w:bCs/>
          <w:color w:val="1B2A4A"/>
          <w:sz w:val="22"/>
          <w:szCs w:val="22"/>
        </w:rPr>
        <w:t xml:space="preserve">Legislative Pay Withholding</w:t>
      </w:r>
    </w:p>
    <w:p>
      <w:pPr>
        <w:spacing w:after="120" w:before="0"/>
        <w:ind w:left="863"/>
        <w:jc w:val="both"/>
      </w:pPr>
      <w:r>
        <w:rPr>
          <w:rFonts w:ascii="Garamond" w:cs="Garamond" w:eastAsia="Garamond" w:hAnsi="Garamond"/>
          <w:color w:val="2a2520"/>
          <w:sz w:val="22"/>
          <w:szCs w:val="22"/>
        </w:rPr>
        <w:t xml:space="preserve">Where discretionary government spending has been suspended due to budget failure, the pay of all members of both chambers is withheld from the same date on which government employee pay is withheld — no earlier and no later. Withheld legislator pay is held and released in full within 14 days of a budget being enacted. No member may receive advance pay, loans from government sources, or any substitute compensation from public funds during this period. The MA publishes a daily count of days withheld to the NRS, running concurrently with the equivalent count for government employees.</w:t>
      </w:r>
    </w:p>
    <w:p>
      <w:pPr>
        <w:spacing w:after="60" w:before="200"/>
        <w:ind w:left="863"/>
      </w:pPr>
      <w:r>
        <w:rPr>
          <w:rFonts w:ascii="Courier New" w:cs="Courier New" w:eastAsia="Courier New" w:hAnsi="Courier New"/>
          <w:b/>
          <w:bCs/>
          <w:color w:val="1B2A4A"/>
          <w:sz w:val="18"/>
          <w:szCs w:val="18"/>
        </w:rPr>
        <w:t xml:space="preserve">§10.2.c  </w:t>
      </w:r>
      <w:r>
        <w:rPr>
          <w:rFonts w:ascii="Garamond" w:cs="Garamond" w:eastAsia="Garamond" w:hAnsi="Garamond"/>
          <w:b/>
          <w:bCs/>
          <w:color w:val="1B2A4A"/>
          <w:sz w:val="22"/>
          <w:szCs w:val="22"/>
        </w:rPr>
        <w:t xml:space="preserve">National Endowment</w:t>
      </w:r>
    </w:p>
    <w:p>
      <w:pPr>
        <w:spacing w:after="120" w:before="0"/>
        <w:ind w:left="863"/>
        <w:jc w:val="both"/>
      </w:pPr>
      <w:r>
        <w:rPr>
          <w:rFonts w:ascii="Garamond" w:cs="Garamond" w:eastAsia="Garamond" w:hAnsi="Garamond"/>
          <w:color w:val="2a2520"/>
          <w:sz w:val="22"/>
          <w:szCs w:val="22"/>
        </w:rPr>
        <w:t xml:space="preserve">The Legislature must by statute establish a National Endowment reserve fund for BNF backstop purposes during severe revenue contractions. Funded by appropriation in years of fiscal surplus. If the Legislature fails to establish the Endowment within the constitutionally required period, the failure is a constitutional compliance breach.</w:t>
      </w:r>
    </w:p>
    <w:p>
      <w:pPr>
        <w:spacing w:after="60" w:before="200"/>
        <w:ind w:left="431"/>
      </w:pPr>
      <w:r>
        <w:rPr>
          <w:rFonts w:ascii="Courier New" w:cs="Courier New" w:eastAsia="Courier New" w:hAnsi="Courier New"/>
          <w:b/>
          <w:bCs/>
          <w:color w:val="1B2A4A"/>
          <w:sz w:val="18"/>
          <w:szCs w:val="18"/>
        </w:rPr>
        <w:t xml:space="preserve">§10.3  </w:t>
      </w:r>
      <w:r>
        <w:rPr>
          <w:rFonts w:ascii="Garamond" w:cs="Garamond" w:eastAsia="Garamond" w:hAnsi="Garamond"/>
          <w:b/>
          <w:bCs/>
          <w:color w:val="1B2A4A"/>
          <w:sz w:val="22"/>
          <w:szCs w:val="22"/>
        </w:rPr>
        <w:t xml:space="preserve">Public Campaign Financing</w:t>
      </w:r>
    </w:p>
    <w:p>
      <w:pPr>
        <w:spacing w:after="120" w:before="0"/>
        <w:ind w:left="431"/>
        <w:jc w:val="both"/>
      </w:pPr>
      <w:r>
        <w:rPr>
          <w:rFonts w:ascii="Garamond" w:cs="Garamond" w:eastAsia="Garamond" w:hAnsi="Garamond"/>
          <w:color w:val="2a2520"/>
          <w:sz w:val="22"/>
          <w:szCs w:val="22"/>
        </w:rPr>
        <w:t xml:space="preserve">The Legislature must by statute establish a public campaign financing system by the constitutional deadline. If it fails to do so, the failure triggers automatic referendum eligibility under §11.1 — citizens may petition for a national vote on whether to impose a public financing framework by citizen mandate.</w:t>
      </w:r>
    </w:p>
    <w:p>
      <w:pPr>
        <w:spacing w:after="60" w:before="200"/>
        <w:ind w:left="863"/>
      </w:pPr>
      <w:r>
        <w:rPr>
          <w:rFonts w:ascii="Courier New" w:cs="Courier New" w:eastAsia="Courier New" w:hAnsi="Courier New"/>
          <w:b/>
          <w:bCs/>
          <w:color w:val="1B2A4A"/>
          <w:sz w:val="18"/>
          <w:szCs w:val="18"/>
        </w:rPr>
        <w:t xml:space="preserve">§10.3.a  </w:t>
      </w:r>
      <w:r>
        <w:rPr>
          <w:rFonts w:ascii="Garamond" w:cs="Garamond" w:eastAsia="Garamond" w:hAnsi="Garamond"/>
          <w:b/>
          <w:bCs/>
          <w:color w:val="1B2A4A"/>
          <w:sz w:val="22"/>
          <w:szCs w:val="22"/>
        </w:rPr>
        <w:t xml:space="preserve">Campaign Financing Standards</w:t>
      </w:r>
    </w:p>
    <w:p>
      <w:pPr>
        <w:spacing w:after="120" w:before="0"/>
        <w:ind w:left="863"/>
        <w:jc w:val="both"/>
      </w:pPr>
      <w:r>
        <w:rPr>
          <w:rFonts w:ascii="Garamond" w:cs="Garamond" w:eastAsia="Garamond" w:hAnsi="Garamond"/>
          <w:color w:val="2a2520"/>
          <w:sz w:val="22"/>
          <w:szCs w:val="22"/>
        </w:rPr>
        <w:t xml:space="preserve">The public financing system must provide all registered candidates with equal access to public funds. No incumbent advantage in the allocation formula. Private contributions are capped at the de minimis threshold under §18.3. Administered by the Electoral Commission — not by either executive or the Legislature.</w:t>
      </w:r>
    </w:p>
    <w:p>
      <w:pPr>
        <w:spacing w:after="60" w:before="200"/>
        <w:ind w:left="863"/>
      </w:pPr>
      <w:r>
        <w:rPr>
          <w:rFonts w:ascii="Courier New" w:cs="Courier New" w:eastAsia="Courier New" w:hAnsi="Courier New"/>
          <w:b/>
          <w:bCs/>
          <w:color w:val="1B2A4A"/>
          <w:sz w:val="18"/>
          <w:szCs w:val="18"/>
        </w:rPr>
        <w:t xml:space="preserve">§10.3.b  </w:t>
      </w:r>
      <w:r>
        <w:rPr>
          <w:rFonts w:ascii="Garamond" w:cs="Garamond" w:eastAsia="Garamond" w:hAnsi="Garamond"/>
          <w:b/>
          <w:bCs/>
          <w:color w:val="1B2A4A"/>
          <w:sz w:val="22"/>
          <w:szCs w:val="22"/>
        </w:rPr>
        <w:t xml:space="preserve">Campaign Financing Enforcement</w:t>
      </w:r>
    </w:p>
    <w:p>
      <w:pPr>
        <w:spacing w:after="120" w:before="0"/>
        <w:ind w:left="863"/>
        <w:jc w:val="both"/>
      </w:pPr>
      <w:r>
        <w:rPr>
          <w:rFonts w:ascii="Garamond" w:cs="Garamond" w:eastAsia="Garamond" w:hAnsi="Garamond"/>
          <w:color w:val="2a2520"/>
          <w:sz w:val="22"/>
          <w:szCs w:val="22"/>
        </w:rPr>
        <w:t xml:space="preserve">Violations are a constitutional breach reportable by the EI. The EI audits all campaign finance records within 90 days of any election. Candidates who received impermissible contributions must refund them or have the amount treated as an undisclosed in-kind contribution.</w:t>
      </w:r>
    </w:p>
    <w:p>
      <w:pPr>
        <w:spacing w:after="60" w:before="200"/>
        <w:ind w:left="431"/>
      </w:pPr>
      <w:r>
        <w:rPr>
          <w:rFonts w:ascii="Courier New" w:cs="Courier New" w:eastAsia="Courier New" w:hAnsi="Courier New"/>
          <w:b/>
          <w:bCs/>
          <w:color w:val="1B2A4A"/>
          <w:sz w:val="18"/>
          <w:szCs w:val="18"/>
        </w:rPr>
        <w:t xml:space="preserve">§10.4  </w:t>
      </w:r>
      <w:r>
        <w:rPr>
          <w:rFonts w:ascii="Garamond" w:cs="Garamond" w:eastAsia="Garamond" w:hAnsi="Garamond"/>
          <w:b/>
          <w:bCs/>
          <w:color w:val="1B2A4A"/>
          <w:sz w:val="22"/>
          <w:szCs w:val="22"/>
        </w:rPr>
        <w:t xml:space="preserve">The Monetary Authority</w:t>
      </w:r>
    </w:p>
    <w:p>
      <w:pPr>
        <w:spacing w:after="120" w:before="0"/>
        <w:ind w:left="431"/>
        <w:jc w:val="both"/>
      </w:pPr>
      <w:r>
        <w:rPr>
          <w:rFonts w:ascii="Garamond" w:cs="Garamond" w:eastAsia="Garamond" w:hAnsi="Garamond"/>
          <w:color w:val="2a2520"/>
          <w:sz w:val="22"/>
          <w:szCs w:val="22"/>
        </w:rPr>
        <w:t xml:space="preserve">The Monetary Authority is the Republic's constitutionally independent central bank, governed by an elected Director and an appointed board. Its mandate hierarchy and independence from political direction are established in this section.</w:t>
      </w:r>
    </w:p>
    <w:p>
      <w:pPr>
        <w:spacing w:after="60" w:before="200"/>
        <w:ind w:left="863"/>
      </w:pPr>
      <w:r>
        <w:rPr>
          <w:rFonts w:ascii="Courier New" w:cs="Courier New" w:eastAsia="Courier New" w:hAnsi="Courier New"/>
          <w:b/>
          <w:bCs/>
          <w:color w:val="1B2A4A"/>
          <w:sz w:val="18"/>
          <w:szCs w:val="18"/>
        </w:rPr>
        <w:t xml:space="preserve">§10.4.a  </w:t>
      </w:r>
      <w:r>
        <w:rPr>
          <w:rFonts w:ascii="Garamond" w:cs="Garamond" w:eastAsia="Garamond" w:hAnsi="Garamond"/>
          <w:b/>
          <w:bCs/>
          <w:color w:val="1B2A4A"/>
          <w:sz w:val="22"/>
          <w:szCs w:val="22"/>
        </w:rPr>
        <w:t xml:space="preserve">MA Director — Elected Office</w:t>
      </w:r>
    </w:p>
    <w:p>
      <w:pPr>
        <w:spacing w:after="120" w:before="0"/>
        <w:ind w:left="863"/>
        <w:jc w:val="both"/>
      </w:pPr>
      <w:r>
        <w:rPr>
          <w:rFonts w:ascii="Garamond" w:cs="Garamond" w:eastAsia="Garamond" w:hAnsi="Garamond"/>
          <w:color w:val="2a2520"/>
          <w:sz w:val="22"/>
          <w:szCs w:val="22"/>
        </w:rPr>
        <w:t xml:space="preserve">MA Director Election and Board Composition — the MA is governed by an elected Director and a board of five appointed members. The Director is elected by national RCV on National Election Day to a single non-renewable 8-year term, staggered from the board member appointment cycle.</w:t>
      </w:r>
    </w:p>
    <w:p>
      <w:pPr>
        <w:spacing w:after="60" w:before="200"/>
        <w:ind w:left="863"/>
      </w:pPr>
      <w:r>
        <w:rPr>
          <w:rFonts w:ascii="Courier New" w:cs="Courier New" w:eastAsia="Courier New" w:hAnsi="Courier New"/>
          <w:b/>
          <w:bCs/>
          <w:color w:val="1B2A4A"/>
          <w:sz w:val="18"/>
          <w:szCs w:val="18"/>
        </w:rPr>
        <w:t xml:space="preserve">§10.4.b  </w:t>
      </w:r>
      <w:r>
        <w:rPr>
          <w:rFonts w:ascii="Garamond" w:cs="Garamond" w:eastAsia="Garamond" w:hAnsi="Garamond"/>
          <w:b/>
          <w:bCs/>
          <w:color w:val="1B2A4A"/>
          <w:sz w:val="22"/>
          <w:szCs w:val="22"/>
        </w:rPr>
        <w:t xml:space="preserve">MA Independence</w:t>
      </w:r>
    </w:p>
    <w:p>
      <w:pPr>
        <w:spacing w:after="120" w:before="0"/>
        <w:ind w:left="863"/>
        <w:jc w:val="both"/>
      </w:pPr>
      <w:r>
        <w:rPr>
          <w:rFonts w:ascii="Garamond" w:cs="Garamond" w:eastAsia="Garamond" w:hAnsi="Garamond"/>
          <w:color w:val="2a2520"/>
          <w:sz w:val="22"/>
          <w:szCs w:val="22"/>
        </w:rPr>
        <w:t xml:space="preserve">The MA's hierarchical mandate is constitutionally fixed: primary mandate is price stability and fiscal solvency; secondary mandate is regard for employment conditions and sustainable growth. The primary mandate takes precedence in all cases of conflict. This hierarchy cannot be altered by ordinary statute — only by constitutional amendment. No government may direct the MA to elevate its secondary mandate to co-equal status with the primary mandate.</w:t>
      </w:r>
    </w:p>
    <w:p>
      <w:pPr>
        <w:spacing w:after="60" w:before="200"/>
        <w:ind w:left="1296"/>
      </w:pPr>
      <w:r>
        <w:rPr>
          <w:rFonts w:ascii="Courier New" w:cs="Courier New" w:eastAsia="Courier New" w:hAnsi="Courier New"/>
          <w:b/>
          <w:bCs/>
          <w:color w:val="1B2A4A"/>
          <w:sz w:val="18"/>
          <w:szCs w:val="18"/>
        </w:rPr>
        <w:t xml:space="preserve">§10.4.b.i  </w:t>
      </w:r>
      <w:r>
        <w:rPr>
          <w:rFonts w:ascii="Garamond" w:cs="Garamond" w:eastAsia="Garamond" w:hAnsi="Garamond"/>
          <w:b/>
          <w:bCs/>
          <w:color w:val="1B2A4A"/>
          <w:sz w:val="22"/>
          <w:szCs w:val="22"/>
        </w:rPr>
        <w:t xml:space="preserve">Executive Non-Interference</w:t>
      </w:r>
    </w:p>
    <w:p>
      <w:pPr>
        <w:spacing w:after="120" w:before="0"/>
        <w:ind w:left="1296"/>
        <w:jc w:val="both"/>
      </w:pPr>
      <w:r>
        <w:rPr>
          <w:rFonts w:ascii="Garamond" w:cs="Garamond" w:eastAsia="Garamond" w:hAnsi="Garamond"/>
          <w:color w:val="2a2520"/>
          <w:sz w:val="22"/>
          <w:szCs w:val="22"/>
        </w:rPr>
        <w:t xml:space="preserve">The Monetary Authority's operational independence is explicitly protected against executive direction. Neither executive may direct, modify, delay, or suppress an MA operational capacity certification. An acting MA Director who issues certifications under executive direction or pressure is subject to the same constitutional accountability framework as a confirmed Director and is constitutionally prohibited from issuing such certifications under political direction.</w:t>
      </w:r>
    </w:p>
    <w:p>
      <w:pPr>
        <w:spacing w:after="60" w:before="200"/>
        <w:ind w:left="863"/>
      </w:pPr>
      <w:r>
        <w:rPr>
          <w:rFonts w:ascii="Courier New" w:cs="Courier New" w:eastAsia="Courier New" w:hAnsi="Courier New"/>
          <w:b/>
          <w:bCs/>
          <w:color w:val="1B2A4A"/>
          <w:sz w:val="18"/>
          <w:szCs w:val="18"/>
        </w:rPr>
        <w:t xml:space="preserve">§10.4.c  </w:t>
      </w:r>
      <w:r>
        <w:rPr>
          <w:rFonts w:ascii="Garamond" w:cs="Garamond" w:eastAsia="Garamond" w:hAnsi="Garamond"/>
          <w:b/>
          <w:bCs/>
          <w:color w:val="1B2A4A"/>
          <w:sz w:val="22"/>
          <w:szCs w:val="22"/>
        </w:rPr>
        <w:t xml:space="preserve">Transparency</w:t>
      </w:r>
    </w:p>
    <w:p>
      <w:pPr>
        <w:spacing w:after="120" w:before="0"/>
        <w:ind w:left="863"/>
        <w:jc w:val="both"/>
      </w:pPr>
      <w:r>
        <w:rPr>
          <w:rFonts w:ascii="Garamond" w:cs="Garamond" w:eastAsia="Garamond" w:hAnsi="Garamond"/>
          <w:color w:val="2a2520"/>
          <w:sz w:val="22"/>
          <w:szCs w:val="22"/>
        </w:rPr>
        <w:t xml:space="preserve">All MA determinations, rate decisions, board votes, dissents, and mandate analyses must be published to the NRS within 48 hours of the board meeting. Board Member dissents are published alongside the majority determination.</w:t>
      </w:r>
    </w:p>
    <w:p>
      <w:pPr>
        <w:spacing w:after="60" w:before="200"/>
        <w:ind w:left="863"/>
      </w:pPr>
      <w:r>
        <w:rPr>
          <w:rFonts w:ascii="Courier New" w:cs="Courier New" w:eastAsia="Courier New" w:hAnsi="Courier New"/>
          <w:b/>
          <w:bCs/>
          <w:color w:val="1B2A4A"/>
          <w:sz w:val="18"/>
          <w:szCs w:val="18"/>
        </w:rPr>
        <w:t xml:space="preserve">§10.4.d  </w:t>
      </w:r>
      <w:r>
        <w:rPr>
          <w:rFonts w:ascii="Garamond" w:cs="Garamond" w:eastAsia="Garamond" w:hAnsi="Garamond"/>
          <w:b/>
          <w:bCs/>
          <w:color w:val="1B2A4A"/>
          <w:sz w:val="22"/>
          <w:szCs w:val="22"/>
        </w:rPr>
        <w:t xml:space="preserve">Methodology Integrity</w:t>
      </w:r>
    </w:p>
    <w:p>
      <w:pPr>
        <w:spacing w:after="120" w:before="0"/>
        <w:ind w:left="863"/>
        <w:jc w:val="both"/>
      </w:pPr>
      <w:r>
        <w:rPr>
          <w:rFonts w:ascii="Garamond" w:cs="Garamond" w:eastAsia="Garamond" w:hAnsi="Garamond"/>
          <w:color w:val="2a2520"/>
          <w:sz w:val="22"/>
          <w:szCs w:val="22"/>
        </w:rPr>
        <w:t xml:space="preserve">The MA's calculation methodologies must be published and publicly available. The MA may not change its published methodology without 90 days' notice and a published explanation. Covert methodology changes — changing how the numbers are calculated without telling anyone — are a constitutional breach.</w:t>
      </w:r>
    </w:p>
    <w:p>
      <w:pPr>
        <w:spacing w:after="60" w:before="200"/>
        <w:ind w:left="863"/>
      </w:pPr>
      <w:r>
        <w:rPr>
          <w:rFonts w:ascii="Courier New" w:cs="Courier New" w:eastAsia="Courier New" w:hAnsi="Courier New"/>
          <w:b/>
          <w:bCs/>
          <w:color w:val="1B2A4A"/>
          <w:sz w:val="18"/>
          <w:szCs w:val="18"/>
        </w:rPr>
        <w:t xml:space="preserve">§10.4.e  </w:t>
      </w:r>
      <w:r>
        <w:rPr>
          <w:rFonts w:ascii="Garamond" w:cs="Garamond" w:eastAsia="Garamond" w:hAnsi="Garamond"/>
          <w:b/>
          <w:bCs/>
          <w:color w:val="1B2A4A"/>
          <w:sz w:val="22"/>
          <w:szCs w:val="22"/>
        </w:rPr>
        <w:t xml:space="preserve">Uncertifiable Inherited Fiscal Position</w:t>
      </w:r>
    </w:p>
    <w:p>
      <w:pPr>
        <w:spacing w:after="120" w:before="0"/>
        <w:ind w:left="863"/>
        <w:jc w:val="both"/>
      </w:pPr>
      <w:r>
        <w:rPr>
          <w:rFonts w:ascii="Garamond" w:cs="Garamond" w:eastAsia="Garamond" w:hAnsi="Garamond"/>
          <w:color w:val="2a2520"/>
          <w:sz w:val="22"/>
          <w:szCs w:val="22"/>
        </w:rPr>
        <w:t xml:space="preserve">Where the MA cannot certify the incoming government's fiscal position because the inherited data is too incomplete or unreliable, the MA publishes a qualified certification explaining the limitations. The Legislature must respond within 30 days with a plan to establish reliable fiscal data.</w:t>
      </w:r>
    </w:p>
    <w:p>
      <w:pPr>
        <w:spacing w:after="60" w:before="200"/>
        <w:ind w:left="863"/>
      </w:pPr>
      <w:r>
        <w:rPr>
          <w:rFonts w:ascii="Courier New" w:cs="Courier New" w:eastAsia="Courier New" w:hAnsi="Courier New"/>
          <w:b/>
          <w:bCs/>
          <w:color w:val="1B2A4A"/>
          <w:sz w:val="18"/>
          <w:szCs w:val="18"/>
        </w:rPr>
        <w:t xml:space="preserve">§10.4.f  </w:t>
      </w:r>
      <w:r>
        <w:rPr>
          <w:rFonts w:ascii="Garamond" w:cs="Garamond" w:eastAsia="Garamond" w:hAnsi="Garamond"/>
          <w:b/>
          <w:bCs/>
          <w:color w:val="1B2A4A"/>
          <w:sz w:val="22"/>
          <w:szCs w:val="22"/>
        </w:rPr>
        <w:t xml:space="preserve">Director-Board Authority</w:t>
      </w:r>
    </w:p>
    <w:p>
      <w:pPr>
        <w:spacing w:after="120" w:before="0"/>
        <w:ind w:left="863"/>
        <w:jc w:val="both"/>
      </w:pPr>
      <w:r>
        <w:rPr>
          <w:rFonts w:ascii="Garamond" w:cs="Garamond" w:eastAsia="Garamond" w:hAnsi="Garamond"/>
          <w:color w:val="2a2520"/>
          <w:sz w:val="22"/>
          <w:szCs w:val="22"/>
        </w:rPr>
        <w:t xml:space="preserve">The MA Director chairs the board and holds veto authority over board decisions. The board of five members decides by majority vote; the Director does not hold a board vote. The Director may veto any board decision by publishing written grounds to the NRS within the period the Legislature defines by statute; a veto without published grounds is constitutionally void. The board may override a Director veto by 4-of-5 supermajority; the override and its grounds are published to the NRS. Where a board decision takes effect following a 4-of-5 override and the Director believes it violates the §10.4.b primary mandate hierarchy, the Director may refer the question to the Executive Inspectorate. If the EI advises that a potential mandate hierarchy violation exists, the Director may petition the Supreme Court for a mandate determination. Timelines for the veto, override, EI advisory, and SC petition are established by statute.</w:t>
      </w:r>
    </w:p>
    <w:p>
      <w:pPr>
        <w:spacing w:after="60" w:before="200"/>
        <w:ind w:left="431"/>
      </w:pPr>
      <w:r>
        <w:rPr>
          <w:rFonts w:ascii="Courier New" w:cs="Courier New" w:eastAsia="Courier New" w:hAnsi="Courier New"/>
          <w:b/>
          <w:bCs/>
          <w:color w:val="1B2A4A"/>
          <w:sz w:val="18"/>
          <w:szCs w:val="18"/>
        </w:rPr>
        <w:t xml:space="preserve">§10.5  </w:t>
      </w:r>
      <w:r>
        <w:rPr>
          <w:rFonts w:ascii="Garamond" w:cs="Garamond" w:eastAsia="Garamond" w:hAnsi="Garamond"/>
          <w:b/>
          <w:bCs/>
          <w:color w:val="1B2A4A"/>
          <w:sz w:val="22"/>
          <w:szCs w:val="22"/>
        </w:rPr>
        <w:t xml:space="preserve">Ethics and Conflict of Interest</w:t>
      </w:r>
    </w:p>
    <w:p>
      <w:pPr>
        <w:spacing w:after="120" w:before="0"/>
        <w:ind w:left="431"/>
        <w:jc w:val="both"/>
      </w:pPr>
      <w:r>
        <w:rPr>
          <w:rFonts w:ascii="Garamond" w:cs="Garamond" w:eastAsia="Garamond" w:hAnsi="Garamond"/>
          <w:color w:val="2a2520"/>
          <w:sz w:val="22"/>
          <w:szCs w:val="22"/>
        </w:rPr>
        <w:t xml:space="preserve">All constitutional officers are subject to the ethics obligations of this section from the moment they take office. These obligations run concurrently with and do not replace any statutory ethics requirements the Legislature may establish.</w:t>
      </w:r>
    </w:p>
    <w:p>
      <w:pPr>
        <w:spacing w:after="60" w:before="200"/>
        <w:ind w:left="863"/>
      </w:pPr>
      <w:r>
        <w:rPr>
          <w:rFonts w:ascii="Courier New" w:cs="Courier New" w:eastAsia="Courier New" w:hAnsi="Courier New"/>
          <w:b/>
          <w:bCs/>
          <w:color w:val="1B2A4A"/>
          <w:sz w:val="18"/>
          <w:szCs w:val="18"/>
        </w:rPr>
        <w:t xml:space="preserve">§10.5.a  </w:t>
      </w:r>
      <w:r>
        <w:rPr>
          <w:rFonts w:ascii="Garamond" w:cs="Garamond" w:eastAsia="Garamond" w:hAnsi="Garamond"/>
          <w:b/>
          <w:bCs/>
          <w:color w:val="1B2A4A"/>
          <w:sz w:val="22"/>
          <w:szCs w:val="22"/>
        </w:rPr>
        <w:t xml:space="preserve">Personal Financial Disclosure</w:t>
      </w:r>
    </w:p>
    <w:p>
      <w:pPr>
        <w:spacing w:after="120" w:before="0"/>
        <w:ind w:left="863"/>
        <w:jc w:val="both"/>
      </w:pPr>
      <w:r>
        <w:rPr>
          <w:rFonts w:ascii="Garamond" w:cs="Garamond" w:eastAsia="Garamond" w:hAnsi="Garamond"/>
          <w:color w:val="2a2520"/>
          <w:sz w:val="22"/>
          <w:szCs w:val="22"/>
        </w:rPr>
        <w:t xml:space="preserve">All elected and appointed constitutional officers must disclose all financial interests, holdings, income sources, and liabilities to the EI within 30 days of taking office and annually thereafter. Disclosure records are published to the NRS. The standard for all official benefits, allowances, and in-office provisions — housing, healthcare, retirement — is that of a civil service employee in a comparable role. Departure from this standard is permitted only where an official's constitutional responsibilities create a demonstrable operational need, and only to the minimum extent that need requires.</w:t>
      </w:r>
    </w:p>
    <w:p>
      <w:pPr>
        <w:spacing w:after="60" w:before="200"/>
        <w:ind w:left="863"/>
      </w:pPr>
      <w:r>
        <w:rPr>
          <w:rFonts w:ascii="Courier New" w:cs="Courier New" w:eastAsia="Courier New" w:hAnsi="Courier New"/>
          <w:b/>
          <w:bCs/>
          <w:color w:val="1B2A4A"/>
          <w:sz w:val="18"/>
          <w:szCs w:val="18"/>
        </w:rPr>
        <w:t xml:space="preserve">§10.5.b  </w:t>
      </w:r>
      <w:r>
        <w:rPr>
          <w:rFonts w:ascii="Garamond" w:cs="Garamond" w:eastAsia="Garamond" w:hAnsi="Garamond"/>
          <w:b/>
          <w:bCs/>
          <w:color w:val="1B2A4A"/>
          <w:sz w:val="22"/>
          <w:szCs w:val="22"/>
        </w:rPr>
        <w:t xml:space="preserve">Conflict of Interest Recusal</w:t>
      </w:r>
    </w:p>
    <w:p>
      <w:pPr>
        <w:spacing w:after="120" w:before="0"/>
        <w:ind w:left="863"/>
        <w:jc w:val="both"/>
      </w:pPr>
      <w:r>
        <w:rPr>
          <w:rFonts w:ascii="Garamond" w:cs="Garamond" w:eastAsia="Garamond" w:hAnsi="Garamond"/>
          <w:color w:val="2a2520"/>
          <w:sz w:val="22"/>
          <w:szCs w:val="22"/>
        </w:rPr>
        <w:t xml:space="preserve">Any constitutional officer with a direct financial interest in a decision within their authority must recuse themselves from that decision. Recusal is self-executing — the officer cannot be excused from recusal by the PM, President, or Legislature. Failure to recuse when required is a constitutional breach reportable by the EI.</w:t>
      </w:r>
    </w:p>
    <w:p>
      <w:pPr>
        <w:spacing w:after="60" w:before="200"/>
        <w:ind w:left="863"/>
      </w:pPr>
      <w:r>
        <w:rPr>
          <w:rFonts w:ascii="Courier New" w:cs="Courier New" w:eastAsia="Courier New" w:hAnsi="Courier New"/>
          <w:b/>
          <w:bCs/>
          <w:color w:val="1B2A4A"/>
          <w:sz w:val="18"/>
          <w:szCs w:val="18"/>
        </w:rPr>
        <w:t xml:space="preserve">§10.5.c  </w:t>
      </w:r>
      <w:r>
        <w:rPr>
          <w:rFonts w:ascii="Garamond" w:cs="Garamond" w:eastAsia="Garamond" w:hAnsi="Garamond"/>
          <w:b/>
          <w:bCs/>
          <w:color w:val="1B2A4A"/>
          <w:sz w:val="22"/>
          <w:szCs w:val="22"/>
        </w:rPr>
        <w:t xml:space="preserve">Post-Service Restrictions</w:t>
      </w:r>
    </w:p>
    <w:p>
      <w:pPr>
        <w:spacing w:after="120" w:before="0"/>
        <w:ind w:left="863"/>
        <w:jc w:val="both"/>
      </w:pPr>
      <w:r>
        <w:rPr>
          <w:rFonts w:ascii="Garamond" w:cs="Garamond" w:eastAsia="Garamond" w:hAnsi="Garamond"/>
          <w:color w:val="2a2520"/>
          <w:sz w:val="22"/>
          <w:szCs w:val="22"/>
        </w:rPr>
        <w:t xml:space="preserve">Constitutional officers may not, for 5 years after leaving office, engage in activities that monetize non-public information acquired during service. The restriction covers lobbying, consulting, and any advisory role that draws on confidential government knowledge.</w:t>
      </w:r>
    </w:p>
    <w:p>
      <w:pPr>
        <w:spacing w:after="60" w:before="200"/>
        <w:ind w:left="863"/>
      </w:pPr>
      <w:r>
        <w:rPr>
          <w:rFonts w:ascii="Courier New" w:cs="Courier New" w:eastAsia="Courier New" w:hAnsi="Courier New"/>
          <w:b/>
          <w:bCs/>
          <w:color w:val="1B2A4A"/>
          <w:sz w:val="18"/>
          <w:szCs w:val="18"/>
        </w:rPr>
        <w:t xml:space="preserve">§10.5.d  </w:t>
      </w:r>
      <w:r>
        <w:rPr>
          <w:rFonts w:ascii="Garamond" w:cs="Garamond" w:eastAsia="Garamond" w:hAnsi="Garamond"/>
          <w:b/>
          <w:bCs/>
          <w:color w:val="1B2A4A"/>
          <w:sz w:val="22"/>
          <w:szCs w:val="22"/>
        </w:rPr>
        <w:t xml:space="preserve">Gift and Hospitality Rules</w:t>
      </w:r>
    </w:p>
    <w:p>
      <w:pPr>
        <w:spacing w:after="120" w:before="0"/>
        <w:ind w:left="863"/>
        <w:jc w:val="both"/>
      </w:pPr>
      <w:r>
        <w:rPr>
          <w:rFonts w:ascii="Garamond" w:cs="Garamond" w:eastAsia="Garamond" w:hAnsi="Garamond"/>
          <w:color w:val="2a2520"/>
          <w:sz w:val="22"/>
          <w:szCs w:val="22"/>
        </w:rPr>
        <w:t xml:space="preserve">Constitutional officers may not accept gifts or hospitality above a de minimis threshold defined by statute. All gifts above the threshold must be disclosed to the EI within 30 days and deposited with the relevant treasury. Retention without disclosure is a constitutional breach. Foreign gifts are subject to the same rules.</w:t>
      </w:r>
    </w:p>
    <w:p>
      <w:pPr>
        <w:spacing w:after="60" w:before="200"/>
        <w:ind w:left="863"/>
      </w:pPr>
      <w:r>
        <w:rPr>
          <w:rFonts w:ascii="Courier New" w:cs="Courier New" w:eastAsia="Courier New" w:hAnsi="Courier New"/>
          <w:b/>
          <w:bCs/>
          <w:color w:val="1B2A4A"/>
          <w:sz w:val="18"/>
          <w:szCs w:val="18"/>
        </w:rPr>
        <w:t xml:space="preserve">§10.5.e  </w:t>
      </w:r>
      <w:r>
        <w:rPr>
          <w:rFonts w:ascii="Garamond" w:cs="Garamond" w:eastAsia="Garamond" w:hAnsi="Garamond"/>
          <w:b/>
          <w:bCs/>
          <w:color w:val="1B2A4A"/>
          <w:sz w:val="22"/>
          <w:szCs w:val="22"/>
        </w:rPr>
        <w:t xml:space="preserve">Official Records Belong to the Republic</w:t>
      </w:r>
    </w:p>
    <w:p>
      <w:pPr>
        <w:spacing w:after="120" w:before="0"/>
        <w:ind w:left="863"/>
        <w:jc w:val="both"/>
      </w:pPr>
      <w:r>
        <w:rPr>
          <w:rFonts w:ascii="Garamond" w:cs="Garamond" w:eastAsia="Garamond" w:hAnsi="Garamond"/>
          <w:color w:val="2a2520"/>
          <w:sz w:val="22"/>
          <w:szCs w:val="22"/>
        </w:rPr>
        <w:t xml:space="preserve">All records created in the exercise of official functions are public records. Constitutional officers may not retain, destroy, or remove official records after leaving office. Records physically retained without authorization are subject to forfeiture.</w:t>
      </w:r>
    </w:p>
    <w:p>
      <w:pPr>
        <w:spacing w:after="60" w:before="200"/>
        <w:ind w:left="863"/>
      </w:pPr>
      <w:r>
        <w:rPr>
          <w:rFonts w:ascii="Courier New" w:cs="Courier New" w:eastAsia="Courier New" w:hAnsi="Courier New"/>
          <w:b/>
          <w:bCs/>
          <w:color w:val="1B2A4A"/>
          <w:sz w:val="18"/>
          <w:szCs w:val="18"/>
        </w:rPr>
        <w:t xml:space="preserve">§10.5.f  </w:t>
      </w:r>
      <w:r>
        <w:rPr>
          <w:rFonts w:ascii="Garamond" w:cs="Garamond" w:eastAsia="Garamond" w:hAnsi="Garamond"/>
          <w:b/>
          <w:bCs/>
          <w:color w:val="1B2A4A"/>
          <w:sz w:val="22"/>
          <w:szCs w:val="22"/>
        </w:rPr>
        <w:t xml:space="preserve">Revolving Door Restriction</w:t>
      </w:r>
    </w:p>
    <w:p>
      <w:pPr>
        <w:spacing w:after="120" w:before="0"/>
        <w:ind w:left="863"/>
        <w:jc w:val="both"/>
      </w:pPr>
      <w:r>
        <w:rPr>
          <w:rFonts w:ascii="Garamond" w:cs="Garamond" w:eastAsia="Garamond" w:hAnsi="Garamond"/>
          <w:color w:val="2a2520"/>
          <w:sz w:val="22"/>
          <w:szCs w:val="22"/>
        </w:rPr>
        <w:t xml:space="preserve">Constitutional officers may not move directly from government service into private roles that would allow them to exploit relationships, knowledge, or access accumulated during service. The 5-year cooling-off period applies to regulated industries directly affected by the officer's prior decisions.</w:t>
      </w:r>
    </w:p>
    <w:p>
      <w:pPr>
        <w:spacing w:after="60" w:before="200"/>
        <w:ind w:left="863"/>
      </w:pPr>
      <w:r>
        <w:rPr>
          <w:rFonts w:ascii="Courier New" w:cs="Courier New" w:eastAsia="Courier New" w:hAnsi="Courier New"/>
          <w:b/>
          <w:bCs/>
          <w:color w:val="1B2A4A"/>
          <w:sz w:val="18"/>
          <w:szCs w:val="18"/>
        </w:rPr>
        <w:t xml:space="preserve">§10.5.g  </w:t>
      </w:r>
      <w:r>
        <w:rPr>
          <w:rFonts w:ascii="Garamond" w:cs="Garamond" w:eastAsia="Garamond" w:hAnsi="Garamond"/>
          <w:b/>
          <w:bCs/>
          <w:color w:val="1B2A4A"/>
          <w:sz w:val="22"/>
          <w:szCs w:val="22"/>
        </w:rPr>
        <w:t xml:space="preserve">Official Intellectual Property</w:t>
      </w:r>
    </w:p>
    <w:p>
      <w:pPr>
        <w:spacing w:after="120" w:before="0"/>
        <w:ind w:left="863"/>
        <w:jc w:val="both"/>
      </w:pPr>
      <w:r>
        <w:rPr>
          <w:rFonts w:ascii="Garamond" w:cs="Garamond" w:eastAsia="Garamond" w:hAnsi="Garamond"/>
          <w:color w:val="2a2520"/>
          <w:sz w:val="22"/>
          <w:szCs w:val="22"/>
        </w:rPr>
        <w:t xml:space="preserve">Ideas, analyses, and work product created during official service belong to the Republic. An officer may not monetize work done in their official capacity for 5 years following service. For classified information, the 5-year cooling-off applies after declassification — it cannot be monetized the day after it becomes public.</w:t>
      </w:r>
    </w:p>
    <w:p>
      <w:pPr>
        <w:spacing w:after="60" w:before="200"/>
        <w:ind w:left="863"/>
      </w:pPr>
      <w:r>
        <w:rPr>
          <w:rFonts w:ascii="Courier New" w:cs="Courier New" w:eastAsia="Courier New" w:hAnsi="Courier New"/>
          <w:b/>
          <w:bCs/>
          <w:color w:val="1B2A4A"/>
          <w:sz w:val="18"/>
          <w:szCs w:val="18"/>
        </w:rPr>
        <w:t xml:space="preserve">§10.5.h  </w:t>
      </w:r>
      <w:r>
        <w:rPr>
          <w:rFonts w:ascii="Garamond" w:cs="Garamond" w:eastAsia="Garamond" w:hAnsi="Garamond"/>
          <w:b/>
          <w:bCs/>
          <w:color w:val="1B2A4A"/>
          <w:sz w:val="22"/>
          <w:szCs w:val="22"/>
        </w:rPr>
        <w:t xml:space="preserve">Ethics Enforcement</w:t>
      </w:r>
    </w:p>
    <w:p>
      <w:pPr>
        <w:spacing w:after="120" w:before="0"/>
        <w:ind w:left="863"/>
        <w:jc w:val="both"/>
      </w:pPr>
      <w:r>
        <w:rPr>
          <w:rFonts w:ascii="Garamond" w:cs="Garamond" w:eastAsia="Garamond" w:hAnsi="Garamond"/>
          <w:color w:val="2a2520"/>
          <w:sz w:val="22"/>
          <w:szCs w:val="22"/>
        </w:rPr>
        <w:t xml:space="preserve">The EI is the primary enforcement mechanism for the §10.5 ethics provisions. The EI publishes all disclosed conflicts, all flagged violations, and all referrals to the Legislature for removal proceedings. The EI publishes facts and refers serious violations — it does not impose penalties directly.</w:t>
      </w:r>
    </w:p>
    <w:p>
      <w:pPr>
        <w:spacing w:after="60" w:before="200"/>
        <w:ind w:left="431"/>
      </w:pPr>
      <w:r>
        <w:rPr>
          <w:rFonts w:ascii="Courier New" w:cs="Courier New" w:eastAsia="Courier New" w:hAnsi="Courier New"/>
          <w:b/>
          <w:bCs/>
          <w:color w:val="1B2A4A"/>
          <w:sz w:val="18"/>
          <w:szCs w:val="18"/>
        </w:rPr>
        <w:t xml:space="preserve">§10.6  </w:t>
      </w:r>
      <w:r>
        <w:rPr>
          <w:rFonts w:ascii="Garamond" w:cs="Garamond" w:eastAsia="Garamond" w:hAnsi="Garamond"/>
          <w:b/>
          <w:bCs/>
          <w:color w:val="1B2A4A"/>
          <w:sz w:val="22"/>
          <w:szCs w:val="22"/>
        </w:rPr>
        <w:t xml:space="preserve">National Endowment</w:t>
      </w:r>
    </w:p>
    <w:p>
      <w:pPr>
        <w:spacing w:after="120" w:before="0"/>
        <w:ind w:left="431"/>
        <w:jc w:val="both"/>
      </w:pPr>
      <w:r>
        <w:rPr>
          <w:rFonts w:ascii="Garamond" w:cs="Garamond" w:eastAsia="Garamond" w:hAnsi="Garamond"/>
          <w:color w:val="2a2520"/>
          <w:sz w:val="22"/>
          <w:szCs w:val="22"/>
        </w:rPr>
        <w:t xml:space="preserve">The National Endowment is a constitutionally established reserve fund that provides BNF continuity during periods of severe revenue contraction. It operates independently of the annual budget process.</w:t>
      </w:r>
    </w:p>
    <w:p>
      <w:pPr>
        <w:spacing w:after="60" w:before="200"/>
        <w:ind w:left="863"/>
      </w:pPr>
      <w:r>
        <w:rPr>
          <w:rFonts w:ascii="Courier New" w:cs="Courier New" w:eastAsia="Courier New" w:hAnsi="Courier New"/>
          <w:b/>
          <w:bCs/>
          <w:color w:val="1B2A4A"/>
          <w:sz w:val="18"/>
          <w:szCs w:val="18"/>
        </w:rPr>
        <w:t xml:space="preserve">§10.6.a  </w:t>
      </w:r>
      <w:r>
        <w:rPr>
          <w:rFonts w:ascii="Garamond" w:cs="Garamond" w:eastAsia="Garamond" w:hAnsi="Garamond"/>
          <w:b/>
          <w:bCs/>
          <w:color w:val="1B2A4A"/>
          <w:sz w:val="22"/>
          <w:szCs w:val="22"/>
        </w:rPr>
        <w:t xml:space="preserve">National Endowment Governance</w:t>
      </w:r>
    </w:p>
    <w:p>
      <w:pPr>
        <w:spacing w:after="120" w:before="0"/>
        <w:ind w:left="863"/>
        <w:jc w:val="both"/>
      </w:pPr>
      <w:r>
        <w:rPr>
          <w:rFonts w:ascii="Garamond" w:cs="Garamond" w:eastAsia="Garamond" w:hAnsi="Garamond"/>
          <w:color w:val="2a2520"/>
          <w:sz w:val="22"/>
          <w:szCs w:val="22"/>
        </w:rPr>
        <w:t xml:space="preserve">Governed by a board of trustees appointed by the PM from JI-maintained candidates, confirmed by the Senate. The board's sole mandate is to preserve and grow the Endowment fund for BNF backstop purposes — it may not be directed to other investment goals by either executive or the Legislature.</w:t>
      </w:r>
    </w:p>
    <w:p>
      <w:pPr>
        <w:spacing w:after="60" w:before="200"/>
        <w:ind w:left="863"/>
      </w:pPr>
      <w:r>
        <w:rPr>
          <w:rFonts w:ascii="Courier New" w:cs="Courier New" w:eastAsia="Courier New" w:hAnsi="Courier New"/>
          <w:b/>
          <w:bCs/>
          <w:color w:val="1B2A4A"/>
          <w:sz w:val="18"/>
          <w:szCs w:val="18"/>
        </w:rPr>
        <w:t xml:space="preserve">§10.6.b  </w:t>
      </w:r>
      <w:r>
        <w:rPr>
          <w:rFonts w:ascii="Garamond" w:cs="Garamond" w:eastAsia="Garamond" w:hAnsi="Garamond"/>
          <w:b/>
          <w:bCs/>
          <w:color w:val="1B2A4A"/>
          <w:sz w:val="22"/>
          <w:szCs w:val="22"/>
        </w:rPr>
        <w:t xml:space="preserve">National Endowment Activation</w:t>
      </w:r>
    </w:p>
    <w:p>
      <w:pPr>
        <w:spacing w:after="120" w:before="0"/>
        <w:ind w:left="863"/>
        <w:jc w:val="both"/>
      </w:pPr>
      <w:r>
        <w:rPr>
          <w:rFonts w:ascii="Garamond" w:cs="Garamond" w:eastAsia="Garamond" w:hAnsi="Garamond"/>
          <w:color w:val="2a2520"/>
          <w:sz w:val="22"/>
          <w:szCs w:val="22"/>
        </w:rPr>
        <w:t xml:space="preserve">When the MA certifies a Severe Revenue Contraction under §10.1.f, the Endowment is automatically activated. The board must begin BNF supplement disbursements within 30 days. Disbursements continue until the MA certifies that the revenue contraction has ended. The board may not withhold disbursements during a certified contraction — activation is automatic.</w:t>
      </w:r>
    </w:p>
    <w:p>
      <w:pPr>
        <w:spacing w:after="60" w:before="200"/>
        <w:ind w:left="431"/>
      </w:pPr>
      <w:r>
        <w:rPr>
          <w:rFonts w:ascii="Courier New" w:cs="Courier New" w:eastAsia="Courier New" w:hAnsi="Courier New"/>
          <w:b/>
          <w:bCs/>
          <w:color w:val="1B2A4A"/>
          <w:sz w:val="18"/>
          <w:szCs w:val="18"/>
        </w:rPr>
        <w:t xml:space="preserve">§10.7  </w:t>
      </w:r>
      <w:r>
        <w:rPr>
          <w:rFonts w:ascii="Garamond" w:cs="Garamond" w:eastAsia="Garamond" w:hAnsi="Garamond"/>
          <w:b/>
          <w:bCs/>
          <w:color w:val="1B2A4A"/>
          <w:sz w:val="22"/>
          <w:szCs w:val="22"/>
        </w:rPr>
        <w:t xml:space="preserve">Compensation of Public Officials</w:t>
      </w:r>
    </w:p>
    <w:p>
      <w:pPr>
        <w:spacing w:after="120" w:before="0"/>
        <w:ind w:left="431"/>
        <w:jc w:val="both"/>
      </w:pPr>
      <w:r>
        <w:rPr>
          <w:rFonts w:ascii="Garamond" w:cs="Garamond" w:eastAsia="Garamond" w:hAnsi="Garamond"/>
          <w:color w:val="2a2520"/>
          <w:sz w:val="22"/>
          <w:szCs w:val="22"/>
        </w:rPr>
        <w:t xml:space="preserve">No government official may set their own compensation or the compensation of their direct supervisors. All official compensation is set by House statute and is public record on the NRS.</w:t>
      </w:r>
    </w:p>
    <w:p>
      <w:pPr>
        <w:spacing w:after="60" w:before="200"/>
        <w:ind w:left="863"/>
      </w:pPr>
      <w:r>
        <w:rPr>
          <w:rFonts w:ascii="Courier New" w:cs="Courier New" w:eastAsia="Courier New" w:hAnsi="Courier New"/>
          <w:b/>
          <w:bCs/>
          <w:color w:val="1B2A4A"/>
          <w:sz w:val="18"/>
          <w:szCs w:val="18"/>
        </w:rPr>
        <w:t xml:space="preserve">§10.7.a  </w:t>
      </w:r>
      <w:r>
        <w:rPr>
          <w:rFonts w:ascii="Garamond" w:cs="Garamond" w:eastAsia="Garamond" w:hAnsi="Garamond"/>
          <w:b/>
          <w:bCs/>
          <w:color w:val="1B2A4A"/>
          <w:sz w:val="22"/>
          <w:szCs w:val="22"/>
        </w:rPr>
        <w:t xml:space="preserve">Jury Service</w:t>
      </w:r>
    </w:p>
    <w:p>
      <w:pPr>
        <w:spacing w:after="120" w:before="0"/>
        <w:ind w:left="863"/>
        <w:jc w:val="both"/>
      </w:pPr>
      <w:r>
        <w:rPr>
          <w:rFonts w:ascii="Garamond" w:cs="Garamond" w:eastAsia="Garamond" w:hAnsi="Garamond"/>
          <w:color w:val="2a2520"/>
          <w:sz w:val="22"/>
          <w:szCs w:val="22"/>
        </w:rPr>
        <w:t xml:space="preserve">Citizens are required to serve on juries when called. Jury service is compensated at the national median daily income rate, as the Legislature defines by statute. Unexcused refusal is subject to civil consequences the Legislature defines by statute. Jury service does not constitute forced labor under §1.4.</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XI — Referenda</w:t>
      </w:r>
    </w:p>
    <w:p>
      <w:pPr>
        <w:spacing w:after="120"/>
      </w:pPr>
    </w:p>
    <w:p>
      <w:pPr>
        <w:spacing w:after="60" w:before="200"/>
        <w:ind w:left="431"/>
      </w:pPr>
      <w:r>
        <w:rPr>
          <w:rFonts w:ascii="Courier New" w:cs="Courier New" w:eastAsia="Courier New" w:hAnsi="Courier New"/>
          <w:b/>
          <w:bCs/>
          <w:color w:val="1B2A4A"/>
          <w:sz w:val="18"/>
          <w:szCs w:val="18"/>
        </w:rPr>
        <w:t xml:space="preserve">§11.1  </w:t>
      </w:r>
      <w:r>
        <w:rPr>
          <w:rFonts w:ascii="Garamond" w:cs="Garamond" w:eastAsia="Garamond" w:hAnsi="Garamond"/>
          <w:b/>
          <w:bCs/>
          <w:color w:val="1B2A4A"/>
          <w:sz w:val="22"/>
          <w:szCs w:val="22"/>
        </w:rPr>
        <w:t xml:space="preserve">Optional Referendum</w:t>
      </w:r>
    </w:p>
    <w:p>
      <w:pPr>
        <w:spacing w:after="120" w:before="0"/>
        <w:ind w:left="431"/>
        <w:jc w:val="both"/>
      </w:pPr>
      <w:r>
        <w:rPr>
          <w:rFonts w:ascii="Garamond" w:cs="Garamond" w:eastAsia="Garamond" w:hAnsi="Garamond"/>
          <w:color w:val="2a2520"/>
          <w:sz w:val="22"/>
          <w:szCs w:val="22"/>
        </w:rPr>
        <w:t xml:space="preserve">Citizens may initiate a national referendum to repeal enacted legislation by petition of 5% of eligible voters within 90 days of enactment. The LI screens petitions for eligibility — laws that solely or primarily expand an Article I right are not eligible for referendum (the Bill of Rights cannot be repealed by popular vote). Simple majority of votes cast overturns the law.</w:t>
      </w:r>
    </w:p>
    <w:p>
      <w:pPr>
        <w:spacing w:after="60" w:before="200"/>
        <w:ind w:left="863"/>
      </w:pPr>
      <w:r>
        <w:rPr>
          <w:rFonts w:ascii="Courier New" w:cs="Courier New" w:eastAsia="Courier New" w:hAnsi="Courier New"/>
          <w:b/>
          <w:bCs/>
          <w:color w:val="1B2A4A"/>
          <w:sz w:val="18"/>
          <w:szCs w:val="18"/>
        </w:rPr>
        <w:t xml:space="preserve">§11.1.a  </w:t>
      </w:r>
      <w:r>
        <w:rPr>
          <w:rFonts w:ascii="Garamond" w:cs="Garamond" w:eastAsia="Garamond" w:hAnsi="Garamond"/>
          <w:b/>
          <w:bCs/>
          <w:color w:val="1B2A4A"/>
          <w:sz w:val="22"/>
          <w:szCs w:val="22"/>
        </w:rPr>
        <w:t xml:space="preserve">Citizen Petition Right</w:t>
      </w:r>
    </w:p>
    <w:p>
      <w:pPr>
        <w:spacing w:after="120" w:before="0"/>
        <w:ind w:left="863"/>
        <w:jc w:val="both"/>
      </w:pPr>
      <w:r>
        <w:rPr>
          <w:rFonts w:ascii="Garamond" w:cs="Garamond" w:eastAsia="Garamond" w:hAnsi="Garamond"/>
          <w:color w:val="2a2520"/>
          <w:sz w:val="22"/>
          <w:szCs w:val="22"/>
        </w:rPr>
        <w:t xml:space="preserve">Petition Requirements — the 5% petition must be collected within 90 days of the law's enactment. The EI verifies petition signatures for eligibility. If the threshold is met, the EC administers the referendum within 90 days of verification. Petitioners may withdraw the petition before the referendum is scheduled, but not after.</w:t>
      </w:r>
    </w:p>
    <w:p>
      <w:pPr>
        <w:spacing w:after="60" w:before="200"/>
        <w:ind w:left="863"/>
      </w:pPr>
      <w:r>
        <w:rPr>
          <w:rFonts w:ascii="Courier New" w:cs="Courier New" w:eastAsia="Courier New" w:hAnsi="Courier New"/>
          <w:b/>
          <w:bCs/>
          <w:color w:val="1B2A4A"/>
          <w:sz w:val="18"/>
          <w:szCs w:val="18"/>
        </w:rPr>
        <w:t xml:space="preserve">§11.1.b  </w:t>
      </w:r>
      <w:r>
        <w:rPr>
          <w:rFonts w:ascii="Garamond" w:cs="Garamond" w:eastAsia="Garamond" w:hAnsi="Garamond"/>
          <w:b/>
          <w:bCs/>
          <w:color w:val="1B2A4A"/>
          <w:sz w:val="22"/>
          <w:szCs w:val="22"/>
        </w:rPr>
        <w:t xml:space="preserve">Eligibility Screen</w:t>
      </w:r>
    </w:p>
    <w:p>
      <w:pPr>
        <w:spacing w:after="120" w:before="0"/>
        <w:ind w:left="863"/>
        <w:jc w:val="both"/>
      </w:pPr>
      <w:r>
        <w:rPr>
          <w:rFonts w:ascii="Garamond" w:cs="Garamond" w:eastAsia="Garamond" w:hAnsi="Garamond"/>
          <w:color w:val="2a2520"/>
          <w:sz w:val="22"/>
          <w:szCs w:val="22"/>
        </w:rPr>
        <w:t xml:space="preserve">The Legislative Inspectorate determines whether a targeted law is eligible for referendum. Laws that solely or primarily expand an Article I right are ineligible; a law cannot be repealed by referendum if its primary effect is to broaden individual protections. Budget laws and laws implementing a constitutionally mandated obligation are also ineligible. The LI publishes its eligibility determination to the NRS within 14 days of petition submission. An ineligibility determination may be challenged in the Appellate Court within 7 days; the Court must rule within 21 days.</w:t>
      </w:r>
    </w:p>
    <w:p>
      <w:pPr>
        <w:spacing w:after="60" w:before="200"/>
        <w:ind w:left="863"/>
      </w:pPr>
      <w:r>
        <w:rPr>
          <w:rFonts w:ascii="Courier New" w:cs="Courier New" w:eastAsia="Courier New" w:hAnsi="Courier New"/>
          <w:b/>
          <w:bCs/>
          <w:color w:val="1B2A4A"/>
          <w:sz w:val="18"/>
          <w:szCs w:val="18"/>
        </w:rPr>
        <w:t xml:space="preserve">§11.1.c  </w:t>
      </w:r>
      <w:r>
        <w:rPr>
          <w:rFonts w:ascii="Garamond" w:cs="Garamond" w:eastAsia="Garamond" w:hAnsi="Garamond"/>
          <w:b/>
          <w:bCs/>
          <w:color w:val="1B2A4A"/>
          <w:sz w:val="22"/>
          <w:szCs w:val="22"/>
        </w:rPr>
        <w:t xml:space="preserve">Referendum Thresholds and Finality</w:t>
      </w:r>
    </w:p>
    <w:p>
      <w:pPr>
        <w:spacing w:after="120" w:before="0"/>
        <w:ind w:left="863"/>
        <w:jc w:val="both"/>
      </w:pPr>
      <w:r>
        <w:rPr>
          <w:rFonts w:ascii="Garamond" w:cs="Garamond" w:eastAsia="Garamond" w:hAnsi="Garamond"/>
          <w:color w:val="2a2520"/>
          <w:sz w:val="22"/>
          <w:szCs w:val="22"/>
        </w:rPr>
        <w:t xml:space="preserve">Referendum Outcome — if the referendum passes (simple majority of votes cast, subject to the Legislature-defined turnout threshold), the law is repealed immediately upon EC certification. If it fails, the law remains in effect and cannot be subjected to referendum on the same grounds for 5 years. The Legislature may re-enact a repealed law, but the re-enacted version is again subject to referendum.</w:t>
      </w:r>
    </w:p>
    <w:p>
      <w:pPr>
        <w:spacing w:after="60" w:before="200"/>
        <w:ind w:left="431"/>
      </w:pPr>
      <w:r>
        <w:rPr>
          <w:rFonts w:ascii="Courier New" w:cs="Courier New" w:eastAsia="Courier New" w:hAnsi="Courier New"/>
          <w:b/>
          <w:bCs/>
          <w:color w:val="1B2A4A"/>
          <w:sz w:val="18"/>
          <w:szCs w:val="18"/>
        </w:rPr>
        <w:t xml:space="preserve">§11.2  </w:t>
      </w:r>
      <w:r>
        <w:rPr>
          <w:rFonts w:ascii="Garamond" w:cs="Garamond" w:eastAsia="Garamond" w:hAnsi="Garamond"/>
          <w:b/>
          <w:bCs/>
          <w:color w:val="1B2A4A"/>
          <w:sz w:val="22"/>
          <w:szCs w:val="22"/>
        </w:rPr>
        <w:t xml:space="preserve">Citizen Legislative Initiative</w:t>
      </w:r>
    </w:p>
    <w:p>
      <w:pPr>
        <w:spacing w:after="120" w:before="0"/>
        <w:ind w:left="431"/>
        <w:jc w:val="both"/>
      </w:pPr>
      <w:r>
        <w:rPr>
          <w:rFonts w:ascii="Garamond" w:cs="Garamond" w:eastAsia="Garamond" w:hAnsi="Garamond"/>
          <w:color w:val="2a2520"/>
          <w:sz w:val="22"/>
          <w:szCs w:val="22"/>
        </w:rPr>
        <w:t xml:space="preserve">Citizens hold the right to propose legislation directly to the Legislature through the initiative mechanism. The initiative is distinct from the referendum — it creates new law rather than repealing enacted law. The process and thresholds are established in §11.2.a.</w:t>
      </w:r>
    </w:p>
    <w:p>
      <w:pPr>
        <w:spacing w:after="60" w:before="200"/>
        <w:ind w:left="863"/>
      </w:pPr>
      <w:r>
        <w:rPr>
          <w:rFonts w:ascii="Courier New" w:cs="Courier New" w:eastAsia="Courier New" w:hAnsi="Courier New"/>
          <w:b/>
          <w:bCs/>
          <w:color w:val="1B2A4A"/>
          <w:sz w:val="18"/>
          <w:szCs w:val="18"/>
        </w:rPr>
        <w:t xml:space="preserve">§11.2.a  </w:t>
      </w:r>
      <w:r>
        <w:rPr>
          <w:rFonts w:ascii="Garamond" w:cs="Garamond" w:eastAsia="Garamond" w:hAnsi="Garamond"/>
          <w:b/>
          <w:bCs/>
          <w:color w:val="1B2A4A"/>
          <w:sz w:val="22"/>
          <w:szCs w:val="22"/>
        </w:rPr>
        <w:t xml:space="preserve">Initiative Process and Thresholds</w:t>
      </w:r>
    </w:p>
    <w:p>
      <w:pPr>
        <w:spacing w:after="120" w:before="0"/>
        <w:ind w:left="863"/>
        <w:jc w:val="both"/>
      </w:pPr>
      <w:r>
        <w:rPr>
          <w:rFonts w:ascii="Garamond" w:cs="Garamond" w:eastAsia="Garamond" w:hAnsi="Garamond"/>
          <w:color w:val="2a2520"/>
          <w:sz w:val="22"/>
          <w:szCs w:val="22"/>
        </w:rPr>
        <w:t xml:space="preserve">Distinct from the referendum, the initiative allows citizens to propose legislation directly. 10% of eligible voters petition for a specific legislative proposal. The Legislature must vote on the proposal within 90 days. If it fails or is not voted on, the proposal proceeds to a national referendum at the §15.1.c thresholds — citizen-initiated legislation that bypasses the Legislature requires a higher democratic mandate than simple repeal.</w:t>
      </w:r>
    </w:p>
    <w:p>
      <w:pPr>
        <w:spacing w:after="60" w:before="200"/>
        <w:ind w:left="431"/>
      </w:pPr>
      <w:r>
        <w:rPr>
          <w:rFonts w:ascii="Courier New" w:cs="Courier New" w:eastAsia="Courier New" w:hAnsi="Courier New"/>
          <w:b/>
          <w:bCs/>
          <w:color w:val="1B2A4A"/>
          <w:sz w:val="18"/>
          <w:szCs w:val="18"/>
        </w:rPr>
        <w:t xml:space="preserve">§11.3  </w:t>
      </w:r>
      <w:r>
        <w:rPr>
          <w:rFonts w:ascii="Garamond" w:cs="Garamond" w:eastAsia="Garamond" w:hAnsi="Garamond"/>
          <w:b/>
          <w:bCs/>
          <w:color w:val="1B2A4A"/>
          <w:sz w:val="22"/>
          <w:szCs w:val="22"/>
        </w:rPr>
        <w:t xml:space="preserve">Local Government</w:t>
      </w:r>
    </w:p>
    <w:p>
      <w:pPr>
        <w:spacing w:after="120" w:before="0"/>
        <w:ind w:left="431"/>
        <w:jc w:val="both"/>
      </w:pPr>
      <w:r>
        <w:rPr>
          <w:rFonts w:ascii="Garamond" w:cs="Garamond" w:eastAsia="Garamond" w:hAnsi="Garamond"/>
          <w:color w:val="2a2520"/>
          <w:sz w:val="22"/>
          <w:szCs w:val="22"/>
        </w:rPr>
        <w:t xml:space="preserve">Local governments — cities, counties, municipalities, and other subdivisions — receive constitutional recognition as the primary points of contact between citizens and government. They are entitled to reasonable fiscal capacity to carry out their constitutional functions. States may not starve local governments to achieve de facto state centralization.</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XII — Military Authorization</w:t>
      </w:r>
    </w:p>
    <w:p>
      <w:pPr>
        <w:spacing w:after="120"/>
      </w:pPr>
    </w:p>
    <w:p>
      <w:pPr>
        <w:spacing w:after="60" w:before="200"/>
        <w:ind w:left="431"/>
      </w:pPr>
      <w:r>
        <w:rPr>
          <w:rFonts w:ascii="Courier New" w:cs="Courier New" w:eastAsia="Courier New" w:hAnsi="Courier New"/>
          <w:b/>
          <w:bCs/>
          <w:color w:val="1B2A4A"/>
          <w:sz w:val="18"/>
          <w:szCs w:val="18"/>
        </w:rPr>
        <w:t xml:space="preserve">§12.1  </w:t>
      </w:r>
      <w:r>
        <w:rPr>
          <w:rFonts w:ascii="Garamond" w:cs="Garamond" w:eastAsia="Garamond" w:hAnsi="Garamond"/>
          <w:b/>
          <w:bCs/>
          <w:color w:val="1B2A4A"/>
          <w:sz w:val="22"/>
          <w:szCs w:val="22"/>
        </w:rPr>
        <w:t xml:space="preserve">Authorized Purposes for Military Force</w:t>
      </w:r>
    </w:p>
    <w:p>
      <w:pPr>
        <w:spacing w:after="120" w:before="0"/>
        <w:ind w:left="431"/>
        <w:jc w:val="both"/>
      </w:pPr>
      <w:r>
        <w:rPr>
          <w:rFonts w:ascii="Garamond" w:cs="Garamond" w:eastAsia="Garamond" w:hAnsi="Garamond"/>
          <w:color w:val="2a2520"/>
          <w:sz w:val="22"/>
          <w:szCs w:val="22"/>
        </w:rPr>
        <w:t xml:space="preserve">The constitution limits military force to three purposes: border protection and territorial integrity; defense of treaty allies within defined triggering thresholds; and prevention of genocide or civilizational collapse. Three prohibited purposes are equally significant: nation-building, resource extraction, and ideological imposition. A Tier 3 Legislative Declaration must state which authorized purpose it serves — declarations that cannot be linked to an authorized purpose are constitutionally void.</w:t>
      </w:r>
    </w:p>
    <w:p>
      <w:pPr>
        <w:spacing w:after="60" w:before="200"/>
        <w:ind w:left="431"/>
      </w:pPr>
      <w:r>
        <w:rPr>
          <w:rFonts w:ascii="Courier New" w:cs="Courier New" w:eastAsia="Courier New" w:hAnsi="Courier New"/>
          <w:b/>
          <w:bCs/>
          <w:color w:val="1B2A4A"/>
          <w:sz w:val="18"/>
          <w:szCs w:val="18"/>
        </w:rPr>
        <w:t xml:space="preserve">§12.2  </w:t>
      </w:r>
      <w:r>
        <w:rPr>
          <w:rFonts w:ascii="Garamond" w:cs="Garamond" w:eastAsia="Garamond" w:hAnsi="Garamond"/>
          <w:b/>
          <w:bCs/>
          <w:color w:val="1B2A4A"/>
          <w:sz w:val="22"/>
          <w:szCs w:val="22"/>
        </w:rPr>
        <w:t xml:space="preserve">Legislative Declaration of Defense</w:t>
      </w:r>
    </w:p>
    <w:p>
      <w:pPr>
        <w:spacing w:after="120" w:before="0"/>
        <w:ind w:left="431"/>
        <w:jc w:val="both"/>
      </w:pPr>
      <w:r>
        <w:rPr>
          <w:rFonts w:ascii="Garamond" w:cs="Garamond" w:eastAsia="Garamond" w:hAnsi="Garamond"/>
          <w:color w:val="2a2520"/>
          <w:sz w:val="22"/>
          <w:szCs w:val="22"/>
        </w:rPr>
        <w:t xml:space="preserve">Emergency Defense Allocation — the automatic funding mechanism that activates with a Tier 3 Declaration. The PM certifies funds concurrent with the Legislative Declaration — no Declaration takes effect without PM certification. The allocation covers specific categories of military expenditure defined by the Declaration.</w:t>
      </w:r>
    </w:p>
    <w:p>
      <w:pPr>
        <w:spacing w:after="60" w:before="200"/>
        <w:ind w:left="863"/>
      </w:pPr>
      <w:r>
        <w:rPr>
          <w:rFonts w:ascii="Courier New" w:cs="Courier New" w:eastAsia="Courier New" w:hAnsi="Courier New"/>
          <w:b/>
          <w:bCs/>
          <w:color w:val="1B2A4A"/>
          <w:sz w:val="18"/>
          <w:szCs w:val="18"/>
        </w:rPr>
        <w:t xml:space="preserve">§12.2.a  </w:t>
      </w:r>
      <w:r>
        <w:rPr>
          <w:rFonts w:ascii="Garamond" w:cs="Garamond" w:eastAsia="Garamond" w:hAnsi="Garamond"/>
          <w:b/>
          <w:bCs/>
          <w:color w:val="1B2A4A"/>
          <w:sz w:val="22"/>
          <w:szCs w:val="22"/>
        </w:rPr>
        <w:t xml:space="preserve">Defense Allocation Categories</w:t>
      </w:r>
    </w:p>
    <w:p>
      <w:pPr>
        <w:spacing w:after="120" w:before="0"/>
        <w:ind w:left="863"/>
        <w:jc w:val="both"/>
      </w:pPr>
      <w:r>
        <w:rPr>
          <w:rFonts w:ascii="Garamond" w:cs="Garamond" w:eastAsia="Garamond" w:hAnsi="Garamond"/>
          <w:color w:val="2a2520"/>
          <w:sz w:val="22"/>
          <w:szCs w:val="22"/>
        </w:rPr>
        <w:t xml:space="preserve">The Declaration must specify which expenditure categories are authorized: operational costs, equipment, personnel, intelligence support, logistics, and post-conflict obligations. Expenditure in uncategorized areas requires a supplementary PM certification. The categorization requirement prevents the Declaration from becoming a blank check.</w:t>
      </w:r>
    </w:p>
    <w:p>
      <w:pPr>
        <w:spacing w:after="60" w:before="200"/>
        <w:ind w:left="863"/>
      </w:pPr>
      <w:r>
        <w:rPr>
          <w:rFonts w:ascii="Courier New" w:cs="Courier New" w:eastAsia="Courier New" w:hAnsi="Courier New"/>
          <w:b/>
          <w:bCs/>
          <w:color w:val="1B2A4A"/>
          <w:sz w:val="18"/>
          <w:szCs w:val="18"/>
        </w:rPr>
        <w:t xml:space="preserve">§12.2.b  </w:t>
      </w:r>
      <w:r>
        <w:rPr>
          <w:rFonts w:ascii="Garamond" w:cs="Garamond" w:eastAsia="Garamond" w:hAnsi="Garamond"/>
          <w:b/>
          <w:bCs/>
          <w:color w:val="1B2A4A"/>
          <w:sz w:val="22"/>
          <w:szCs w:val="22"/>
        </w:rPr>
        <w:t xml:space="preserve">Emergency Defense Allocation Renewal</w:t>
      </w:r>
    </w:p>
    <w:p>
      <w:pPr>
        <w:spacing w:after="120" w:before="0"/>
        <w:ind w:left="863"/>
        <w:jc w:val="both"/>
      </w:pPr>
      <w:r>
        <w:rPr>
          <w:rFonts w:ascii="Garamond" w:cs="Garamond" w:eastAsia="Garamond" w:hAnsi="Garamond"/>
          <w:color w:val="2a2520"/>
          <w:sz w:val="22"/>
          <w:szCs w:val="22"/>
        </w:rPr>
        <w:t xml:space="preserve">The Emergency Defense Allocation renews automatically with each 180-day Declaration renewal, subject to PM certification. If the Legislature renews the Declaration but the PM withholds certification, the Declaration is voided — the PM's fiscal certification is an independent constitutional check on military operations.</w:t>
      </w:r>
    </w:p>
    <w:p>
      <w:pPr>
        <w:spacing w:after="60" w:before="200"/>
        <w:ind w:left="863"/>
      </w:pPr>
      <w:r>
        <w:rPr>
          <w:rFonts w:ascii="Courier New" w:cs="Courier New" w:eastAsia="Courier New" w:hAnsi="Courier New"/>
          <w:b/>
          <w:bCs/>
          <w:color w:val="1B2A4A"/>
          <w:sz w:val="18"/>
          <w:szCs w:val="18"/>
        </w:rPr>
        <w:t xml:space="preserve">§12.2.c  </w:t>
      </w:r>
      <w:r>
        <w:rPr>
          <w:rFonts w:ascii="Garamond" w:cs="Garamond" w:eastAsia="Garamond" w:hAnsi="Garamond"/>
          <w:b/>
          <w:bCs/>
          <w:color w:val="1B2A4A"/>
          <w:sz w:val="22"/>
          <w:szCs w:val="22"/>
        </w:rPr>
        <w:t xml:space="preserve">Successive Declaration Standard</w:t>
      </w:r>
    </w:p>
    <w:p>
      <w:pPr>
        <w:spacing w:after="120" w:before="0"/>
        <w:ind w:left="863"/>
        <w:jc w:val="both"/>
      </w:pPr>
      <w:r>
        <w:rPr>
          <w:rFonts w:ascii="Garamond" w:cs="Garamond" w:eastAsia="Garamond" w:hAnsi="Garamond"/>
          <w:color w:val="2a2520"/>
          <w:sz w:val="22"/>
          <w:szCs w:val="22"/>
        </w:rPr>
        <w:t xml:space="preserve">Allocation Termination — when the Tier 3 Declaration expires or is not renewed, all Emergency Defense Allocation expenditure ceases automatically within 48 hours. Ongoing contracts within the certified allocation may continue to wind down for 30 days. New commitments may not be entered after Declaration expiry.</w:t>
      </w:r>
    </w:p>
    <w:p>
      <w:pPr>
        <w:spacing w:after="60" w:before="200"/>
        <w:ind w:left="863"/>
      </w:pPr>
      <w:r>
        <w:rPr>
          <w:rFonts w:ascii="Courier New" w:cs="Courier New" w:eastAsia="Courier New" w:hAnsi="Courier New"/>
          <w:b/>
          <w:bCs/>
          <w:color w:val="1B2A4A"/>
          <w:sz w:val="18"/>
          <w:szCs w:val="18"/>
        </w:rPr>
        <w:t xml:space="preserve">§12.2.d  </w:t>
      </w:r>
      <w:r>
        <w:rPr>
          <w:rFonts w:ascii="Garamond" w:cs="Garamond" w:eastAsia="Garamond" w:hAnsi="Garamond"/>
          <w:b/>
          <w:bCs/>
          <w:color w:val="1B2A4A"/>
          <w:sz w:val="22"/>
          <w:szCs w:val="22"/>
        </w:rPr>
        <w:t xml:space="preserve">Oversight of Allocation</w:t>
      </w:r>
    </w:p>
    <w:p>
      <w:pPr>
        <w:spacing w:after="120" w:before="0"/>
        <w:ind w:left="863"/>
        <w:jc w:val="both"/>
      </w:pPr>
      <w:r>
        <w:rPr>
          <w:rFonts w:ascii="Garamond" w:cs="Garamond" w:eastAsia="Garamond" w:hAnsi="Garamond"/>
          <w:color w:val="2a2520"/>
          <w:sz w:val="22"/>
          <w:szCs w:val="22"/>
        </w:rPr>
        <w:t xml:space="preserve">The EI audits Emergency Defense Allocation spending quarterly during any active Tier 3 Declaration and publishes findings to the NRS. The audit covers whether expenditure falls within certified categories, whether PM certifications were obtained, and whether expenditure complied with emergency procurement standards.</w:t>
      </w:r>
    </w:p>
    <w:p>
      <w:pPr>
        <w:spacing w:after="60" w:before="200"/>
        <w:ind w:left="863"/>
      </w:pPr>
      <w:r>
        <w:rPr>
          <w:rFonts w:ascii="Courier New" w:cs="Courier New" w:eastAsia="Courier New" w:hAnsi="Courier New"/>
          <w:b/>
          <w:bCs/>
          <w:color w:val="1B2A4A"/>
          <w:sz w:val="18"/>
          <w:szCs w:val="18"/>
        </w:rPr>
        <w:t xml:space="preserve">§12.2.e  </w:t>
      </w:r>
      <w:r>
        <w:rPr>
          <w:rFonts w:ascii="Garamond" w:cs="Garamond" w:eastAsia="Garamond" w:hAnsi="Garamond"/>
          <w:b/>
          <w:bCs/>
          <w:color w:val="1B2A4A"/>
          <w:sz w:val="22"/>
          <w:szCs w:val="22"/>
        </w:rPr>
        <w:t xml:space="preserve">Post-Allocation Accountability</w:t>
      </w:r>
    </w:p>
    <w:p>
      <w:pPr>
        <w:spacing w:after="120" w:before="0"/>
        <w:ind w:left="863"/>
        <w:jc w:val="both"/>
      </w:pPr>
      <w:r>
        <w:rPr>
          <w:rFonts w:ascii="Garamond" w:cs="Garamond" w:eastAsia="Garamond" w:hAnsi="Garamond"/>
          <w:color w:val="2a2520"/>
          <w:sz w:val="22"/>
          <w:szCs w:val="22"/>
        </w:rPr>
        <w:t xml:space="preserve">Within 180 days of a Declaration's final expiry, the EI publishes a comprehensive allocation accountability report covering the entire period: total expenditure by category, compliance with PM certifications, and any identified irregularities.</w:t>
      </w:r>
    </w:p>
    <w:p>
      <w:pPr>
        <w:spacing w:after="60" w:before="200"/>
        <w:ind w:left="431"/>
      </w:pPr>
      <w:r>
        <w:rPr>
          <w:rFonts w:ascii="Courier New" w:cs="Courier New" w:eastAsia="Courier New" w:hAnsi="Courier New"/>
          <w:b/>
          <w:bCs/>
          <w:color w:val="1B2A4A"/>
          <w:sz w:val="18"/>
          <w:szCs w:val="18"/>
        </w:rPr>
        <w:t xml:space="preserve">§12.3  </w:t>
      </w:r>
      <w:r>
        <w:rPr>
          <w:rFonts w:ascii="Garamond" w:cs="Garamond" w:eastAsia="Garamond" w:hAnsi="Garamond"/>
          <w:b/>
          <w:bCs/>
          <w:color w:val="1B2A4A"/>
          <w:sz w:val="22"/>
          <w:szCs w:val="22"/>
        </w:rPr>
        <w:t xml:space="preserve">Military Intelligence Operations</w:t>
      </w:r>
    </w:p>
    <w:p>
      <w:pPr>
        <w:spacing w:after="120" w:before="0"/>
        <w:ind w:left="431"/>
        <w:jc w:val="both"/>
      </w:pPr>
      <w:r>
        <w:rPr>
          <w:rFonts w:ascii="Garamond" w:cs="Garamond" w:eastAsia="Garamond" w:hAnsi="Garamond"/>
          <w:color w:val="2a2520"/>
          <w:sz w:val="22"/>
          <w:szCs w:val="22"/>
        </w:rPr>
        <w:t xml:space="preserve">The use of intelligence capabilities in support of authorized military operations. The §1.30.d Intelligence Firewall applies at all times — no military operation authorizes domestic intelligence collection against citizens. Intelligence activities must be published to the NRS in classified summary form within 90 days of operation completion.</w:t>
      </w:r>
    </w:p>
    <w:p>
      <w:pPr>
        <w:spacing w:after="60" w:before="200"/>
        <w:ind w:left="431"/>
      </w:pPr>
      <w:r>
        <w:rPr>
          <w:rFonts w:ascii="Courier New" w:cs="Courier New" w:eastAsia="Courier New" w:hAnsi="Courier New"/>
          <w:b/>
          <w:bCs/>
          <w:color w:val="1B2A4A"/>
          <w:sz w:val="18"/>
          <w:szCs w:val="18"/>
        </w:rPr>
        <w:t xml:space="preserve">§12.4  </w:t>
      </w:r>
      <w:r>
        <w:rPr>
          <w:rFonts w:ascii="Garamond" w:cs="Garamond" w:eastAsia="Garamond" w:hAnsi="Garamond"/>
          <w:b/>
          <w:bCs/>
          <w:color w:val="1B2A4A"/>
          <w:sz w:val="22"/>
          <w:szCs w:val="22"/>
        </w:rPr>
        <w:t xml:space="preserve">Military Accountability</w:t>
      </w:r>
    </w:p>
    <w:p>
      <w:pPr>
        <w:spacing w:after="120" w:before="0"/>
        <w:ind w:left="431"/>
        <w:jc w:val="both"/>
      </w:pPr>
      <w:r>
        <w:rPr>
          <w:rFonts w:ascii="Garamond" w:cs="Garamond" w:eastAsia="Garamond" w:hAnsi="Garamond"/>
          <w:color w:val="2a2520"/>
          <w:sz w:val="22"/>
          <w:szCs w:val="22"/>
        </w:rPr>
        <w:t xml:space="preserve">Post-Conflict Obligations — before any extended military engagement concludes, the Senate must approve a Transition and Reconstruction Plan specifying the Republic's post-conflict obligations: status of alliance obligations, civilian reconstruction support, transitional justice support, and withdrawal timeline. The Plan is published to the NRS and is binding on the executive.</w:t>
      </w:r>
    </w:p>
    <w:p>
      <w:pPr>
        <w:spacing w:after="60" w:before="200"/>
        <w:ind w:left="431"/>
      </w:pPr>
      <w:r>
        <w:rPr>
          <w:rFonts w:ascii="Courier New" w:cs="Courier New" w:eastAsia="Courier New" w:hAnsi="Courier New"/>
          <w:b/>
          <w:bCs/>
          <w:color w:val="1B2A4A"/>
          <w:sz w:val="18"/>
          <w:szCs w:val="18"/>
        </w:rPr>
        <w:t xml:space="preserve">§12.5  </w:t>
      </w:r>
      <w:r>
        <w:rPr>
          <w:rFonts w:ascii="Garamond" w:cs="Garamond" w:eastAsia="Garamond" w:hAnsi="Garamond"/>
          <w:b/>
          <w:bCs/>
          <w:color w:val="1B2A4A"/>
          <w:sz w:val="22"/>
          <w:szCs w:val="22"/>
        </w:rPr>
        <w:t xml:space="preserve">Treaty-Based Military Authorization</w:t>
      </w:r>
    </w:p>
    <w:p>
      <w:pPr>
        <w:spacing w:after="120" w:before="0"/>
        <w:ind w:left="431"/>
        <w:jc w:val="both"/>
      </w:pPr>
      <w:r>
        <w:rPr>
          <w:rFonts w:ascii="Garamond" w:cs="Garamond" w:eastAsia="Garamond" w:hAnsi="Garamond"/>
          <w:color w:val="2a2520"/>
          <w:sz w:val="22"/>
          <w:szCs w:val="22"/>
        </w:rPr>
        <w:t xml:space="preserve">An existing treaty may provide an alternative basis for emergency military authorization outside the standard Tier framework. This authorization is strictly bounded and does not displace the Legislature's ultimate authority over sustained operations.</w:t>
      </w:r>
    </w:p>
    <w:p>
      <w:pPr>
        <w:spacing w:after="60" w:before="200"/>
        <w:ind w:left="863"/>
      </w:pPr>
      <w:r>
        <w:rPr>
          <w:rFonts w:ascii="Courier New" w:cs="Courier New" w:eastAsia="Courier New" w:hAnsi="Courier New"/>
          <w:b/>
          <w:bCs/>
          <w:color w:val="1B2A4A"/>
          <w:sz w:val="18"/>
          <w:szCs w:val="18"/>
        </w:rPr>
        <w:t xml:space="preserve">§12.5.a  </w:t>
      </w:r>
      <w:r>
        <w:rPr>
          <w:rFonts w:ascii="Garamond" w:cs="Garamond" w:eastAsia="Garamond" w:hAnsi="Garamond"/>
          <w:b/>
          <w:bCs/>
          <w:color w:val="1B2A4A"/>
          <w:sz w:val="22"/>
          <w:szCs w:val="22"/>
        </w:rPr>
        <w:t xml:space="preserve">Treaty Emergency Certification</w:t>
      </w:r>
    </w:p>
    <w:p>
      <w:pPr>
        <w:spacing w:after="120" w:before="0"/>
        <w:ind w:left="863"/>
        <w:jc w:val="both"/>
      </w:pPr>
      <w:r>
        <w:rPr>
          <w:rFonts w:ascii="Garamond" w:cs="Garamond" w:eastAsia="Garamond" w:hAnsi="Garamond"/>
          <w:color w:val="2a2520"/>
          <w:sz w:val="22"/>
          <w:szCs w:val="22"/>
        </w:rPr>
        <w:t xml:space="preserve">Where an existing treaty requires emergency military action, the President may invoke Treaty Emergency Certification as an alternative to the standard Tier authorization process. The certification must be published to the NRS within 6 hours with the specific treaty obligation cited. The Senate Armed Services Committee reviews the certification within 48 hours.</w:t>
      </w:r>
    </w:p>
    <w:p>
      <w:pPr>
        <w:spacing w:after="60" w:before="200"/>
        <w:ind w:left="863"/>
      </w:pPr>
      <w:r>
        <w:rPr>
          <w:rFonts w:ascii="Courier New" w:cs="Courier New" w:eastAsia="Courier New" w:hAnsi="Courier New"/>
          <w:b/>
          <w:bCs/>
          <w:color w:val="1B2A4A"/>
          <w:sz w:val="18"/>
          <w:szCs w:val="18"/>
        </w:rPr>
        <w:t xml:space="preserve">§12.5.b  </w:t>
      </w:r>
      <w:r>
        <w:rPr>
          <w:rFonts w:ascii="Garamond" w:cs="Garamond" w:eastAsia="Garamond" w:hAnsi="Garamond"/>
          <w:b/>
          <w:bCs/>
          <w:color w:val="1B2A4A"/>
          <w:sz w:val="22"/>
          <w:szCs w:val="22"/>
        </w:rPr>
        <w:t xml:space="preserve">Treaty Emergency Procedures</w:t>
      </w:r>
    </w:p>
    <w:p>
      <w:pPr>
        <w:spacing w:after="120" w:before="0"/>
        <w:ind w:left="863"/>
        <w:jc w:val="both"/>
      </w:pPr>
      <w:r>
        <w:rPr>
          <w:rFonts w:ascii="Garamond" w:cs="Garamond" w:eastAsia="Garamond" w:hAnsi="Garamond"/>
          <w:color w:val="2a2520"/>
          <w:sz w:val="22"/>
          <w:szCs w:val="22"/>
        </w:rPr>
        <w:t xml:space="preserve">Treaty Emergency Certification activates the same 96-hour Senate Armed Services Committee review as Tier 2 authorization. The President must notify both chambers and the PM within 12 hours of invoking certification, specifying the treaty obligation triggered and the anticipated scope of operations. If the Senate Armed Services Committee does not authorize continued operations within 96 hours, operations must cease except for immediate defensive protection of Republic territory. All treaty emergency operations are subject to the full PM funding certification requirement under §2.1.d from the moment of invocation.</w:t>
      </w:r>
    </w:p>
    <w:p>
      <w:pPr>
        <w:spacing w:after="60" w:before="200"/>
        <w:ind w:left="863"/>
      </w:pPr>
      <w:r>
        <w:rPr>
          <w:rFonts w:ascii="Courier New" w:cs="Courier New" w:eastAsia="Courier New" w:hAnsi="Courier New"/>
          <w:b/>
          <w:bCs/>
          <w:color w:val="1B2A4A"/>
          <w:sz w:val="18"/>
          <w:szCs w:val="18"/>
        </w:rPr>
        <w:t xml:space="preserve">§12.5.c  </w:t>
      </w:r>
      <w:r>
        <w:rPr>
          <w:rFonts w:ascii="Garamond" w:cs="Garamond" w:eastAsia="Garamond" w:hAnsi="Garamond"/>
          <w:b/>
          <w:bCs/>
          <w:color w:val="1B2A4A"/>
          <w:sz w:val="22"/>
          <w:szCs w:val="22"/>
        </w:rPr>
        <w:t xml:space="preserve">No Blank Check</w:t>
      </w:r>
    </w:p>
    <w:p>
      <w:pPr>
        <w:spacing w:after="120" w:before="0"/>
        <w:ind w:left="863"/>
        <w:jc w:val="both"/>
      </w:pPr>
      <w:r>
        <w:rPr>
          <w:rFonts w:ascii="Garamond" w:cs="Garamond" w:eastAsia="Garamond" w:hAnsi="Garamond"/>
          <w:color w:val="2a2520"/>
          <w:sz w:val="22"/>
          <w:szCs w:val="22"/>
        </w:rPr>
        <w:t xml:space="preserve">The Treaty Emergency Certification covers operational costs for the initial response and triggers parliamentary authorization for any extended engagement. Treaties cannot be blank checks for extended military commitment — each sustained engagement requires parliamentary authorization regardless of what the treaty says.</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XIII — Statehood and Territory</w:t>
      </w:r>
    </w:p>
    <w:p>
      <w:pPr>
        <w:spacing w:after="120"/>
      </w:pPr>
    </w:p>
    <w:p>
      <w:pPr>
        <w:spacing w:after="60" w:before="200"/>
        <w:ind w:left="431"/>
      </w:pPr>
      <w:r>
        <w:rPr>
          <w:rFonts w:ascii="Courier New" w:cs="Courier New" w:eastAsia="Courier New" w:hAnsi="Courier New"/>
          <w:b/>
          <w:bCs/>
          <w:color w:val="1B2A4A"/>
          <w:sz w:val="18"/>
          <w:szCs w:val="18"/>
        </w:rPr>
        <w:t xml:space="preserve">§13.1  </w:t>
      </w:r>
      <w:r>
        <w:rPr>
          <w:rFonts w:ascii="Garamond" w:cs="Garamond" w:eastAsia="Garamond" w:hAnsi="Garamond"/>
          <w:b/>
          <w:bCs/>
          <w:color w:val="1B2A4A"/>
          <w:sz w:val="22"/>
          <w:szCs w:val="22"/>
        </w:rPr>
        <w:t xml:space="preserve">Territorial Compact</w:t>
      </w:r>
    </w:p>
    <w:p>
      <w:pPr>
        <w:spacing w:after="120" w:before="0"/>
        <w:ind w:left="431"/>
        <w:jc w:val="both"/>
      </w:pPr>
      <w:r>
        <w:rPr>
          <w:rFonts w:ascii="Garamond" w:cs="Garamond" w:eastAsia="Garamond" w:hAnsi="Garamond"/>
          <w:color w:val="2a2520"/>
          <w:sz w:val="22"/>
          <w:szCs w:val="22"/>
        </w:rPr>
        <w:t xml:space="preserve">The foundational category for non-State jurisdictions within the Republic. A Territory operates under a Territorial Compact, has federal protections under Article I, receives BNF benefits, and may begin the Statehood pathway under §13.2. Territories are represented in the House by non-voting delegates who may participate in debate and committee work.</w:t>
      </w:r>
    </w:p>
    <w:p>
      <w:pPr>
        <w:spacing w:after="60" w:before="200"/>
        <w:ind w:left="431"/>
      </w:pPr>
      <w:r>
        <w:rPr>
          <w:rFonts w:ascii="Courier New" w:cs="Courier New" w:eastAsia="Courier New" w:hAnsi="Courier New"/>
          <w:b/>
          <w:bCs/>
          <w:color w:val="1B2A4A"/>
          <w:sz w:val="18"/>
          <w:szCs w:val="18"/>
        </w:rPr>
        <w:t xml:space="preserve">§13.2  </w:t>
      </w:r>
      <w:r>
        <w:rPr>
          <w:rFonts w:ascii="Garamond" w:cs="Garamond" w:eastAsia="Garamond" w:hAnsi="Garamond"/>
          <w:b/>
          <w:bCs/>
          <w:color w:val="1B2A4A"/>
          <w:sz w:val="22"/>
          <w:szCs w:val="22"/>
        </w:rPr>
        <w:t xml:space="preserve">The Statehood Audit</w:t>
      </w:r>
    </w:p>
    <w:p>
      <w:pPr>
        <w:spacing w:after="120" w:before="0"/>
        <w:ind w:left="431"/>
        <w:jc w:val="both"/>
      </w:pPr>
      <w:r>
        <w:rPr>
          <w:rFonts w:ascii="Garamond" w:cs="Garamond" w:eastAsia="Garamond" w:hAnsi="Garamond"/>
          <w:color w:val="2a2520"/>
          <w:sz w:val="22"/>
          <w:szCs w:val="22"/>
        </w:rPr>
        <w:t xml:space="preserve">The pathway from Territory to State is automatic upon successfully completing the Statehood Audit and Provisional Membership Period. No political vote in Congress is required once the audit is passed — statehood is a constitutional entitlement for any Territory that meets the criteria, not a political grant. The automatic nature of this pathway is intentional — statehood is a constitutional right of a qualifying jurisdiction, not a political favor to be granted or withheld by incumbent States.</w:t>
      </w:r>
    </w:p>
    <w:p>
      <w:pPr>
        <w:spacing w:after="60" w:before="200"/>
        <w:ind w:left="863"/>
      </w:pPr>
      <w:r>
        <w:rPr>
          <w:rFonts w:ascii="Courier New" w:cs="Courier New" w:eastAsia="Courier New" w:hAnsi="Courier New"/>
          <w:b/>
          <w:bCs/>
          <w:color w:val="1B2A4A"/>
          <w:sz w:val="18"/>
          <w:szCs w:val="18"/>
        </w:rPr>
        <w:t xml:space="preserve">§13.2.a  </w:t>
      </w:r>
      <w:r>
        <w:rPr>
          <w:rFonts w:ascii="Garamond" w:cs="Garamond" w:eastAsia="Garamond" w:hAnsi="Garamond"/>
          <w:b/>
          <w:bCs/>
          <w:color w:val="1B2A4A"/>
          <w:sz w:val="22"/>
          <w:szCs w:val="22"/>
        </w:rPr>
        <w:t xml:space="preserve">Fiscal Integrity</w:t>
      </w:r>
    </w:p>
    <w:p>
      <w:pPr>
        <w:spacing w:after="120" w:before="0"/>
        <w:ind w:left="863"/>
        <w:jc w:val="both"/>
      </w:pPr>
      <w:r>
        <w:rPr>
          <w:rFonts w:ascii="Garamond" w:cs="Garamond" w:eastAsia="Garamond" w:hAnsi="Garamond"/>
          <w:color w:val="2a2520"/>
          <w:sz w:val="22"/>
          <w:szCs w:val="22"/>
        </w:rPr>
        <w:t xml:space="preserve">Statehood Audit — Fiscal Integrity Criterion. The LI audits the territory's government finances for basic fiscal sustainability, absence of structural insolvency that would require federal bailout, and basic public financial management standards. The audit checks whether the territory can function as a financially independent State — not whether its fiscal policy is optimal.</w:t>
      </w:r>
    </w:p>
    <w:p>
      <w:pPr>
        <w:spacing w:after="60" w:before="200"/>
        <w:ind w:left="863"/>
      </w:pPr>
      <w:r>
        <w:rPr>
          <w:rFonts w:ascii="Courier New" w:cs="Courier New" w:eastAsia="Courier New" w:hAnsi="Courier New"/>
          <w:b/>
          <w:bCs/>
          <w:color w:val="1B2A4A"/>
          <w:sz w:val="18"/>
          <w:szCs w:val="18"/>
        </w:rPr>
        <w:t xml:space="preserve">§13.2.b  </w:t>
      </w:r>
      <w:r>
        <w:rPr>
          <w:rFonts w:ascii="Garamond" w:cs="Garamond" w:eastAsia="Garamond" w:hAnsi="Garamond"/>
          <w:b/>
          <w:bCs/>
          <w:color w:val="1B2A4A"/>
          <w:sz w:val="22"/>
          <w:szCs w:val="22"/>
        </w:rPr>
        <w:t xml:space="preserve">Legal Sync</w:t>
      </w:r>
    </w:p>
    <w:p>
      <w:pPr>
        <w:spacing w:after="120" w:before="0"/>
        <w:ind w:left="863"/>
        <w:jc w:val="both"/>
      </w:pPr>
      <w:r>
        <w:rPr>
          <w:rFonts w:ascii="Garamond" w:cs="Garamond" w:eastAsia="Garamond" w:hAnsi="Garamond"/>
          <w:color w:val="2a2520"/>
          <w:sz w:val="22"/>
          <w:szCs w:val="22"/>
        </w:rPr>
        <w:t xml:space="preserve">Statehood Audit — Article I Legal Compliance Criterion. The JI audits the territory's legal system for compliance with every Article I right. Statehood is not granted to jurisdictions that are constitutionally non-compliant — a territory that applies Article I rights inconsistently cannot become a State while those violations persist.</w:t>
      </w:r>
    </w:p>
    <w:p>
      <w:pPr>
        <w:spacing w:after="60" w:before="200"/>
        <w:ind w:left="863"/>
      </w:pPr>
      <w:r>
        <w:rPr>
          <w:rFonts w:ascii="Courier New" w:cs="Courier New" w:eastAsia="Courier New" w:hAnsi="Courier New"/>
          <w:b/>
          <w:bCs/>
          <w:color w:val="1B2A4A"/>
          <w:sz w:val="18"/>
          <w:szCs w:val="18"/>
        </w:rPr>
        <w:t xml:space="preserve">§13.2.c  </w:t>
      </w:r>
      <w:r>
        <w:rPr>
          <w:rFonts w:ascii="Garamond" w:cs="Garamond" w:eastAsia="Garamond" w:hAnsi="Garamond"/>
          <w:b/>
          <w:bCs/>
          <w:color w:val="1B2A4A"/>
          <w:sz w:val="22"/>
          <w:szCs w:val="22"/>
        </w:rPr>
        <w:t xml:space="preserve">The Provisional Membership Period</w:t>
      </w:r>
    </w:p>
    <w:p>
      <w:pPr>
        <w:spacing w:after="120" w:before="0"/>
        <w:ind w:left="863"/>
        <w:jc w:val="both"/>
      </w:pPr>
      <w:r>
        <w:rPr>
          <w:rFonts w:ascii="Garamond" w:cs="Garamond" w:eastAsia="Garamond" w:hAnsi="Garamond"/>
          <w:color w:val="2a2520"/>
          <w:sz w:val="22"/>
          <w:szCs w:val="22"/>
        </w:rPr>
        <w:t xml:space="preserve">Upon passing the Statehood Audit, the territory enters a Provisional Membership Period of between 365 and 900 days (Legislature defines by statute). Clean completion results in automatic Statehood — no further action required.</w:t>
      </w:r>
    </w:p>
    <w:p>
      <w:pPr>
        <w:spacing w:after="60" w:before="200"/>
        <w:ind w:left="863"/>
      </w:pPr>
      <w:r>
        <w:rPr>
          <w:rFonts w:ascii="Courier New" w:cs="Courier New" w:eastAsia="Courier New" w:hAnsi="Courier New"/>
          <w:b/>
          <w:bCs/>
          <w:color w:val="1B2A4A"/>
          <w:sz w:val="18"/>
          <w:szCs w:val="18"/>
        </w:rPr>
        <w:t xml:space="preserve">§13.2.d  </w:t>
      </w:r>
      <w:r>
        <w:rPr>
          <w:rFonts w:ascii="Garamond" w:cs="Garamond" w:eastAsia="Garamond" w:hAnsi="Garamond"/>
          <w:b/>
          <w:bCs/>
          <w:color w:val="1B2A4A"/>
          <w:sz w:val="22"/>
          <w:szCs w:val="22"/>
        </w:rPr>
        <w:t xml:space="preserve">Partial Territory Statehood</w:t>
      </w:r>
    </w:p>
    <w:p>
      <w:pPr>
        <w:spacing w:after="120" w:before="0"/>
        <w:ind w:left="863"/>
        <w:jc w:val="both"/>
      </w:pPr>
      <w:r>
        <w:rPr>
          <w:rFonts w:ascii="Garamond" w:cs="Garamond" w:eastAsia="Garamond" w:hAnsi="Garamond"/>
          <w:color w:val="2a2520"/>
          <w:sz w:val="22"/>
          <w:szCs w:val="22"/>
        </w:rPr>
        <w:t xml:space="preserve">A defined geographic subdivision of a Territory may petition for Statehood independently of the remainder. The petitioning subdivision must meet the same Statehood criteria as a whole Territory. Used where a Territory contains a region with clearly different institutional development.</w:t>
      </w:r>
    </w:p>
    <w:p>
      <w:pPr>
        <w:spacing w:after="60" w:before="200"/>
        <w:ind w:left="863"/>
      </w:pPr>
      <w:r>
        <w:rPr>
          <w:rFonts w:ascii="Courier New" w:cs="Courier New" w:eastAsia="Courier New" w:hAnsi="Courier New"/>
          <w:b/>
          <w:bCs/>
          <w:color w:val="1B2A4A"/>
          <w:sz w:val="18"/>
          <w:szCs w:val="18"/>
        </w:rPr>
        <w:t xml:space="preserve">§13.2.e  </w:t>
      </w:r>
      <w:r>
        <w:rPr>
          <w:rFonts w:ascii="Garamond" w:cs="Garamond" w:eastAsia="Garamond" w:hAnsi="Garamond"/>
          <w:b/>
          <w:bCs/>
          <w:color w:val="1B2A4A"/>
          <w:sz w:val="22"/>
          <w:szCs w:val="22"/>
        </w:rPr>
        <w:t xml:space="preserve">Minimum Democratic Legitimacy</w:t>
      </w:r>
    </w:p>
    <w:p>
      <w:pPr>
        <w:spacing w:after="120" w:before="0"/>
        <w:ind w:left="863"/>
        <w:jc w:val="both"/>
      </w:pPr>
      <w:r>
        <w:rPr>
          <w:rFonts w:ascii="Garamond" w:cs="Garamond" w:eastAsia="Garamond" w:hAnsi="Garamond"/>
          <w:color w:val="2a2520"/>
          <w:sz w:val="22"/>
          <w:szCs w:val="22"/>
        </w:rPr>
        <w:t xml:space="preserve">Every State must maintain three ongoing conditions: functioning electoral processes under Article XVI, basic rule of law and judicial function, and Article I rights compliance. Annual Statehood Audit verifies continued compliance. A State that fails receives Early Warning under §13.3.b — it enters a remediation process, not automatic devolution.</w:t>
      </w:r>
    </w:p>
    <w:p>
      <w:pPr>
        <w:spacing w:after="60" w:before="200"/>
        <w:ind w:left="863"/>
      </w:pPr>
      <w:r>
        <w:rPr>
          <w:rFonts w:ascii="Courier New" w:cs="Courier New" w:eastAsia="Courier New" w:hAnsi="Courier New"/>
          <w:b/>
          <w:bCs/>
          <w:color w:val="1B2A4A"/>
          <w:sz w:val="18"/>
          <w:szCs w:val="18"/>
        </w:rPr>
        <w:t xml:space="preserve">§13.2.f  </w:t>
      </w:r>
      <w:r>
        <w:rPr>
          <w:rFonts w:ascii="Garamond" w:cs="Garamond" w:eastAsia="Garamond" w:hAnsi="Garamond"/>
          <w:b/>
          <w:bCs/>
          <w:color w:val="1B2A4A"/>
          <w:sz w:val="22"/>
          <w:szCs w:val="22"/>
        </w:rPr>
        <w:t xml:space="preserve">Territorial Minimum Institutional Floor</w:t>
      </w:r>
    </w:p>
    <w:p>
      <w:pPr>
        <w:spacing w:after="120" w:before="0"/>
        <w:ind w:left="863"/>
        <w:jc w:val="both"/>
      </w:pPr>
      <w:r>
        <w:rPr>
          <w:rFonts w:ascii="Garamond" w:cs="Garamond" w:eastAsia="Garamond" w:hAnsi="Garamond"/>
          <w:color w:val="2a2520"/>
          <w:sz w:val="22"/>
          <w:szCs w:val="22"/>
        </w:rPr>
        <w:t xml:space="preserve">Every Territory must maintain basic governance infrastructure: a governance council with defined membership and published authority, basic public financial reporting, and access to federal court jurisdiction for Article I claims. Territories that cannot maintain this floor may be placed in federal receivership pending institutional restoration.</w:t>
      </w:r>
    </w:p>
    <w:p>
      <w:pPr>
        <w:spacing w:after="60" w:before="200"/>
        <w:ind w:left="863"/>
      </w:pPr>
      <w:r>
        <w:rPr>
          <w:rFonts w:ascii="Courier New" w:cs="Courier New" w:eastAsia="Courier New" w:hAnsi="Courier New"/>
          <w:b/>
          <w:bCs/>
          <w:color w:val="1B2A4A"/>
          <w:sz w:val="18"/>
          <w:szCs w:val="18"/>
        </w:rPr>
        <w:t xml:space="preserve">§13.2.g  </w:t>
      </w:r>
      <w:r>
        <w:rPr>
          <w:rFonts w:ascii="Garamond" w:cs="Garamond" w:eastAsia="Garamond" w:hAnsi="Garamond"/>
          <w:b/>
          <w:bCs/>
          <w:color w:val="1B2A4A"/>
          <w:sz w:val="22"/>
          <w:szCs w:val="22"/>
        </w:rPr>
        <w:t xml:space="preserve">Conflict-Affected State Provisional Status</w:t>
      </w:r>
    </w:p>
    <w:p>
      <w:pPr>
        <w:spacing w:after="120" w:before="0"/>
        <w:ind w:left="863"/>
        <w:jc w:val="both"/>
      </w:pPr>
      <w:r>
        <w:rPr>
          <w:rFonts w:ascii="Garamond" w:cs="Garamond" w:eastAsia="Garamond" w:hAnsi="Garamond"/>
          <w:color w:val="2a2520"/>
          <w:sz w:val="22"/>
          <w:szCs w:val="22"/>
        </w:rPr>
        <w:t xml:space="preserve">Where active conflict prevents completion of the annual Statehood Audit in a significant portion (&gt;25% population) of a State's territory, the LI may grant provisional status for that audit cycle. Preserves State constitutional standing and BNF protections. Cannot be used where the conflict is attributable to the State government's own governance failures (§13.2.g.i).</w:t>
      </w:r>
    </w:p>
    <w:p>
      <w:pPr>
        <w:spacing w:after="60" w:before="200"/>
        <w:ind w:left="1296"/>
      </w:pPr>
      <w:r>
        <w:rPr>
          <w:rFonts w:ascii="Courier New" w:cs="Courier New" w:eastAsia="Courier New" w:hAnsi="Courier New"/>
          <w:b/>
          <w:bCs/>
          <w:color w:val="1B2A4A"/>
          <w:sz w:val="18"/>
          <w:szCs w:val="18"/>
        </w:rPr>
        <w:t xml:space="preserve">§13.2.g.i  </w:t>
      </w:r>
      <w:r>
        <w:rPr>
          <w:rFonts w:ascii="Garamond" w:cs="Garamond" w:eastAsia="Garamond" w:hAnsi="Garamond"/>
          <w:b/>
          <w:bCs/>
          <w:color w:val="1B2A4A"/>
          <w:sz w:val="22"/>
          <w:szCs w:val="22"/>
        </w:rPr>
        <w:t xml:space="preserve">Governance Contribution Standard</w:t>
      </w:r>
    </w:p>
    <w:p>
      <w:pPr>
        <w:spacing w:after="120" w:before="0"/>
        <w:ind w:left="1296"/>
        <w:jc w:val="both"/>
      </w:pPr>
      <w:r>
        <w:rPr>
          <w:rFonts w:ascii="Garamond" w:cs="Garamond" w:eastAsia="Garamond" w:hAnsi="Garamond"/>
          <w:color w:val="2a2520"/>
          <w:sz w:val="22"/>
          <w:szCs w:val="22"/>
        </w:rPr>
        <w:t xml:space="preserve">Provisional status is unavailable where the joint assessment of all three Inspectorates finds that the State government materially contributed to the conditions producing conflict, or failed to take reasonable steps to prevent them when it knew or should have known of those conditions — even where direct State contribution cannot be established. Where this standard is met, the Statehood Audit proceeds on available evidence from accessible areas. Provisional status certification under §13.2.g requires the joint assessment of all three Inspectorates; no single Inspectorate's finding is sufficient to grant or deny provisional status.</w:t>
      </w:r>
    </w:p>
    <w:p>
      <w:pPr>
        <w:spacing w:after="60" w:before="200"/>
        <w:ind w:left="1296"/>
      </w:pPr>
      <w:r>
        <w:rPr>
          <w:rFonts w:ascii="Courier New" w:cs="Courier New" w:eastAsia="Courier New" w:hAnsi="Courier New"/>
          <w:b/>
          <w:bCs/>
          <w:color w:val="1B2A4A"/>
          <w:sz w:val="18"/>
          <w:szCs w:val="18"/>
        </w:rPr>
        <w:t xml:space="preserve">§13.2.g.ii  </w:t>
      </w:r>
      <w:r>
        <w:rPr>
          <w:rFonts w:ascii="Garamond" w:cs="Garamond" w:eastAsia="Garamond" w:hAnsi="Garamond"/>
          <w:b/>
          <w:bCs/>
          <w:color w:val="1B2A4A"/>
          <w:sz w:val="22"/>
          <w:szCs w:val="22"/>
        </w:rPr>
        <w:t xml:space="preserve">Provisional Status Monitoring</w:t>
      </w:r>
    </w:p>
    <w:p>
      <w:pPr>
        <w:spacing w:after="120" w:before="0"/>
        <w:ind w:left="1296"/>
        <w:jc w:val="both"/>
      </w:pPr>
      <w:r>
        <w:rPr>
          <w:rFonts w:ascii="Garamond" w:cs="Garamond" w:eastAsia="Garamond" w:hAnsi="Garamond"/>
          <w:color w:val="2a2520"/>
          <w:sz w:val="22"/>
          <w:szCs w:val="22"/>
        </w:rPr>
        <w:t xml:space="preserve">During any provisional status period, the LI conducts a modified annual Statehood Audit assessing only the criteria that can be meaningfully evaluated given the conflict's geographic scope. The three Inspectorates jointly publish a quarterly status report to the NRS documenting: the percentage of territory where normal audit conditions have been restored, the governance functions operating normally, and the estimated timeline to full audit resumption. The State government retains all constitutional functions in territory not affected by the conflict.</w:t>
      </w:r>
    </w:p>
    <w:p>
      <w:pPr>
        <w:spacing w:after="60" w:before="200"/>
        <w:ind w:left="1296"/>
      </w:pPr>
      <w:r>
        <w:rPr>
          <w:rFonts w:ascii="Courier New" w:cs="Courier New" w:eastAsia="Courier New" w:hAnsi="Courier New"/>
          <w:b/>
          <w:bCs/>
          <w:color w:val="1B2A4A"/>
          <w:sz w:val="18"/>
          <w:szCs w:val="18"/>
        </w:rPr>
        <w:t xml:space="preserve">§13.2.g.iii  </w:t>
      </w:r>
      <w:r>
        <w:rPr>
          <w:rFonts w:ascii="Garamond" w:cs="Garamond" w:eastAsia="Garamond" w:hAnsi="Garamond"/>
          <w:b/>
          <w:bCs/>
          <w:color w:val="1B2A4A"/>
          <w:sz w:val="22"/>
          <w:szCs w:val="22"/>
        </w:rPr>
        <w:t xml:space="preserve">Prior Provisional Status — Renewal Conditions</w:t>
      </w:r>
    </w:p>
    <w:p>
      <w:pPr>
        <w:spacing w:after="120" w:before="0"/>
        <w:ind w:left="1296"/>
        <w:jc w:val="both"/>
      </w:pPr>
      <w:r>
        <w:rPr>
          <w:rFonts w:ascii="Garamond" w:cs="Garamond" w:eastAsia="Garamond" w:hAnsi="Garamond"/>
          <w:color w:val="2a2520"/>
          <w:sz w:val="22"/>
          <w:szCs w:val="22"/>
        </w:rPr>
        <w:t xml:space="preserve">Where a State has previously held provisional status under §13.2.g, a new petition requires the joint Inspectorate assessment to certify both that the new conflict is genuinely distinct from the prior episode and that the State has completed at least one full Statehood Audit cycle since the prior provisional status ended.</w:t>
      </w:r>
    </w:p>
    <w:p>
      <w:pPr>
        <w:spacing w:after="60" w:before="200"/>
        <w:ind w:left="1296"/>
      </w:pPr>
      <w:r>
        <w:rPr>
          <w:rFonts w:ascii="Courier New" w:cs="Courier New" w:eastAsia="Courier New" w:hAnsi="Courier New"/>
          <w:b/>
          <w:bCs/>
          <w:color w:val="1B2A4A"/>
          <w:sz w:val="18"/>
          <w:szCs w:val="18"/>
        </w:rPr>
        <w:t xml:space="preserve">§13.2.g.iv  </w:t>
      </w:r>
      <w:r>
        <w:rPr>
          <w:rFonts w:ascii="Garamond" w:cs="Garamond" w:eastAsia="Garamond" w:hAnsi="Garamond"/>
          <w:b/>
          <w:bCs/>
          <w:color w:val="1B2A4A"/>
          <w:sz w:val="22"/>
          <w:szCs w:val="22"/>
        </w:rPr>
        <w:t xml:space="preserve">Maximum Provisional Period and Default Mechanism</w:t>
      </w:r>
    </w:p>
    <w:p>
      <w:pPr>
        <w:spacing w:after="120" w:before="0"/>
        <w:ind w:left="1296"/>
        <w:jc w:val="both"/>
      </w:pPr>
      <w:r>
        <w:rPr>
          <w:rFonts w:ascii="Garamond" w:cs="Garamond" w:eastAsia="Garamond" w:hAnsi="Garamond"/>
          <w:color w:val="2a2520"/>
          <w:sz w:val="22"/>
          <w:szCs w:val="22"/>
        </w:rPr>
        <w:t xml:space="preserve">Provisional status may not continue indefinitely. The Legislature must by statute define the maximum provisional period, not to exceed five years. Where the Legislature has not enacted an alternative resolution statute within the maximum provisional period, a default mechanism activates automatically: the State is placed under joint federal-State administration within the PM's domestic domain, with full State constitutional rights preserved and State executive functions supervised by a joint commission until security conditions allow audit completion or the Legislature enacts a specific alternative mechanism. Joint administration is not devolution — it preserves the State's constitutional status while ensuring its functions are performed.</w:t>
      </w:r>
    </w:p>
    <w:p>
      <w:pPr>
        <w:spacing w:after="60" w:before="200"/>
        <w:ind w:left="431"/>
      </w:pPr>
      <w:r>
        <w:rPr>
          <w:rFonts w:ascii="Courier New" w:cs="Courier New" w:eastAsia="Courier New" w:hAnsi="Courier New"/>
          <w:b/>
          <w:bCs/>
          <w:color w:val="1B2A4A"/>
          <w:sz w:val="18"/>
          <w:szCs w:val="18"/>
        </w:rPr>
        <w:t xml:space="preserve">§13.3  </w:t>
      </w:r>
      <w:r>
        <w:rPr>
          <w:rFonts w:ascii="Garamond" w:cs="Garamond" w:eastAsia="Garamond" w:hAnsi="Garamond"/>
          <w:b/>
          <w:bCs/>
          <w:color w:val="1B2A4A"/>
          <w:sz w:val="22"/>
          <w:szCs w:val="22"/>
        </w:rPr>
        <w:t xml:space="preserve">Mandatory Devolution</w:t>
      </w:r>
    </w:p>
    <w:p>
      <w:pPr>
        <w:spacing w:after="120" w:before="0"/>
        <w:ind w:left="431"/>
        <w:jc w:val="both"/>
      </w:pPr>
      <w:r>
        <w:rPr>
          <w:rFonts w:ascii="Garamond" w:cs="Garamond" w:eastAsia="Garamond" w:hAnsi="Garamond"/>
          <w:color w:val="2a2520"/>
          <w:sz w:val="22"/>
          <w:szCs w:val="22"/>
        </w:rPr>
        <w:t xml:space="preserve">The remedial process for States that have failed to meet minimum governance standards over a sustained period. Not punishment — a constitutional alternative to indefinite dysfunction. The path back to full Statehood is always available. Devolution restructures the State's relationship with the federal government while preserving its constitutional status.</w:t>
      </w:r>
    </w:p>
    <w:p>
      <w:pPr>
        <w:spacing w:after="60" w:before="200"/>
        <w:ind w:left="863"/>
      </w:pPr>
      <w:r>
        <w:rPr>
          <w:rFonts w:ascii="Courier New" w:cs="Courier New" w:eastAsia="Courier New" w:hAnsi="Courier New"/>
          <w:b/>
          <w:bCs/>
          <w:color w:val="1B2A4A"/>
          <w:sz w:val="18"/>
          <w:szCs w:val="18"/>
        </w:rPr>
        <w:t xml:space="preserve">§13.3.a  </w:t>
      </w:r>
      <w:r>
        <w:rPr>
          <w:rFonts w:ascii="Garamond" w:cs="Garamond" w:eastAsia="Garamond" w:hAnsi="Garamond"/>
          <w:b/>
          <w:bCs/>
          <w:color w:val="1B2A4A"/>
          <w:sz w:val="22"/>
          <w:szCs w:val="22"/>
        </w:rPr>
        <w:t xml:space="preserve">Devolution Triggers</w:t>
      </w:r>
    </w:p>
    <w:p>
      <w:pPr>
        <w:spacing w:after="120" w:before="0"/>
        <w:ind w:left="863"/>
        <w:jc w:val="both"/>
      </w:pPr>
      <w:r>
        <w:rPr>
          <w:rFonts w:ascii="Garamond" w:cs="Garamond" w:eastAsia="Garamond" w:hAnsi="Garamond"/>
          <w:color w:val="2a2520"/>
          <w:sz w:val="22"/>
          <w:szCs w:val="22"/>
        </w:rPr>
        <w:t xml:space="preserve">A State enters Mandatory Devolution if it fails three consecutive annual Statehood Audits after passing through the Early Warning (Year 1-2) and Devolution Vote (Year 3) stages without correction. The LI certifies the trigger; the EI and JI jointly confirm; the SC reviews the factual basis.</w:t>
      </w:r>
    </w:p>
    <w:p>
      <w:pPr>
        <w:spacing w:after="60" w:before="200"/>
        <w:ind w:left="863"/>
      </w:pPr>
      <w:r>
        <w:rPr>
          <w:rFonts w:ascii="Courier New" w:cs="Courier New" w:eastAsia="Courier New" w:hAnsi="Courier New"/>
          <w:b/>
          <w:bCs/>
          <w:color w:val="1B2A4A"/>
          <w:sz w:val="18"/>
          <w:szCs w:val="18"/>
        </w:rPr>
        <w:t xml:space="preserve">§13.3.b  </w:t>
      </w:r>
      <w:r>
        <w:rPr>
          <w:rFonts w:ascii="Garamond" w:cs="Garamond" w:eastAsia="Garamond" w:hAnsi="Garamond"/>
          <w:b/>
          <w:bCs/>
          <w:color w:val="1B2A4A"/>
          <w:sz w:val="22"/>
          <w:szCs w:val="22"/>
        </w:rPr>
        <w:t xml:space="preserve">Early Warning — Years 1 and 2</w:t>
      </w:r>
    </w:p>
    <w:p>
      <w:pPr>
        <w:spacing w:after="120" w:before="0"/>
        <w:ind w:left="863"/>
        <w:jc w:val="both"/>
      </w:pPr>
      <w:r>
        <w:rPr>
          <w:rFonts w:ascii="Garamond" w:cs="Garamond" w:eastAsia="Garamond" w:hAnsi="Garamond"/>
          <w:color w:val="2a2520"/>
          <w:sz w:val="22"/>
          <w:szCs w:val="22"/>
        </w:rPr>
        <w:t xml:space="preserve">Year 1 and 2 audit failures trigger Early Warning: the LI publishes specific compliance requirements, the State submits a Remediation Plan within 60 days, and the LI monitors implementation quarterly. A cooperative remediation process — the federal government assists the State in correcting identified failures rather than immediately proceeding to devolution.</w:t>
      </w:r>
    </w:p>
    <w:p>
      <w:pPr>
        <w:spacing w:after="60" w:before="200"/>
        <w:ind w:left="863"/>
      </w:pPr>
      <w:r>
        <w:rPr>
          <w:rFonts w:ascii="Courier New" w:cs="Courier New" w:eastAsia="Courier New" w:hAnsi="Courier New"/>
          <w:b/>
          <w:bCs/>
          <w:color w:val="1B2A4A"/>
          <w:sz w:val="18"/>
          <w:szCs w:val="18"/>
        </w:rPr>
        <w:t xml:space="preserve">§13.3.c  </w:t>
      </w:r>
      <w:r>
        <w:rPr>
          <w:rFonts w:ascii="Garamond" w:cs="Garamond" w:eastAsia="Garamond" w:hAnsi="Garamond"/>
          <w:b/>
          <w:bCs/>
          <w:color w:val="1B2A4A"/>
          <w:sz w:val="22"/>
          <w:szCs w:val="22"/>
        </w:rPr>
        <w:t xml:space="preserve">Devolution Vote — Year 3</w:t>
      </w:r>
    </w:p>
    <w:p>
      <w:pPr>
        <w:spacing w:after="120" w:before="0"/>
        <w:ind w:left="863"/>
        <w:jc w:val="both"/>
      </w:pPr>
      <w:r>
        <w:rPr>
          <w:rFonts w:ascii="Garamond" w:cs="Garamond" w:eastAsia="Garamond" w:hAnsi="Garamond"/>
          <w:color w:val="2a2520"/>
          <w:sz w:val="22"/>
          <w:szCs w:val="22"/>
        </w:rPr>
        <w:t xml:space="preserve">Year 3 failure triggers a State-level referendum: citizens vote on whether to proceed to devolution or accept a federal remediation commission. If the State chooses the remediation commission, devolution is suspended for 2 years. If devolution is chosen or the commission fails, §13.3.d applies.</w:t>
      </w:r>
    </w:p>
    <w:p>
      <w:pPr>
        <w:spacing w:after="60" w:before="200"/>
        <w:ind w:left="863"/>
      </w:pPr>
      <w:r>
        <w:rPr>
          <w:rFonts w:ascii="Courier New" w:cs="Courier New" w:eastAsia="Courier New" w:hAnsi="Courier New"/>
          <w:b/>
          <w:bCs/>
          <w:color w:val="1B2A4A"/>
          <w:sz w:val="18"/>
          <w:szCs w:val="18"/>
        </w:rPr>
        <w:t xml:space="preserve">§13.3.d  </w:t>
      </w:r>
      <w:r>
        <w:rPr>
          <w:rFonts w:ascii="Garamond" w:cs="Garamond" w:eastAsia="Garamond" w:hAnsi="Garamond"/>
          <w:b/>
          <w:bCs/>
          <w:color w:val="1B2A4A"/>
          <w:sz w:val="22"/>
          <w:szCs w:val="22"/>
        </w:rPr>
        <w:t xml:space="preserve">Effect of Mandatory Devolution</w:t>
      </w:r>
    </w:p>
    <w:p>
      <w:pPr>
        <w:spacing w:after="120" w:before="0"/>
        <w:ind w:left="863"/>
        <w:jc w:val="both"/>
      </w:pPr>
      <w:r>
        <w:rPr>
          <w:rFonts w:ascii="Garamond" w:cs="Garamond" w:eastAsia="Garamond" w:hAnsi="Garamond"/>
          <w:color w:val="2a2520"/>
          <w:sz w:val="22"/>
          <w:szCs w:val="22"/>
        </w:rPr>
        <w:t xml:space="preserve">A devolved State loses its Senate seats on the date the Senate Motion of Devolution takes effect and returns to administrative oversight of the Domestic Affairs Council. The following consequences apply immediately and remain in effect throughout the Territory period: (1) Legislative representation — the two Senate seats are vacated with no special election; existing House members continue their terms to completion; (2) House reapportionment — House seats are recalculated based on population under §3.1.b at the next census cycle; the Territory retains current House representation until then; (3) Taxation — the Territory is exempt from federal income tax throughout the mandatory Territory period, effective at the start of the next fiscal year; this exemption is remedial and expires automatically when the Territory passes the Statehood Audit and enters the Provisional Membership Period, at which point federal income tax obligations resume at the standard rate; (4) Basic Needs Floor — BNF distributions to Territory residents continue without interruption; (5) Article I rights — all protections remain fully in force and are enforced by federal courts with no reduction in scope; (6) State-level governance — elected officials continue their terms and govern under State law; the Domestic Affairs Council exercises oversight without replacing State government; Article I-compliant State laws remain operative; (7) Statehood Audit — the LI assesses the Territory annually; criteria are measured from the current baseline, not the failed-State baseline; the Territory may pass the audit at any annual assessment; (8) Path to restoration — full Statehood is restored automatically upon passing the Statehood Audit and completing the Provisional Membership Period under §13.2; no additional parliamentary vote is required. No additional consequences beyond those listed above may be imposed on the Territory by statute or executive action.</w:t>
      </w:r>
    </w:p>
    <w:p>
      <w:pPr>
        <w:spacing w:after="60" w:before="200"/>
        <w:ind w:left="863"/>
      </w:pPr>
      <w:r>
        <w:rPr>
          <w:rFonts w:ascii="Courier New" w:cs="Courier New" w:eastAsia="Courier New" w:hAnsi="Courier New"/>
          <w:b/>
          <w:bCs/>
          <w:color w:val="1B2A4A"/>
          <w:sz w:val="18"/>
          <w:szCs w:val="18"/>
        </w:rPr>
        <w:t xml:space="preserve">§13.3.e  </w:t>
      </w:r>
      <w:r>
        <w:rPr>
          <w:rFonts w:ascii="Garamond" w:cs="Garamond" w:eastAsia="Garamond" w:hAnsi="Garamond"/>
          <w:b/>
          <w:bCs/>
          <w:color w:val="1B2A4A"/>
          <w:sz w:val="22"/>
          <w:szCs w:val="22"/>
        </w:rPr>
        <w:t xml:space="preserve">Constitutional Challenge to Devolution</w:t>
      </w:r>
    </w:p>
    <w:p>
      <w:pPr>
        <w:spacing w:after="120" w:before="0"/>
        <w:ind w:left="863"/>
        <w:jc w:val="both"/>
      </w:pPr>
      <w:r>
        <w:rPr>
          <w:rFonts w:ascii="Garamond" w:cs="Garamond" w:eastAsia="Garamond" w:hAnsi="Garamond"/>
          <w:color w:val="2a2520"/>
          <w:sz w:val="22"/>
          <w:szCs w:val="22"/>
        </w:rPr>
        <w:t xml:space="preserve">Within 30 days of a Senate Devolution vote, the affected State may petition the Supreme Court for expedited review on a single, narrow ground: whether the Legislative Inspectorate's published audit findings, as a factual matter, meet the constitutional trigger standards of §13.3.a. The Court reviews the factual basis of the audit findings — not the Senate's political judgment, not the policy merits of Devolution, and not the State's economic circumstances. The Court may overturn a Devolution vote only if it finds, by clear and convincing evidence, that the LI's findings are factually insufficient to establish one or more of the three triggers. A finding that the triggers were correctly established but that the State disagrees with the outcome is not grounds for reversal. The petition does not stay the Senate vote or delay Devolution unless the Court orders a temporary stay pending its ruling. The Court must rule within 14 days of the petition being filed.</w:t>
      </w:r>
    </w:p>
    <w:p>
      <w:pPr>
        <w:spacing w:after="60" w:before="200"/>
        <w:ind w:left="431"/>
      </w:pPr>
      <w:r>
        <w:rPr>
          <w:rFonts w:ascii="Courier New" w:cs="Courier New" w:eastAsia="Courier New" w:hAnsi="Courier New"/>
          <w:b/>
          <w:bCs/>
          <w:color w:val="1B2A4A"/>
          <w:sz w:val="18"/>
          <w:szCs w:val="18"/>
        </w:rPr>
        <w:t xml:space="preserve">§13.4  </w:t>
      </w:r>
      <w:r>
        <w:rPr>
          <w:rFonts w:ascii="Garamond" w:cs="Garamond" w:eastAsia="Garamond" w:hAnsi="Garamond"/>
          <w:b/>
          <w:bCs/>
          <w:color w:val="1B2A4A"/>
          <w:sz w:val="22"/>
          <w:szCs w:val="22"/>
        </w:rPr>
        <w:t xml:space="preserve">Voluntary Devolution</w:t>
      </w:r>
    </w:p>
    <w:p>
      <w:pPr>
        <w:spacing w:after="120" w:before="0"/>
        <w:ind w:left="431"/>
        <w:jc w:val="both"/>
      </w:pPr>
      <w:r>
        <w:rPr>
          <w:rFonts w:ascii="Garamond" w:cs="Garamond" w:eastAsia="Garamond" w:hAnsi="Garamond"/>
          <w:color w:val="2a2520"/>
          <w:sz w:val="22"/>
          <w:szCs w:val="22"/>
        </w:rPr>
        <w:t xml:space="preserve">A State may voluntarily seek to restructure its relationship with the Republic. Requires a State referendum (60% of voters), a negotiated restructuring agreement approved by the Senate, and a Transition Plan published to the NRS. The voluntary path preserves far more State agency than mandatory devolution.</w:t>
      </w:r>
    </w:p>
    <w:p>
      <w:pPr>
        <w:spacing w:after="60" w:before="200"/>
        <w:ind w:left="863"/>
      </w:pPr>
      <w:r>
        <w:rPr>
          <w:rFonts w:ascii="Courier New" w:cs="Courier New" w:eastAsia="Courier New" w:hAnsi="Courier New"/>
          <w:b/>
          <w:bCs/>
          <w:color w:val="1B2A4A"/>
          <w:sz w:val="18"/>
          <w:szCs w:val="18"/>
        </w:rPr>
        <w:t xml:space="preserve">§13.4.a  </w:t>
      </w:r>
      <w:r>
        <w:rPr>
          <w:rFonts w:ascii="Garamond" w:cs="Garamond" w:eastAsia="Garamond" w:hAnsi="Garamond"/>
          <w:b/>
          <w:bCs/>
          <w:color w:val="1B2A4A"/>
          <w:sz w:val="22"/>
          <w:szCs w:val="22"/>
        </w:rPr>
        <w:t xml:space="preserve">Voluntary Devolution Vote</w:t>
      </w:r>
    </w:p>
    <w:p>
      <w:pPr>
        <w:spacing w:after="120" w:before="0"/>
        <w:ind w:left="863"/>
        <w:jc w:val="both"/>
      </w:pPr>
      <w:r>
        <w:rPr>
          <w:rFonts w:ascii="Garamond" w:cs="Garamond" w:eastAsia="Garamond" w:hAnsi="Garamond"/>
          <w:color w:val="2a2520"/>
          <w:sz w:val="22"/>
          <w:szCs w:val="22"/>
        </w:rPr>
        <w:t xml:space="preserve">60% of State voters must approve the voluntary devolution petition. The referendum must specify the proposed restructuring: subdivision, merger, conversion to Territory status, or other arrangement. Citizens vote on the specific proposal, not on abstract devolution.</w:t>
      </w:r>
    </w:p>
    <w:p>
      <w:pPr>
        <w:spacing w:after="60" w:before="200"/>
        <w:ind w:left="863"/>
      </w:pPr>
      <w:r>
        <w:rPr>
          <w:rFonts w:ascii="Courier New" w:cs="Courier New" w:eastAsia="Courier New" w:hAnsi="Courier New"/>
          <w:b/>
          <w:bCs/>
          <w:color w:val="1B2A4A"/>
          <w:sz w:val="18"/>
          <w:szCs w:val="18"/>
        </w:rPr>
        <w:t xml:space="preserve">§13.4.b  </w:t>
      </w:r>
      <w:r>
        <w:rPr>
          <w:rFonts w:ascii="Garamond" w:cs="Garamond" w:eastAsia="Garamond" w:hAnsi="Garamond"/>
          <w:b/>
          <w:bCs/>
          <w:color w:val="1B2A4A"/>
          <w:sz w:val="22"/>
          <w:szCs w:val="22"/>
        </w:rPr>
        <w:t xml:space="preserve">Negotiated Restructuring Agreement</w:t>
      </w:r>
    </w:p>
    <w:p>
      <w:pPr>
        <w:spacing w:after="120" w:before="0"/>
        <w:ind w:left="863"/>
        <w:jc w:val="both"/>
      </w:pPr>
      <w:r>
        <w:rPr>
          <w:rFonts w:ascii="Garamond" w:cs="Garamond" w:eastAsia="Garamond" w:hAnsi="Garamond"/>
          <w:color w:val="2a2520"/>
          <w:sz w:val="22"/>
          <w:szCs w:val="22"/>
        </w:rPr>
        <w:t xml:space="preserve">Following a successful referendum, the State and the federal government negotiate restructuring terms: asset and liability allocation, transition timeline, continuing federal obligations, and constitutional status of successor jurisdictions. Senate approval by 2/3 majority required. The agreement is published to the NRS and is legally binding on both parties.</w:t>
      </w:r>
    </w:p>
    <w:p>
      <w:pPr>
        <w:spacing w:after="60" w:before="200"/>
        <w:ind w:left="863"/>
      </w:pPr>
      <w:r>
        <w:rPr>
          <w:rFonts w:ascii="Courier New" w:cs="Courier New" w:eastAsia="Courier New" w:hAnsi="Courier New"/>
          <w:b/>
          <w:bCs/>
          <w:color w:val="1B2A4A"/>
          <w:sz w:val="18"/>
          <w:szCs w:val="18"/>
        </w:rPr>
        <w:t xml:space="preserve">§13.4.c  </w:t>
      </w:r>
      <w:r>
        <w:rPr>
          <w:rFonts w:ascii="Garamond" w:cs="Garamond" w:eastAsia="Garamond" w:hAnsi="Garamond"/>
          <w:b/>
          <w:bCs/>
          <w:color w:val="1B2A4A"/>
          <w:sz w:val="22"/>
          <w:szCs w:val="22"/>
        </w:rPr>
        <w:t xml:space="preserve">Transition Plan</w:t>
      </w:r>
    </w:p>
    <w:p>
      <w:pPr>
        <w:spacing w:after="120" w:before="0"/>
        <w:ind w:left="863"/>
        <w:jc w:val="both"/>
      </w:pPr>
      <w:r>
        <w:rPr>
          <w:rFonts w:ascii="Garamond" w:cs="Garamond" w:eastAsia="Garamond" w:hAnsi="Garamond"/>
          <w:color w:val="2a2520"/>
          <w:sz w:val="22"/>
          <w:szCs w:val="22"/>
        </w:rPr>
        <w:t xml:space="preserve">The Transition Plan specifies which functions transfer and when, how citizen rights are maintained during transition, and what remedies apply if transition encounters implementation problems. The LI monitors Transition Plan implementation and publishes quarterly compliance reports to the NRS.</w:t>
      </w:r>
    </w:p>
    <w:p>
      <w:pPr>
        <w:spacing w:after="60" w:before="200"/>
        <w:ind w:left="863"/>
      </w:pPr>
      <w:r>
        <w:rPr>
          <w:rFonts w:ascii="Courier New" w:cs="Courier New" w:eastAsia="Courier New" w:hAnsi="Courier New"/>
          <w:b/>
          <w:bCs/>
          <w:color w:val="1B2A4A"/>
          <w:sz w:val="18"/>
          <w:szCs w:val="18"/>
        </w:rPr>
        <w:t xml:space="preserve">§13.4.d  </w:t>
      </w:r>
      <w:r>
        <w:rPr>
          <w:rFonts w:ascii="Garamond" w:cs="Garamond" w:eastAsia="Garamond" w:hAnsi="Garamond"/>
          <w:b/>
          <w:bCs/>
          <w:color w:val="1B2A4A"/>
          <w:sz w:val="22"/>
          <w:szCs w:val="22"/>
        </w:rPr>
        <w:t xml:space="preserve">Effect of Voluntary Devolution</w:t>
      </w:r>
    </w:p>
    <w:p>
      <w:pPr>
        <w:spacing w:after="120" w:before="0"/>
        <w:ind w:left="863"/>
        <w:jc w:val="both"/>
      </w:pPr>
      <w:r>
        <w:rPr>
          <w:rFonts w:ascii="Garamond" w:cs="Garamond" w:eastAsia="Garamond" w:hAnsi="Garamond"/>
          <w:color w:val="2a2520"/>
          <w:sz w:val="22"/>
          <w:szCs w:val="22"/>
        </w:rPr>
        <w:t xml:space="preserve">Post-Devolution Status — following voluntary devolution, successor jurisdiction(s) begin their constitutional status from the starting point specified in the restructuring agreement. A subdivision that becomes a Territory enters the Statehood pathway immediately.</w:t>
      </w:r>
    </w:p>
    <w:p>
      <w:pPr>
        <w:spacing w:after="60" w:before="200"/>
        <w:ind w:left="863"/>
      </w:pPr>
      <w:r>
        <w:rPr>
          <w:rFonts w:ascii="Courier New" w:cs="Courier New" w:eastAsia="Courier New" w:hAnsi="Courier New"/>
          <w:b/>
          <w:bCs/>
          <w:color w:val="1B2A4A"/>
          <w:sz w:val="18"/>
          <w:szCs w:val="18"/>
        </w:rPr>
        <w:t xml:space="preserve">§13.4.e  </w:t>
      </w:r>
      <w:r>
        <w:rPr>
          <w:rFonts w:ascii="Garamond" w:cs="Garamond" w:eastAsia="Garamond" w:hAnsi="Garamond"/>
          <w:b/>
          <w:bCs/>
          <w:color w:val="1B2A4A"/>
          <w:sz w:val="22"/>
          <w:szCs w:val="22"/>
        </w:rPr>
        <w:t xml:space="preserve">Negotiated Devolution Pathway</w:t>
      </w:r>
    </w:p>
    <w:p>
      <w:pPr>
        <w:spacing w:after="120" w:before="0"/>
        <w:ind w:left="863"/>
        <w:jc w:val="both"/>
      </w:pPr>
      <w:r>
        <w:rPr>
          <w:rFonts w:ascii="Garamond" w:cs="Garamond" w:eastAsia="Garamond" w:hAnsi="Garamond"/>
          <w:color w:val="2a2520"/>
          <w:sz w:val="22"/>
          <w:szCs w:val="22"/>
        </w:rPr>
        <w:t xml:space="preserve">A State contemplating voluntary devolution may request a formal negotiated devolution agreement with the Republic before the vote. The agreement defines: any statutory commitments the Republic makes regarding Provisional Membership Period duration; the PM's technical assistance obligations during the Territory period; infrastructure and shared-service continuity arrangements; and any transition period for federal program unwinding. The negotiated agreement is published to the NRS and voted upon simultaneously with the devolution vote — residents approve or reject both the devolution and its negotiated terms together. A negotiated agreement may not reduce the two-thirds vote threshold or waive the Fiscal Incidence Study requirement of §13.4.b.</w:t>
      </w:r>
    </w:p>
    <w:p>
      <w:pPr>
        <w:spacing w:after="60" w:before="200"/>
        <w:ind w:left="863"/>
      </w:pPr>
      <w:r>
        <w:rPr>
          <w:rFonts w:ascii="Courier New" w:cs="Courier New" w:eastAsia="Courier New" w:hAnsi="Courier New"/>
          <w:b/>
          <w:bCs/>
          <w:color w:val="1B2A4A"/>
          <w:sz w:val="18"/>
          <w:szCs w:val="18"/>
        </w:rPr>
        <w:t xml:space="preserve">§13.4.f  </w:t>
      </w:r>
      <w:r>
        <w:rPr>
          <w:rFonts w:ascii="Garamond" w:cs="Garamond" w:eastAsia="Garamond" w:hAnsi="Garamond"/>
          <w:b/>
          <w:bCs/>
          <w:color w:val="1B2A4A"/>
          <w:sz w:val="22"/>
          <w:szCs w:val="22"/>
        </w:rPr>
        <w:t xml:space="preserve">Independence Transition Obligations</w:t>
      </w:r>
    </w:p>
    <w:p>
      <w:pPr>
        <w:spacing w:after="120" w:before="0"/>
        <w:ind w:left="863"/>
        <w:jc w:val="both"/>
      </w:pPr>
      <w:r>
        <w:rPr>
          <w:rFonts w:ascii="Garamond" w:cs="Garamond" w:eastAsia="Garamond" w:hAnsi="Garamond"/>
          <w:color w:val="2a2520"/>
          <w:sz w:val="22"/>
          <w:szCs w:val="22"/>
        </w:rPr>
        <w:t xml:space="preserve">Despite §10.1 applying to Republic Inhabitants, the Republic's obligations to the departing territory during the transition period must be specified in the framework agreement. Independence does not end Republic obligations to former Territory residents immediately. The transition period is a period of defined ongoing obligation.</w:t>
      </w:r>
    </w:p>
    <w:p>
      <w:pPr>
        <w:spacing w:after="60" w:before="200"/>
        <w:ind w:left="431"/>
      </w:pPr>
      <w:r>
        <w:rPr>
          <w:rFonts w:ascii="Courier New" w:cs="Courier New" w:eastAsia="Courier New" w:hAnsi="Courier New"/>
          <w:b/>
          <w:bCs/>
          <w:color w:val="1B2A4A"/>
          <w:sz w:val="18"/>
          <w:szCs w:val="18"/>
        </w:rPr>
        <w:t xml:space="preserve">§13.5  </w:t>
      </w:r>
      <w:r>
        <w:rPr>
          <w:rFonts w:ascii="Garamond" w:cs="Garamond" w:eastAsia="Garamond" w:hAnsi="Garamond"/>
          <w:b/>
          <w:bCs/>
          <w:color w:val="1B2A4A"/>
          <w:sz w:val="22"/>
          <w:szCs w:val="22"/>
        </w:rPr>
        <w:t xml:space="preserve">Re-Qualification Pathway</w:t>
      </w:r>
    </w:p>
    <w:p>
      <w:pPr>
        <w:spacing w:after="120" w:before="0"/>
        <w:ind w:left="431"/>
        <w:jc w:val="both"/>
      </w:pPr>
      <w:r>
        <w:rPr>
          <w:rFonts w:ascii="Garamond" w:cs="Garamond" w:eastAsia="Garamond" w:hAnsi="Garamond"/>
          <w:color w:val="2a2520"/>
          <w:sz w:val="22"/>
          <w:szCs w:val="22"/>
        </w:rPr>
        <w:t xml:space="preserve">A Territory resulting from mandatory or voluntary devolution enters the Statehood re-qualification pathway under §13.2 immediately upon the effective date of devolution. No additional political vote is required to begin the pathway. The Territory's re-qualification proceeds under the same Statehood Audit criteria that apply to any other Territory seeking Statehood.</w:t>
      </w:r>
    </w:p>
    <w:p>
      <w:pPr>
        <w:spacing w:after="60" w:before="200"/>
        <w:ind w:left="431"/>
      </w:pPr>
      <w:r>
        <w:rPr>
          <w:rFonts w:ascii="Courier New" w:cs="Courier New" w:eastAsia="Courier New" w:hAnsi="Courier New"/>
          <w:b/>
          <w:bCs/>
          <w:color w:val="1B2A4A"/>
          <w:sz w:val="18"/>
          <w:szCs w:val="18"/>
        </w:rPr>
        <w:t xml:space="preserve">§13.6  </w:t>
      </w:r>
      <w:r>
        <w:rPr>
          <w:rFonts w:ascii="Garamond" w:cs="Garamond" w:eastAsia="Garamond" w:hAnsi="Garamond"/>
          <w:b/>
          <w:bCs/>
          <w:color w:val="1B2A4A"/>
          <w:sz w:val="22"/>
          <w:szCs w:val="22"/>
        </w:rPr>
        <w:t xml:space="preserve">Voluntary Incorporation</w:t>
      </w:r>
    </w:p>
    <w:p>
      <w:pPr>
        <w:spacing w:after="120" w:before="0"/>
        <w:ind w:left="431"/>
        <w:jc w:val="both"/>
      </w:pPr>
      <w:r>
        <w:rPr>
          <w:rFonts w:ascii="Garamond" w:cs="Garamond" w:eastAsia="Garamond" w:hAnsi="Garamond"/>
          <w:color w:val="2a2520"/>
          <w:sz w:val="22"/>
          <w:szCs w:val="22"/>
        </w:rPr>
        <w:t xml:space="preserve">A sovereign entity may petition to join the Republic's constitutional framework as a Territory. The process requires: a petition resolution adopted by the petitioning entity's own legislature or assembly by a 2/3 majority, confirmed by a citizen referendum achieving simple majority approval on a minimum 50% participation threshold — both are required; the Judicial Inspectorate's assessment of whether the entity systematically violates any unamendable Article I provision, published to the NRS within 90 days of petition receipt; and acceptance by the Legislature by a 2/3 majority of both chambers. If the Legislature declines it must publish its reasons to the NRS within 30 days. An accepted petition produces an incorporation agreement specifying a transition period not exceeding 48 months, the institutional adjustments required to meet §13.2.f, and the federal support framework. The incorporated entity immediately holds all Territory protections under §13.1. The Republic may not compel, incentivise, or pressure any sovereign entity to initiate this process — initiation must be an unencumbered democratic act of the petitioning entity's own governance. An indigenous nation recognised under Article XIV that wishes to pursue territorial incorporation must first make a status election through §14.6 before this provision applies.</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XIV — Indigenous Sovereignty</w:t>
      </w:r>
    </w:p>
    <w:p>
      <w:pPr>
        <w:spacing w:after="120"/>
      </w:pPr>
    </w:p>
    <w:p>
      <w:pPr>
        <w:spacing w:after="60" w:before="200"/>
        <w:ind w:left="431"/>
      </w:pPr>
      <w:r>
        <w:rPr>
          <w:rFonts w:ascii="Courier New" w:cs="Courier New" w:eastAsia="Courier New" w:hAnsi="Courier New"/>
          <w:b/>
          <w:bCs/>
          <w:color w:val="1B2A4A"/>
          <w:sz w:val="18"/>
          <w:szCs w:val="18"/>
        </w:rPr>
        <w:t xml:space="preserve">§14.1  </w:t>
      </w:r>
      <w:r>
        <w:rPr>
          <w:rFonts w:ascii="Garamond" w:cs="Garamond" w:eastAsia="Garamond" w:hAnsi="Garamond"/>
          <w:b/>
          <w:bCs/>
          <w:color w:val="1B2A4A"/>
          <w:sz w:val="22"/>
          <w:szCs w:val="22"/>
        </w:rPr>
        <w:t xml:space="preserve">Acknowledgment of Prior Sovereignty</w:t>
      </w:r>
    </w:p>
    <w:p>
      <w:pPr>
        <w:spacing w:after="120" w:before="0"/>
        <w:ind w:left="431"/>
        <w:jc w:val="both"/>
      </w:pPr>
      <w:r>
        <w:rPr>
          <w:rFonts w:ascii="Garamond" w:cs="Garamond" w:eastAsia="Garamond" w:hAnsi="Garamond"/>
          <w:color w:val="2a2520"/>
          <w:sz w:val="22"/>
          <w:szCs w:val="22"/>
        </w:rPr>
        <w:t xml:space="preserve">Indigenous Nation Compact — the foundational provision recognizing that Indigenous Nations within the Republic's territory hold a distinct constitutional relationship based on prior sovereignty. The compact relationship is bilateral: the Republic acknowledges Indigenous prior sovereignty; Indigenous Nations acknowledge the Republic's constitutional framework.</w:t>
      </w:r>
    </w:p>
    <w:p>
      <w:pPr>
        <w:spacing w:after="60" w:before="200"/>
        <w:ind w:left="431"/>
      </w:pPr>
      <w:r>
        <w:rPr>
          <w:rFonts w:ascii="Courier New" w:cs="Courier New" w:eastAsia="Courier New" w:hAnsi="Courier New"/>
          <w:b/>
          <w:bCs/>
          <w:color w:val="1B2A4A"/>
          <w:sz w:val="18"/>
          <w:szCs w:val="18"/>
        </w:rPr>
        <w:t xml:space="preserve">§14.2  </w:t>
      </w:r>
      <w:r>
        <w:rPr>
          <w:rFonts w:ascii="Garamond" w:cs="Garamond" w:eastAsia="Garamond" w:hAnsi="Garamond"/>
          <w:b/>
          <w:bCs/>
          <w:color w:val="1B2A4A"/>
          <w:sz w:val="22"/>
          <w:szCs w:val="22"/>
        </w:rPr>
        <w:t xml:space="preserve">Compact Formation</w:t>
      </w:r>
    </w:p>
    <w:p>
      <w:pPr>
        <w:spacing w:after="120" w:before="0"/>
        <w:ind w:left="431"/>
        <w:jc w:val="both"/>
      </w:pPr>
      <w:r>
        <w:rPr>
          <w:rFonts w:ascii="Garamond" w:cs="Garamond" w:eastAsia="Garamond" w:hAnsi="Garamond"/>
          <w:color w:val="2a2520"/>
          <w:sz w:val="22"/>
          <w:szCs w:val="22"/>
        </w:rPr>
        <w:t xml:space="preserve">An Indigenous Nation may enter a compact with the Republic by submitting a compact proposal to the Senate. The Senate must respond within 90 days. Compact terms are negotiated between the Nation and the PM's domestic affairs office, with JI oversight. Compacts take effect upon 2/3 Senate ratification and Indigenous Nation ratification by their own constitutional process.</w:t>
      </w:r>
    </w:p>
    <w:p>
      <w:pPr>
        <w:spacing w:after="60" w:before="200"/>
        <w:ind w:left="431"/>
      </w:pPr>
      <w:r>
        <w:rPr>
          <w:rFonts w:ascii="Courier New" w:cs="Courier New" w:eastAsia="Courier New" w:hAnsi="Courier New"/>
          <w:b/>
          <w:bCs/>
          <w:color w:val="1B2A4A"/>
          <w:sz w:val="18"/>
          <w:szCs w:val="18"/>
        </w:rPr>
        <w:t xml:space="preserve">§14.3  </w:t>
      </w:r>
      <w:r>
        <w:rPr>
          <w:rFonts w:ascii="Garamond" w:cs="Garamond" w:eastAsia="Garamond" w:hAnsi="Garamond"/>
          <w:b/>
          <w:bCs/>
          <w:color w:val="1B2A4A"/>
          <w:sz w:val="22"/>
          <w:szCs w:val="22"/>
        </w:rPr>
        <w:t xml:space="preserve">Rights and Governance in Compact Territories</w:t>
      </w:r>
    </w:p>
    <w:p>
      <w:pPr>
        <w:spacing w:after="120" w:before="0"/>
        <w:ind w:left="431"/>
        <w:jc w:val="both"/>
      </w:pPr>
      <w:r>
        <w:rPr>
          <w:rFonts w:ascii="Garamond" w:cs="Garamond" w:eastAsia="Garamond" w:hAnsi="Garamond"/>
          <w:color w:val="2a2520"/>
          <w:sz w:val="22"/>
          <w:szCs w:val="22"/>
        </w:rPr>
        <w:t xml:space="preserve">Article I rights apply in full within all compact territories. Indigenous Nations with compacts hold governance, judicial, and resource sovereignty within their territories, subject to the specific terms of this section.</w:t>
      </w:r>
    </w:p>
    <w:p>
      <w:pPr>
        <w:spacing w:after="60" w:before="200"/>
        <w:ind w:left="863"/>
      </w:pPr>
      <w:r>
        <w:rPr>
          <w:rFonts w:ascii="Courier New" w:cs="Courier New" w:eastAsia="Courier New" w:hAnsi="Courier New"/>
          <w:b/>
          <w:bCs/>
          <w:color w:val="1B2A4A"/>
          <w:sz w:val="18"/>
          <w:szCs w:val="18"/>
        </w:rPr>
        <w:t xml:space="preserve">§14.3.a  </w:t>
      </w:r>
      <w:r>
        <w:rPr>
          <w:rFonts w:ascii="Garamond" w:cs="Garamond" w:eastAsia="Garamond" w:hAnsi="Garamond"/>
          <w:b/>
          <w:bCs/>
          <w:color w:val="1B2A4A"/>
          <w:sz w:val="22"/>
          <w:szCs w:val="22"/>
        </w:rPr>
        <w:t xml:space="preserve">Article I Rights in Compact Territories</w:t>
      </w:r>
    </w:p>
    <w:p>
      <w:pPr>
        <w:spacing w:after="120" w:before="0"/>
        <w:ind w:left="863"/>
        <w:jc w:val="both"/>
      </w:pPr>
      <w:r>
        <w:rPr>
          <w:rFonts w:ascii="Garamond" w:cs="Garamond" w:eastAsia="Garamond" w:hAnsi="Garamond"/>
          <w:color w:val="2a2520"/>
          <w:sz w:val="22"/>
          <w:szCs w:val="22"/>
        </w:rPr>
        <w:t xml:space="preserve">Article I rights apply in full within compact territories. No compact provision may limit or qualify any Article I right. The compact creates a framework for Indigenous governance, not a carve-out from constitutional rights. Where compact governance conflicts with an Article I right, Article I prevails.</w:t>
      </w:r>
    </w:p>
    <w:p>
      <w:pPr>
        <w:spacing w:after="60" w:before="200"/>
        <w:ind w:left="863"/>
      </w:pPr>
      <w:r>
        <w:rPr>
          <w:rFonts w:ascii="Courier New" w:cs="Courier New" w:eastAsia="Courier New" w:hAnsi="Courier New"/>
          <w:b/>
          <w:bCs/>
          <w:color w:val="1B2A4A"/>
          <w:sz w:val="18"/>
          <w:szCs w:val="18"/>
        </w:rPr>
        <w:t xml:space="preserve">§14.3.b  </w:t>
      </w:r>
      <w:r>
        <w:rPr>
          <w:rFonts w:ascii="Garamond" w:cs="Garamond" w:eastAsia="Garamond" w:hAnsi="Garamond"/>
          <w:b/>
          <w:bCs/>
          <w:color w:val="1B2A4A"/>
          <w:sz w:val="22"/>
          <w:szCs w:val="22"/>
        </w:rPr>
        <w:t xml:space="preserve">Compact Judicial Authority</w:t>
      </w:r>
    </w:p>
    <w:p>
      <w:pPr>
        <w:spacing w:after="120" w:before="0"/>
        <w:ind w:left="863"/>
        <w:jc w:val="both"/>
      </w:pPr>
      <w:r>
        <w:rPr>
          <w:rFonts w:ascii="Garamond" w:cs="Garamond" w:eastAsia="Garamond" w:hAnsi="Garamond"/>
          <w:color w:val="2a2520"/>
          <w:sz w:val="22"/>
          <w:szCs w:val="22"/>
        </w:rPr>
        <w:t xml:space="preserve">Indigenous Nations with compacts may establish their own courts with jurisdiction over matters within compact scope. These courts operate in parallel with federal courts. Citizens may bring Article I claims directly to federal courts regardless of whether a matter is within compact scope.</w:t>
      </w:r>
    </w:p>
    <w:p>
      <w:pPr>
        <w:spacing w:after="60" w:before="200"/>
        <w:ind w:left="863"/>
      </w:pPr>
      <w:r>
        <w:rPr>
          <w:rFonts w:ascii="Courier New" w:cs="Courier New" w:eastAsia="Courier New" w:hAnsi="Courier New"/>
          <w:b/>
          <w:bCs/>
          <w:color w:val="1B2A4A"/>
          <w:sz w:val="18"/>
          <w:szCs w:val="18"/>
        </w:rPr>
        <w:t xml:space="preserve">§14.3.c  </w:t>
      </w:r>
      <w:r>
        <w:rPr>
          <w:rFonts w:ascii="Garamond" w:cs="Garamond" w:eastAsia="Garamond" w:hAnsi="Garamond"/>
          <w:b/>
          <w:bCs/>
          <w:color w:val="1B2A4A"/>
          <w:sz w:val="22"/>
          <w:szCs w:val="22"/>
        </w:rPr>
        <w:t xml:space="preserve">Land and Resource Sovereignty</w:t>
      </w:r>
    </w:p>
    <w:p>
      <w:pPr>
        <w:spacing w:after="120" w:before="0"/>
        <w:ind w:left="863"/>
        <w:jc w:val="both"/>
      </w:pPr>
      <w:r>
        <w:rPr>
          <w:rFonts w:ascii="Garamond" w:cs="Garamond" w:eastAsia="Garamond" w:hAnsi="Garamond"/>
          <w:color w:val="2a2520"/>
          <w:sz w:val="22"/>
          <w:szCs w:val="22"/>
        </w:rPr>
        <w:t xml:space="preserve">Compact territories include explicit land and resource sovereignty provisions negotiated between the Nation and the Republic. The Republic may not alter compact land provisions without Nation consent. Resource extraction within compact territories requires both Republic and Nation approval.</w:t>
      </w:r>
    </w:p>
    <w:p>
      <w:pPr>
        <w:spacing w:after="60" w:before="200"/>
        <w:ind w:left="863"/>
      </w:pPr>
      <w:r>
        <w:rPr>
          <w:rFonts w:ascii="Courier New" w:cs="Courier New" w:eastAsia="Courier New" w:hAnsi="Courier New"/>
          <w:b/>
          <w:bCs/>
          <w:color w:val="1B2A4A"/>
          <w:sz w:val="18"/>
          <w:szCs w:val="18"/>
        </w:rPr>
        <w:t xml:space="preserve">§14.3.d  </w:t>
      </w:r>
      <w:r>
        <w:rPr>
          <w:rFonts w:ascii="Garamond" w:cs="Garamond" w:eastAsia="Garamond" w:hAnsi="Garamond"/>
          <w:b/>
          <w:bCs/>
          <w:color w:val="1B2A4A"/>
          <w:sz w:val="22"/>
          <w:szCs w:val="22"/>
        </w:rPr>
        <w:t xml:space="preserve">Compact Governance Recognition</w:t>
      </w:r>
    </w:p>
    <w:p>
      <w:pPr>
        <w:spacing w:after="120" w:before="0"/>
        <w:ind w:left="863"/>
        <w:jc w:val="both"/>
      </w:pPr>
      <w:r>
        <w:rPr>
          <w:rFonts w:ascii="Garamond" w:cs="Garamond" w:eastAsia="Garamond" w:hAnsi="Garamond"/>
          <w:color w:val="2a2520"/>
          <w:sz w:val="22"/>
          <w:szCs w:val="22"/>
        </w:rPr>
        <w:t xml:space="preserve">The Republic recognizes the Indigenous Nation's governance structures as legitimate political institutions within compact scope. Federal agencies must coordinate with compact governance bodies. The Republic may not impose federal administrative structures on compact governance without Nation consent.</w:t>
      </w:r>
    </w:p>
    <w:p>
      <w:pPr>
        <w:spacing w:after="60" w:before="200"/>
        <w:ind w:left="863"/>
      </w:pPr>
      <w:r>
        <w:rPr>
          <w:rFonts w:ascii="Courier New" w:cs="Courier New" w:eastAsia="Courier New" w:hAnsi="Courier New"/>
          <w:b/>
          <w:bCs/>
          <w:color w:val="1B2A4A"/>
          <w:sz w:val="18"/>
          <w:szCs w:val="18"/>
        </w:rPr>
        <w:t xml:space="preserve">§14.3.e  </w:t>
      </w:r>
      <w:r>
        <w:rPr>
          <w:rFonts w:ascii="Garamond" w:cs="Garamond" w:eastAsia="Garamond" w:hAnsi="Garamond"/>
          <w:b/>
          <w:bCs/>
          <w:color w:val="1B2A4A"/>
          <w:sz w:val="22"/>
          <w:szCs w:val="22"/>
        </w:rPr>
        <w:t xml:space="preserve">Compact Education and Language</w:t>
      </w:r>
    </w:p>
    <w:p>
      <w:pPr>
        <w:spacing w:after="120" w:before="0"/>
        <w:ind w:left="863"/>
        <w:jc w:val="both"/>
      </w:pPr>
      <w:r>
        <w:rPr>
          <w:rFonts w:ascii="Garamond" w:cs="Garamond" w:eastAsia="Garamond" w:hAnsi="Garamond"/>
          <w:color w:val="2a2520"/>
          <w:sz w:val="22"/>
          <w:szCs w:val="22"/>
        </w:rPr>
        <w:t xml:space="preserve">Compacts must include provisions for preservation and transmission of Indigenous languages and cultural practices. The Republic provides federal education funding that supports Indigenous-language instruction within compact territories.</w:t>
      </w:r>
    </w:p>
    <w:p>
      <w:pPr>
        <w:spacing w:after="60" w:before="200"/>
        <w:ind w:left="431"/>
      </w:pPr>
      <w:r>
        <w:rPr>
          <w:rFonts w:ascii="Courier New" w:cs="Courier New" w:eastAsia="Courier New" w:hAnsi="Courier New"/>
          <w:b/>
          <w:bCs/>
          <w:color w:val="1B2A4A"/>
          <w:sz w:val="18"/>
          <w:szCs w:val="18"/>
        </w:rPr>
        <w:t xml:space="preserve">§14.4  </w:t>
      </w:r>
      <w:r>
        <w:rPr>
          <w:rFonts w:ascii="Garamond" w:cs="Garamond" w:eastAsia="Garamond" w:hAnsi="Garamond"/>
          <w:b/>
          <w:bCs/>
          <w:color w:val="1B2A4A"/>
          <w:sz w:val="22"/>
          <w:szCs w:val="22"/>
        </w:rPr>
        <w:t xml:space="preserve">Compact Administration and Continuity</w:t>
      </w:r>
    </w:p>
    <w:p>
      <w:pPr>
        <w:spacing w:after="120" w:before="0"/>
        <w:ind w:left="431"/>
        <w:jc w:val="both"/>
      </w:pPr>
      <w:r>
        <w:rPr>
          <w:rFonts w:ascii="Garamond" w:cs="Garamond" w:eastAsia="Garamond" w:hAnsi="Garamond"/>
          <w:color w:val="2a2520"/>
          <w:sz w:val="22"/>
          <w:szCs w:val="22"/>
        </w:rPr>
        <w:t xml:space="preserve">Compacts are living agreements administered through joint mechanisms. This section governs dispute resolution, review cycles, and the conditions under which a compact may be modified or terminated.</w:t>
      </w:r>
    </w:p>
    <w:p>
      <w:pPr>
        <w:spacing w:after="60" w:before="200"/>
        <w:ind w:left="863"/>
      </w:pPr>
      <w:r>
        <w:rPr>
          <w:rFonts w:ascii="Courier New" w:cs="Courier New" w:eastAsia="Courier New" w:hAnsi="Courier New"/>
          <w:b/>
          <w:bCs/>
          <w:color w:val="1B2A4A"/>
          <w:sz w:val="18"/>
          <w:szCs w:val="18"/>
        </w:rPr>
        <w:t xml:space="preserve">§14.4.a  </w:t>
      </w:r>
      <w:r>
        <w:rPr>
          <w:rFonts w:ascii="Garamond" w:cs="Garamond" w:eastAsia="Garamond" w:hAnsi="Garamond"/>
          <w:b/>
          <w:bCs/>
          <w:color w:val="1B2A4A"/>
          <w:sz w:val="22"/>
          <w:szCs w:val="22"/>
        </w:rPr>
        <w:t xml:space="preserve">Compact Dispute Resolution</w:t>
      </w:r>
    </w:p>
    <w:p>
      <w:pPr>
        <w:spacing w:after="120" w:before="0"/>
        <w:ind w:left="863"/>
        <w:jc w:val="both"/>
      </w:pPr>
      <w:r>
        <w:rPr>
          <w:rFonts w:ascii="Garamond" w:cs="Garamond" w:eastAsia="Garamond" w:hAnsi="Garamond"/>
          <w:color w:val="2a2520"/>
          <w:sz w:val="22"/>
          <w:szCs w:val="22"/>
        </w:rPr>
        <w:t xml:space="preserve">Disputes about compact terms are resolved through a Joint Compact Review Council (equal representation of the Nation and the Republic) with appeal to the SC on constitutional questions. The Council's decisions are binding on both parties within the scope of the compact. Neither party may unilaterally declare a compact dispute resolved.</w:t>
      </w:r>
    </w:p>
    <w:p>
      <w:pPr>
        <w:spacing w:after="60" w:before="200"/>
        <w:ind w:left="863"/>
      </w:pPr>
      <w:r>
        <w:rPr>
          <w:rFonts w:ascii="Courier New" w:cs="Courier New" w:eastAsia="Courier New" w:hAnsi="Courier New"/>
          <w:b/>
          <w:bCs/>
          <w:color w:val="1B2A4A"/>
          <w:sz w:val="18"/>
          <w:szCs w:val="18"/>
        </w:rPr>
        <w:t xml:space="preserve">§14.4.b  </w:t>
      </w:r>
      <w:r>
        <w:rPr>
          <w:rFonts w:ascii="Garamond" w:cs="Garamond" w:eastAsia="Garamond" w:hAnsi="Garamond"/>
          <w:b/>
          <w:bCs/>
          <w:color w:val="1B2A4A"/>
          <w:sz w:val="22"/>
          <w:szCs w:val="22"/>
        </w:rPr>
        <w:t xml:space="preserve">Compact Review Cycle</w:t>
      </w:r>
    </w:p>
    <w:p>
      <w:pPr>
        <w:spacing w:after="120" w:before="0"/>
        <w:ind w:left="863"/>
        <w:jc w:val="both"/>
      </w:pPr>
      <w:r>
        <w:rPr>
          <w:rFonts w:ascii="Garamond" w:cs="Garamond" w:eastAsia="Garamond" w:hAnsi="Garamond"/>
          <w:color w:val="2a2520"/>
          <w:sz w:val="22"/>
          <w:szCs w:val="22"/>
        </w:rPr>
        <w:t xml:space="preserve">Compacts are reviewed on a schedule defined in the compact terms, minimum every 20 years. Either party may request a review outside the scheduled cycle. Reviews are conducted by the Joint Compact Review Council. The review may result in compact amendment by mutual agreement — neither party can impose amendments.</w:t>
      </w:r>
    </w:p>
    <w:p>
      <w:pPr>
        <w:spacing w:after="60" w:before="200"/>
        <w:ind w:left="863"/>
      </w:pPr>
      <w:r>
        <w:rPr>
          <w:rFonts w:ascii="Courier New" w:cs="Courier New" w:eastAsia="Courier New" w:hAnsi="Courier New"/>
          <w:b/>
          <w:bCs/>
          <w:color w:val="1B2A4A"/>
          <w:sz w:val="18"/>
          <w:szCs w:val="18"/>
        </w:rPr>
        <w:t xml:space="preserve">§14.4.c  </w:t>
      </w:r>
      <w:r>
        <w:rPr>
          <w:rFonts w:ascii="Garamond" w:cs="Garamond" w:eastAsia="Garamond" w:hAnsi="Garamond"/>
          <w:b/>
          <w:bCs/>
          <w:color w:val="1B2A4A"/>
          <w:sz w:val="22"/>
          <w:szCs w:val="22"/>
        </w:rPr>
        <w:t xml:space="preserve">Compact Termination</w:t>
      </w:r>
    </w:p>
    <w:p>
      <w:pPr>
        <w:spacing w:after="120" w:before="0"/>
        <w:ind w:left="863"/>
        <w:jc w:val="both"/>
      </w:pPr>
      <w:r>
        <w:rPr>
          <w:rFonts w:ascii="Garamond" w:cs="Garamond" w:eastAsia="Garamond" w:hAnsi="Garamond"/>
          <w:color w:val="2a2520"/>
          <w:sz w:val="22"/>
          <w:szCs w:val="22"/>
        </w:rPr>
        <w:t xml:space="preserve">A compact may be terminated by mutual agreement only. Neither party may unilaterally terminate a compact. If the Nation seeks termination, the Republic must negotiate exit terms within 2 years. If no agreement is reached, the compact continues and the dispute is referred to the SC.</w:t>
      </w:r>
    </w:p>
    <w:p>
      <w:pPr>
        <w:spacing w:after="60" w:before="200"/>
        <w:ind w:left="431"/>
      </w:pPr>
      <w:r>
        <w:rPr>
          <w:rFonts w:ascii="Courier New" w:cs="Courier New" w:eastAsia="Courier New" w:hAnsi="Courier New"/>
          <w:b/>
          <w:bCs/>
          <w:color w:val="1B2A4A"/>
          <w:sz w:val="18"/>
          <w:szCs w:val="18"/>
        </w:rPr>
        <w:t xml:space="preserve">§14.5  </w:t>
      </w:r>
      <w:r>
        <w:rPr>
          <w:rFonts w:ascii="Garamond" w:cs="Garamond" w:eastAsia="Garamond" w:hAnsi="Garamond"/>
          <w:b/>
          <w:bCs/>
          <w:color w:val="1B2A4A"/>
          <w:sz w:val="22"/>
          <w:szCs w:val="22"/>
        </w:rPr>
        <w:t xml:space="preserve">Federal Obligations and New Compact Petitions</w:t>
      </w:r>
    </w:p>
    <w:p>
      <w:pPr>
        <w:spacing w:after="120" w:before="0"/>
        <w:ind w:left="431"/>
        <w:jc w:val="both"/>
      </w:pPr>
      <w:r>
        <w:rPr>
          <w:rFonts w:ascii="Garamond" w:cs="Garamond" w:eastAsia="Garamond" w:hAnsi="Garamond"/>
          <w:color w:val="2a2520"/>
          <w:sz w:val="22"/>
          <w:szCs w:val="22"/>
        </w:rPr>
        <w:t xml:space="preserve">The Republic holds affirmative obligations to compact territories. Indigenous communities that do not currently hold a compact retain the right to petition for compact recognition under this section.</w:t>
      </w:r>
    </w:p>
    <w:p>
      <w:pPr>
        <w:spacing w:after="60" w:before="200"/>
        <w:ind w:left="863"/>
      </w:pPr>
      <w:r>
        <w:rPr>
          <w:rFonts w:ascii="Courier New" w:cs="Courier New" w:eastAsia="Courier New" w:hAnsi="Courier New"/>
          <w:b/>
          <w:bCs/>
          <w:color w:val="1B2A4A"/>
          <w:sz w:val="18"/>
          <w:szCs w:val="18"/>
        </w:rPr>
        <w:t xml:space="preserve">§14.5.a  </w:t>
      </w:r>
      <w:r>
        <w:rPr>
          <w:rFonts w:ascii="Garamond" w:cs="Garamond" w:eastAsia="Garamond" w:hAnsi="Garamond"/>
          <w:b/>
          <w:bCs/>
          <w:color w:val="1B2A4A"/>
          <w:sz w:val="22"/>
          <w:szCs w:val="22"/>
        </w:rPr>
        <w:t xml:space="preserve">Emergency Rights Writ</w:t>
      </w:r>
    </w:p>
    <w:p>
      <w:pPr>
        <w:spacing w:after="120" w:before="0"/>
        <w:ind w:left="863"/>
        <w:jc w:val="both"/>
      </w:pPr>
      <w:r>
        <w:rPr>
          <w:rFonts w:ascii="Garamond" w:cs="Garamond" w:eastAsia="Garamond" w:hAnsi="Garamond"/>
          <w:color w:val="2a2520"/>
          <w:sz w:val="22"/>
          <w:szCs w:val="22"/>
        </w:rPr>
        <w:t xml:space="preserve">Any resident of compact territory who believes an Article I right has been violated may bring an Emergency Rights Writ directly to the SC, bypassing all lower courts and the compact dispute resolution process. The SC must respond within 7 days. Cannot be displaced by compact terms — a direct constitutional remedy that exists independently of compact jurisdiction.</w:t>
      </w:r>
    </w:p>
    <w:p>
      <w:pPr>
        <w:spacing w:after="60" w:before="200"/>
        <w:ind w:left="863"/>
      </w:pPr>
      <w:r>
        <w:rPr>
          <w:rFonts w:ascii="Courier New" w:cs="Courier New" w:eastAsia="Courier New" w:hAnsi="Courier New"/>
          <w:b/>
          <w:bCs/>
          <w:color w:val="1B2A4A"/>
          <w:sz w:val="18"/>
          <w:szCs w:val="18"/>
        </w:rPr>
        <w:t xml:space="preserve">§14.5.b  </w:t>
      </w:r>
      <w:r>
        <w:rPr>
          <w:rFonts w:ascii="Garamond" w:cs="Garamond" w:eastAsia="Garamond" w:hAnsi="Garamond"/>
          <w:b/>
          <w:bCs/>
          <w:color w:val="1B2A4A"/>
          <w:sz w:val="22"/>
          <w:szCs w:val="22"/>
        </w:rPr>
        <w:t xml:space="preserve">Federal Assistance Obligations</w:t>
      </w:r>
    </w:p>
    <w:p>
      <w:pPr>
        <w:spacing w:after="120" w:before="0"/>
        <w:ind w:left="863"/>
        <w:jc w:val="both"/>
      </w:pPr>
      <w:r>
        <w:rPr>
          <w:rFonts w:ascii="Garamond" w:cs="Garamond" w:eastAsia="Garamond" w:hAnsi="Garamond"/>
          <w:color w:val="2a2520"/>
          <w:sz w:val="22"/>
          <w:szCs w:val="22"/>
        </w:rPr>
        <w:t xml:space="preserve">The Republic maintains specific assistance obligations to compact nations: federal education funding, healthcare access, infrastructure investment, and emergency response. These obligations are enforceable against the Republic by the Nation through the compact dispute resolution process.</w:t>
      </w:r>
    </w:p>
    <w:p>
      <w:pPr>
        <w:spacing w:after="60" w:before="200"/>
        <w:ind w:left="863"/>
      </w:pPr>
      <w:r>
        <w:rPr>
          <w:rFonts w:ascii="Courier New" w:cs="Courier New" w:eastAsia="Courier New" w:hAnsi="Courier New"/>
          <w:b/>
          <w:bCs/>
          <w:color w:val="1B2A4A"/>
          <w:sz w:val="18"/>
          <w:szCs w:val="18"/>
        </w:rPr>
        <w:t xml:space="preserve">§14.5.c  </w:t>
      </w:r>
      <w:r>
        <w:rPr>
          <w:rFonts w:ascii="Garamond" w:cs="Garamond" w:eastAsia="Garamond" w:hAnsi="Garamond"/>
          <w:b/>
          <w:bCs/>
          <w:color w:val="1B2A4A"/>
          <w:sz w:val="22"/>
          <w:szCs w:val="22"/>
        </w:rPr>
        <w:t xml:space="preserve">New Indigenous Compact Petitions</w:t>
      </w:r>
    </w:p>
    <w:p>
      <w:pPr>
        <w:spacing w:after="120" w:before="0"/>
        <w:ind w:left="863"/>
        <w:jc w:val="both"/>
      </w:pPr>
      <w:r>
        <w:rPr>
          <w:rFonts w:ascii="Garamond" w:cs="Garamond" w:eastAsia="Garamond" w:hAnsi="Garamond"/>
          <w:color w:val="2a2520"/>
          <w:sz w:val="22"/>
          <w:szCs w:val="22"/>
        </w:rPr>
        <w:t xml:space="preserve">Indigenous communities that do not currently hold a compact may petition the Senate for compact recognition. The Senate must consider the petition within 90 days and either begin compact negotiations or publish written reasons for declining. A declined petition may be re-submitted after 5 years or after a material change in circumstances.</w:t>
      </w:r>
    </w:p>
    <w:p>
      <w:pPr>
        <w:spacing w:after="60" w:before="200"/>
        <w:ind w:left="863"/>
      </w:pPr>
      <w:r>
        <w:rPr>
          <w:rFonts w:ascii="Courier New" w:cs="Courier New" w:eastAsia="Courier New" w:hAnsi="Courier New"/>
          <w:b/>
          <w:bCs/>
          <w:color w:val="1B2A4A"/>
          <w:sz w:val="18"/>
          <w:szCs w:val="18"/>
        </w:rPr>
        <w:t xml:space="preserve">§14.5.d  </w:t>
      </w:r>
      <w:r>
        <w:rPr>
          <w:rFonts w:ascii="Garamond" w:cs="Garamond" w:eastAsia="Garamond" w:hAnsi="Garamond"/>
          <w:b/>
          <w:bCs/>
          <w:color w:val="1B2A4A"/>
          <w:sz w:val="22"/>
          <w:szCs w:val="22"/>
        </w:rPr>
        <w:t xml:space="preserve">Compact and Citizenship</w:t>
      </w:r>
    </w:p>
    <w:p>
      <w:pPr>
        <w:spacing w:after="120" w:before="0"/>
        <w:ind w:left="863"/>
        <w:jc w:val="both"/>
      </w:pPr>
      <w:r>
        <w:rPr>
          <w:rFonts w:ascii="Garamond" w:cs="Garamond" w:eastAsia="Garamond" w:hAnsi="Garamond"/>
          <w:color w:val="2a2520"/>
          <w:sz w:val="22"/>
          <w:szCs w:val="22"/>
        </w:rPr>
        <w:t xml:space="preserve">Indigenous Nation membership and Republic citizenship are compatible and independent statuses. A citizen of a compact Nation holds full Republic citizenship rights. Republic citizenship does not require renouncing Indigenous Nation membership. Dual status is the constitutional default.</w:t>
      </w:r>
    </w:p>
    <w:p>
      <w:pPr>
        <w:spacing w:after="60" w:before="200"/>
        <w:ind w:left="431"/>
      </w:pPr>
      <w:r>
        <w:rPr>
          <w:rFonts w:ascii="Courier New" w:cs="Courier New" w:eastAsia="Courier New" w:hAnsi="Courier New"/>
          <w:b/>
          <w:bCs/>
          <w:color w:val="1B2A4A"/>
          <w:sz w:val="18"/>
          <w:szCs w:val="18"/>
        </w:rPr>
        <w:t xml:space="preserve">§14.6  </w:t>
      </w:r>
      <w:r>
        <w:rPr>
          <w:rFonts w:ascii="Garamond" w:cs="Garamond" w:eastAsia="Garamond" w:hAnsi="Garamond"/>
          <w:b/>
          <w:bCs/>
          <w:color w:val="1B2A4A"/>
          <w:sz w:val="22"/>
          <w:szCs w:val="22"/>
        </w:rPr>
        <w:t xml:space="preserve">Treaty Supremacy and Continuity</w:t>
      </w:r>
    </w:p>
    <w:p>
      <w:pPr>
        <w:spacing w:after="120" w:before="0"/>
        <w:ind w:left="431"/>
        <w:jc w:val="both"/>
      </w:pPr>
      <w:r>
        <w:rPr>
          <w:rFonts w:ascii="Garamond" w:cs="Garamond" w:eastAsia="Garamond" w:hAnsi="Garamond"/>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through the FPIC framework.</w:t>
      </w:r>
    </w:p>
    <w:p>
      <w:pPr>
        <w:spacing w:after="60" w:before="200"/>
        <w:ind w:left="431"/>
      </w:pPr>
      <w:r>
        <w:rPr>
          <w:rFonts w:ascii="Courier New" w:cs="Courier New" w:eastAsia="Courier New" w:hAnsi="Courier New"/>
          <w:b/>
          <w:bCs/>
          <w:color w:val="1B2A4A"/>
          <w:sz w:val="18"/>
          <w:szCs w:val="18"/>
        </w:rPr>
        <w:t xml:space="preserve">§14.7  </w:t>
      </w:r>
      <w:r>
        <w:rPr>
          <w:rFonts w:ascii="Garamond" w:cs="Garamond" w:eastAsia="Garamond" w:hAnsi="Garamond"/>
          <w:b/>
          <w:bCs/>
          <w:color w:val="1B2A4A"/>
          <w:sz w:val="22"/>
          <w:szCs w:val="22"/>
        </w:rPr>
        <w:t xml:space="preserve">Indigenous Nation Status Elections</w:t>
      </w:r>
    </w:p>
    <w:p>
      <w:pPr>
        <w:spacing w:after="120" w:before="0"/>
        <w:ind w:left="431"/>
        <w:jc w:val="both"/>
      </w:pPr>
      <w:r>
        <w:rPr>
          <w:rFonts w:ascii="Garamond" w:cs="Garamond" w:eastAsia="Garamond" w:hAnsi="Garamond"/>
          <w:color w:val="2a2520"/>
          <w:sz w:val="22"/>
          <w:szCs w:val="22"/>
        </w:rPr>
        <w:t xml:space="preserve">An indigenous nation with an established compact under Article XIV holds the constitutional right to initiate a status transition through its own democratic or traditional governance process. Four status options are available: (a) Compact Status — continued Article XIV compact relationship (default; no election required to remain); (b) Associated Community Status — the Article XIV compact transitions to an Article XX compact relationship under §20.1; (c) Territorial Integration — election to pursue territorial incorporation through §13.6; (d) Full Sovereign Independence — the nation exists outside the Republic's constitutional framework as a fully independent sovereign nation, with the Republic obligated to negotiate a treaty within 24 months governing borders, trade, citizenship, and infrastructure. The Republic may not prefer, discourage, or offer inducements toward any option. The Republic must provide factual information about each status upon request.</w:t>
      </w:r>
    </w:p>
    <w:p>
      <w:pPr>
        <w:spacing w:after="60" w:before="200"/>
        <w:ind w:left="863"/>
      </w:pPr>
      <w:r>
        <w:rPr>
          <w:rFonts w:ascii="Courier New" w:cs="Courier New" w:eastAsia="Courier New" w:hAnsi="Courier New"/>
          <w:b/>
          <w:bCs/>
          <w:color w:val="1B2A4A"/>
          <w:sz w:val="18"/>
          <w:szCs w:val="18"/>
        </w:rPr>
        <w:t xml:space="preserve">§14.7.a  </w:t>
      </w:r>
      <w:r>
        <w:rPr>
          <w:rFonts w:ascii="Garamond" w:cs="Garamond" w:eastAsia="Garamond" w:hAnsi="Garamond"/>
          <w:b/>
          <w:bCs/>
          <w:color w:val="1B2A4A"/>
          <w:sz w:val="22"/>
          <w:szCs w:val="22"/>
        </w:rPr>
        <w:t xml:space="preserve">Status Election Process</w:t>
      </w:r>
    </w:p>
    <w:p>
      <w:pPr>
        <w:spacing w:after="120" w:before="0"/>
        <w:ind w:left="863"/>
        <w:jc w:val="both"/>
      </w:pPr>
      <w:r>
        <w:rPr>
          <w:rFonts w:ascii="Garamond" w:cs="Garamond" w:eastAsia="Garamond" w:hAnsi="Garamond"/>
          <w:color w:val="2a2520"/>
          <w:sz w:val="22"/>
          <w:szCs w:val="22"/>
        </w:rPr>
        <w:t xml:space="preserve">A status election under §14.7 requires: (1) a decision by the nation's own governance process, meeting the standards the nation itself defines for major governance decisions; and (2) publication of the election to the NRS within 30 days of the governance decision. A nation that elects Full Sovereign Independence under §14.7(d) may not subsequently re-enter Article XIV compact status — subsequent association with the Republic follows §20 or §13.6 as a sovereign entity. At ratification, the Republic must formally notify all recognized indigenous compact nations of their rights under §14.7.</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XV — Constitutional Amendment</w:t>
      </w:r>
    </w:p>
    <w:p>
      <w:pPr>
        <w:spacing w:after="120"/>
      </w:pPr>
    </w:p>
    <w:p>
      <w:pPr>
        <w:spacing w:after="60" w:before="200"/>
        <w:ind w:left="431"/>
      </w:pPr>
      <w:r>
        <w:rPr>
          <w:rFonts w:ascii="Courier New" w:cs="Courier New" w:eastAsia="Courier New" w:hAnsi="Courier New"/>
          <w:b/>
          <w:bCs/>
          <w:color w:val="1B2A4A"/>
          <w:sz w:val="18"/>
          <w:szCs w:val="18"/>
        </w:rPr>
        <w:t xml:space="preserve">§15.1  </w:t>
      </w:r>
      <w:r>
        <w:rPr>
          <w:rFonts w:ascii="Garamond" w:cs="Garamond" w:eastAsia="Garamond" w:hAnsi="Garamond"/>
          <w:b/>
          <w:bCs/>
          <w:color w:val="1B2A4A"/>
          <w:sz w:val="22"/>
          <w:szCs w:val="22"/>
        </w:rPr>
        <w:t xml:space="preserve">Three Amendment Paths</w:t>
      </w:r>
    </w:p>
    <w:p>
      <w:pPr>
        <w:spacing w:after="120" w:before="0"/>
        <w:ind w:left="431"/>
        <w:jc w:val="both"/>
      </w:pPr>
      <w:r>
        <w:rPr>
          <w:rFonts w:ascii="Garamond" w:cs="Garamond" w:eastAsia="Garamond" w:hAnsi="Garamond"/>
          <w:color w:val="2a2520"/>
          <w:sz w:val="22"/>
          <w:szCs w:val="22"/>
        </w:rPr>
        <w:t xml:space="preserve">The constitution can be amended through three routes with varying levels of democratic mandate. Path A (Legislature only): 3/4 of both chambers simultaneously. Path B (Legislature + popular vote): 2/3 of both chambers + 55% affirmative with 55% participation. Path C (citizens alone): 70% affirmative with 65% participation. An amendment passed by any path has identical constitutional force.</w:t>
      </w:r>
    </w:p>
    <w:p>
      <w:pPr>
        <w:spacing w:after="60" w:before="200"/>
        <w:ind w:left="863"/>
      </w:pPr>
      <w:r>
        <w:rPr>
          <w:rFonts w:ascii="Courier New" w:cs="Courier New" w:eastAsia="Courier New" w:hAnsi="Courier New"/>
          <w:b/>
          <w:bCs/>
          <w:color w:val="1B2A4A"/>
          <w:sz w:val="18"/>
          <w:szCs w:val="18"/>
        </w:rPr>
        <w:t xml:space="preserve">§15.1.a  </w:t>
      </w:r>
      <w:r>
        <w:rPr>
          <w:rFonts w:ascii="Garamond" w:cs="Garamond" w:eastAsia="Garamond" w:hAnsi="Garamond"/>
          <w:b/>
          <w:bCs/>
          <w:color w:val="1B2A4A"/>
          <w:sz w:val="22"/>
          <w:szCs w:val="22"/>
        </w:rPr>
        <w:t xml:space="preserve">Parliamentary Path</w:t>
      </w:r>
    </w:p>
    <w:p>
      <w:pPr>
        <w:spacing w:after="120" w:before="0"/>
        <w:ind w:left="863"/>
        <w:jc w:val="both"/>
      </w:pPr>
      <w:r>
        <w:rPr>
          <w:rFonts w:ascii="Garamond" w:cs="Garamond" w:eastAsia="Garamond" w:hAnsi="Garamond"/>
          <w:color w:val="2a2520"/>
          <w:sz w:val="22"/>
          <w:szCs w:val="22"/>
        </w:rPr>
        <w:t xml:space="preserve">Legislative Amendment. Requires 3/4 supermajority of the full seated membership of both chambers in a single concurrent vote. No popular referendum. No executive signature. Every member's vote is published to the NRS within 24 hours. The 3/4 threshold is the highest legislative supermajority in the constitution — near-unanimous legislative agreement required.</w:t>
      </w:r>
    </w:p>
    <w:p>
      <w:pPr>
        <w:spacing w:after="60" w:before="200"/>
        <w:ind w:left="863"/>
      </w:pPr>
      <w:r>
        <w:rPr>
          <w:rFonts w:ascii="Courier New" w:cs="Courier New" w:eastAsia="Courier New" w:hAnsi="Courier New"/>
          <w:b/>
          <w:bCs/>
          <w:color w:val="1B2A4A"/>
          <w:sz w:val="18"/>
          <w:szCs w:val="18"/>
        </w:rPr>
        <w:t xml:space="preserve">§15.1.b  </w:t>
      </w:r>
      <w:r>
        <w:rPr>
          <w:rFonts w:ascii="Garamond" w:cs="Garamond" w:eastAsia="Garamond" w:hAnsi="Garamond"/>
          <w:b/>
          <w:bCs/>
          <w:color w:val="1B2A4A"/>
          <w:sz w:val="22"/>
          <w:szCs w:val="22"/>
        </w:rPr>
        <w:t xml:space="preserve">Parliamentary and Popular Path</w:t>
      </w:r>
    </w:p>
    <w:p>
      <w:pPr>
        <w:spacing w:after="120" w:before="0"/>
        <w:ind w:left="863"/>
        <w:jc w:val="both"/>
      </w:pPr>
      <w:r>
        <w:rPr>
          <w:rFonts w:ascii="Garamond" w:cs="Garamond" w:eastAsia="Garamond" w:hAnsi="Garamond"/>
          <w:color w:val="2a2520"/>
          <w:sz w:val="22"/>
          <w:szCs w:val="22"/>
        </w:rPr>
        <w:t xml:space="preserve">Path B — Legislative and Popular Amendment. Lower legislative threshold (2/3 both chambers) but requires the People to ratify. National popular vote within 180 days of the parliamentary vote. 55% affirmative support with at least 55% citizen participation required. EC and LI certify jointly. Neither stage alone is sufficient.</w:t>
      </w:r>
    </w:p>
    <w:p>
      <w:pPr>
        <w:spacing w:after="60" w:before="200"/>
        <w:ind w:left="863"/>
      </w:pPr>
      <w:r>
        <w:rPr>
          <w:rFonts w:ascii="Courier New" w:cs="Courier New" w:eastAsia="Courier New" w:hAnsi="Courier New"/>
          <w:b/>
          <w:bCs/>
          <w:color w:val="1B2A4A"/>
          <w:sz w:val="18"/>
          <w:szCs w:val="18"/>
        </w:rPr>
        <w:t xml:space="preserve">§15.1.c  </w:t>
      </w:r>
      <w:r>
        <w:rPr>
          <w:rFonts w:ascii="Garamond" w:cs="Garamond" w:eastAsia="Garamond" w:hAnsi="Garamond"/>
          <w:b/>
          <w:bCs/>
          <w:color w:val="1B2A4A"/>
          <w:sz w:val="22"/>
          <w:szCs w:val="22"/>
        </w:rPr>
        <w:t xml:space="preserve">Citizen-Led Path</w:t>
      </w:r>
    </w:p>
    <w:p>
      <w:pPr>
        <w:spacing w:after="120" w:before="0"/>
        <w:ind w:left="863"/>
        <w:jc w:val="both"/>
      </w:pPr>
      <w:r>
        <w:rPr>
          <w:rFonts w:ascii="Garamond" w:cs="Garamond" w:eastAsia="Garamond" w:hAnsi="Garamond"/>
          <w:color w:val="2a2520"/>
          <w:sz w:val="22"/>
          <w:szCs w:val="22"/>
        </w:rPr>
        <w:t xml:space="preserve">Citizen-Led Amendment. The only path that entirely bypasses the Legislature. 70% affirmative support with 65% citizen participation required. A vote that fails either threshold fails; no second vote is available. A new petition may be filed immediately under the same process, with the failed vote's NRS record available as public evidence of prior support.</w:t>
      </w:r>
    </w:p>
    <w:p>
      <w:pPr>
        <w:spacing w:after="60" w:before="200"/>
        <w:ind w:left="431"/>
      </w:pPr>
      <w:r>
        <w:rPr>
          <w:rFonts w:ascii="Courier New" w:cs="Courier New" w:eastAsia="Courier New" w:hAnsi="Courier New"/>
          <w:b/>
          <w:bCs/>
          <w:color w:val="1B2A4A"/>
          <w:sz w:val="18"/>
          <w:szCs w:val="18"/>
        </w:rPr>
        <w:t xml:space="preserve">§15.2  </w:t>
      </w:r>
      <w:r>
        <w:rPr>
          <w:rFonts w:ascii="Garamond" w:cs="Garamond" w:eastAsia="Garamond" w:hAnsi="Garamond"/>
          <w:b/>
          <w:bCs/>
          <w:color w:val="1B2A4A"/>
          <w:sz w:val="22"/>
          <w:szCs w:val="22"/>
        </w:rPr>
        <w:t xml:space="preserve">No Executive Veto Over Amendments</w:t>
      </w:r>
    </w:p>
    <w:p>
      <w:pPr>
        <w:spacing w:after="120" w:before="0"/>
        <w:ind w:left="431"/>
        <w:jc w:val="both"/>
      </w:pPr>
      <w:r>
        <w:rPr>
          <w:rFonts w:ascii="Garamond" w:cs="Garamond" w:eastAsia="Garamond" w:hAnsi="Garamond"/>
          <w:color w:val="2a2520"/>
          <w:sz w:val="22"/>
          <w:szCs w:val="22"/>
        </w:rPr>
        <w:t xml:space="preserve">Neither the President nor the PM has any role in the constitutional amendment process. No signature required. No veto available. An amendment takes effect the moment the Inspectorates certify ratification and publish it to the NRS. Constitutional change is entirely outside executive control.</w:t>
      </w:r>
    </w:p>
    <w:p>
      <w:pPr>
        <w:spacing w:after="60" w:before="200"/>
        <w:ind w:left="863"/>
      </w:pPr>
      <w:r>
        <w:rPr>
          <w:rFonts w:ascii="Courier New" w:cs="Courier New" w:eastAsia="Courier New" w:hAnsi="Courier New"/>
          <w:b/>
          <w:bCs/>
          <w:color w:val="1B2A4A"/>
          <w:sz w:val="18"/>
          <w:szCs w:val="18"/>
        </w:rPr>
        <w:t xml:space="preserve">§15.2.a  </w:t>
      </w:r>
      <w:r>
        <w:rPr>
          <w:rFonts w:ascii="Garamond" w:cs="Garamond" w:eastAsia="Garamond" w:hAnsi="Garamond"/>
          <w:b/>
          <w:bCs/>
          <w:color w:val="1B2A4A"/>
          <w:sz w:val="22"/>
          <w:szCs w:val="22"/>
        </w:rPr>
        <w:t xml:space="preserve">Amendment Takes Effect</w:t>
      </w:r>
    </w:p>
    <w:p>
      <w:pPr>
        <w:spacing w:after="120" w:before="0"/>
        <w:ind w:left="863"/>
        <w:jc w:val="both"/>
      </w:pPr>
      <w:r>
        <w:rPr>
          <w:rFonts w:ascii="Garamond" w:cs="Garamond" w:eastAsia="Garamond" w:hAnsi="Garamond"/>
          <w:color w:val="2a2520"/>
          <w:sz w:val="22"/>
          <w:szCs w:val="22"/>
        </w:rPr>
        <w:t xml:space="preserve">An amendment takes effect immediately upon LI certification (Paths A and B) or EC certification (Path C) and NRS publication. No implementation delay, no commencement date, no executive discretion over timing.</w:t>
      </w:r>
    </w:p>
    <w:p>
      <w:pPr>
        <w:spacing w:after="60" w:before="200"/>
        <w:ind w:left="431"/>
      </w:pPr>
      <w:r>
        <w:rPr>
          <w:rFonts w:ascii="Courier New" w:cs="Courier New" w:eastAsia="Courier New" w:hAnsi="Courier New"/>
          <w:b/>
          <w:bCs/>
          <w:color w:val="1B2A4A"/>
          <w:sz w:val="18"/>
          <w:szCs w:val="18"/>
        </w:rPr>
        <w:t xml:space="preserve">§15.3  </w:t>
      </w:r>
      <w:r>
        <w:rPr>
          <w:rFonts w:ascii="Garamond" w:cs="Garamond" w:eastAsia="Garamond" w:hAnsi="Garamond"/>
          <w:b/>
          <w:bCs/>
          <w:color w:val="1B2A4A"/>
          <w:sz w:val="22"/>
          <w:szCs w:val="22"/>
        </w:rPr>
        <w:t xml:space="preserve">Unamendable Provisions</w:t>
      </w:r>
    </w:p>
    <w:p>
      <w:pPr>
        <w:spacing w:after="120" w:before="0"/>
        <w:ind w:left="431"/>
        <w:jc w:val="both"/>
      </w:pPr>
      <w:r>
        <w:rPr>
          <w:rFonts w:ascii="Garamond" w:cs="Garamond" w:eastAsia="Garamond" w:hAnsi="Garamond"/>
          <w:color w:val="2a2520"/>
          <w:sz w:val="22"/>
          <w:szCs w:val="22"/>
        </w:rPr>
        <w:t xml:space="preserve">Six provisions of this constitution may not be amended by any pathway — not by legislative supermajority, popular ratification, or any combination of both. These provisions define the minimum conditions for constitutional legitimacy itself.</w:t>
      </w:r>
    </w:p>
    <w:p>
      <w:pPr>
        <w:spacing w:after="60" w:before="200"/>
        <w:ind w:left="863"/>
      </w:pPr>
      <w:r>
        <w:rPr>
          <w:rFonts w:ascii="Courier New" w:cs="Courier New" w:eastAsia="Courier New" w:hAnsi="Courier New"/>
          <w:b/>
          <w:bCs/>
          <w:color w:val="1B2A4A"/>
          <w:sz w:val="18"/>
          <w:szCs w:val="18"/>
        </w:rPr>
        <w:t xml:space="preserve">§15.3.a  </w:t>
      </w:r>
      <w:r>
        <w:rPr>
          <w:rFonts w:ascii="Garamond" w:cs="Garamond" w:eastAsia="Garamond" w:hAnsi="Garamond"/>
          <w:b/>
          <w:bCs/>
          <w:color w:val="1B2A4A"/>
          <w:sz w:val="22"/>
          <w:szCs w:val="22"/>
        </w:rPr>
        <w:t xml:space="preserve">Permanently Unamendable Provisions</w:t>
      </w:r>
    </w:p>
    <w:p>
      <w:pPr>
        <w:spacing w:after="120" w:before="0"/>
        <w:ind w:left="863"/>
        <w:jc w:val="both"/>
      </w:pPr>
      <w:r>
        <w:rPr>
          <w:rFonts w:ascii="Garamond" w:cs="Garamond" w:eastAsia="Garamond" w:hAnsi="Garamond"/>
          <w:color w:val="2a2520"/>
          <w:sz w:val="22"/>
          <w:szCs w:val="22"/>
        </w:rPr>
        <w:t xml:space="preserve">The Unamendable Floor — six provisions that cannot be amended by any process: §1.3 (torture prohibition), §1.4 (slavery and forced labor), §1.14 (habeas corpus), §1.18 (public trial), §1.19 (no retroactive criminal laws), §1.28 (non-refoulement). Article I as a whole can only expand — no amendment may reduce any Article I right below its current floor.</w:t>
      </w:r>
    </w:p>
    <w:p>
      <w:pPr>
        <w:spacing w:after="60" w:before="200"/>
        <w:ind w:left="431"/>
      </w:pPr>
      <w:r>
        <w:rPr>
          <w:rFonts w:ascii="Courier New" w:cs="Courier New" w:eastAsia="Courier New" w:hAnsi="Courier New"/>
          <w:b/>
          <w:bCs/>
          <w:color w:val="1B2A4A"/>
          <w:sz w:val="18"/>
          <w:szCs w:val="18"/>
        </w:rPr>
        <w:t xml:space="preserve">§15.4  </w:t>
      </w:r>
      <w:r>
        <w:rPr>
          <w:rFonts w:ascii="Garamond" w:cs="Garamond" w:eastAsia="Garamond" w:hAnsi="Garamond"/>
          <w:b/>
          <w:bCs/>
          <w:color w:val="1B2A4A"/>
          <w:sz w:val="22"/>
          <w:szCs w:val="22"/>
        </w:rPr>
        <w:t xml:space="preserve">Territorial Integrity</w:t>
      </w:r>
    </w:p>
    <w:p>
      <w:pPr>
        <w:spacing w:after="120" w:before="0"/>
        <w:ind w:left="431"/>
        <w:jc w:val="both"/>
      </w:pPr>
      <w:r>
        <w:rPr>
          <w:rFonts w:ascii="Garamond" w:cs="Garamond" w:eastAsia="Garamond" w:hAnsi="Garamond"/>
          <w:color w:val="2a2520"/>
          <w:sz w:val="22"/>
          <w:szCs w:val="22"/>
        </w:rPr>
        <w:t xml:space="preserve">The Republic's territorial extent may only be reduced by the consent of the affected population. No State may leave the Republic through ordinary legislation, and no government may cede territory without meeting the threshold established in this section.</w:t>
      </w:r>
    </w:p>
    <w:p>
      <w:pPr>
        <w:spacing w:after="60" w:before="200"/>
        <w:ind w:left="863"/>
      </w:pPr>
      <w:r>
        <w:rPr>
          <w:rFonts w:ascii="Courier New" w:cs="Courier New" w:eastAsia="Courier New" w:hAnsi="Courier New"/>
          <w:b/>
          <w:bCs/>
          <w:color w:val="1B2A4A"/>
          <w:sz w:val="18"/>
          <w:szCs w:val="18"/>
        </w:rPr>
        <w:t xml:space="preserve">§15.4.a  </w:t>
      </w:r>
      <w:r>
        <w:rPr>
          <w:rFonts w:ascii="Garamond" w:cs="Garamond" w:eastAsia="Garamond" w:hAnsi="Garamond"/>
          <w:b/>
          <w:bCs/>
          <w:color w:val="1B2A4A"/>
          <w:sz w:val="22"/>
          <w:szCs w:val="22"/>
        </w:rPr>
        <w:t xml:space="preserve">Territorial Integrity</w:t>
      </w:r>
    </w:p>
    <w:p>
      <w:pPr>
        <w:spacing w:after="120" w:before="0"/>
        <w:ind w:left="863"/>
        <w:jc w:val="both"/>
      </w:pPr>
      <w:r>
        <w:rPr>
          <w:rFonts w:ascii="Garamond" w:cs="Garamond" w:eastAsia="Garamond" w:hAnsi="Garamond"/>
          <w:color w:val="2a2520"/>
          <w:sz w:val="22"/>
          <w:szCs w:val="22"/>
        </w:rPr>
        <w:t xml:space="preserve">The Republic's territorial extent may only be reduced by a Path B or Path C amendment (not Path A). Expansion of territory is governed by §13.1. No executive action may alter the Republic's territorial extent.</w:t>
      </w:r>
    </w:p>
    <w:p>
      <w:pPr>
        <w:spacing w:after="60" w:before="200"/>
        <w:ind w:left="863"/>
      </w:pPr>
      <w:r>
        <w:rPr>
          <w:rFonts w:ascii="Courier New" w:cs="Courier New" w:eastAsia="Courier New" w:hAnsi="Courier New"/>
          <w:b/>
          <w:bCs/>
          <w:color w:val="1B2A4A"/>
          <w:sz w:val="18"/>
          <w:szCs w:val="18"/>
        </w:rPr>
        <w:t xml:space="preserve">§15.4.b  </w:t>
      </w:r>
      <w:r>
        <w:rPr>
          <w:rFonts w:ascii="Garamond" w:cs="Garamond" w:eastAsia="Garamond" w:hAnsi="Garamond"/>
          <w:b/>
          <w:bCs/>
          <w:color w:val="1B2A4A"/>
          <w:sz w:val="22"/>
          <w:szCs w:val="22"/>
        </w:rPr>
        <w:t xml:space="preserve">No Secession by Ordinary Legislation</w:t>
      </w:r>
    </w:p>
    <w:p>
      <w:pPr>
        <w:spacing w:after="120" w:before="0"/>
        <w:ind w:left="863"/>
        <w:jc w:val="both"/>
      </w:pPr>
      <w:r>
        <w:rPr>
          <w:rFonts w:ascii="Garamond" w:cs="Garamond" w:eastAsia="Garamond" w:hAnsi="Garamond"/>
          <w:color w:val="2a2520"/>
          <w:sz w:val="22"/>
          <w:szCs w:val="22"/>
        </w:rPr>
        <w:t xml:space="preserve">A State may not secede from the Republic by ordinary statute or by State referendum alone. Secession requires a constitutional amendment — Path B or C — meaning a national democratic majority must consent to the departure of any State.</w:t>
      </w:r>
    </w:p>
    <w:p>
      <w:pPr>
        <w:spacing w:after="60" w:before="200"/>
        <w:ind w:left="431"/>
      </w:pPr>
      <w:r>
        <w:rPr>
          <w:rFonts w:ascii="Courier New" w:cs="Courier New" w:eastAsia="Courier New" w:hAnsi="Courier New"/>
          <w:b/>
          <w:bCs/>
          <w:color w:val="1B2A4A"/>
          <w:sz w:val="18"/>
          <w:szCs w:val="18"/>
        </w:rPr>
        <w:t xml:space="preserve">§15.5  </w:t>
      </w:r>
      <w:r>
        <w:rPr>
          <w:rFonts w:ascii="Garamond" w:cs="Garamond" w:eastAsia="Garamond" w:hAnsi="Garamond"/>
          <w:b/>
          <w:bCs/>
          <w:color w:val="1B2A4A"/>
          <w:sz w:val="22"/>
          <w:szCs w:val="22"/>
        </w:rPr>
        <w:t xml:space="preserve">Amendment Consistency Requirement</w:t>
      </w:r>
    </w:p>
    <w:p>
      <w:pPr>
        <w:spacing w:after="120" w:before="0"/>
        <w:ind w:left="431"/>
        <w:jc w:val="both"/>
      </w:pPr>
      <w:r>
        <w:rPr>
          <w:rFonts w:ascii="Garamond" w:cs="Garamond" w:eastAsia="Garamond" w:hAnsi="Garamond"/>
          <w:color w:val="2a2520"/>
          <w:sz w:val="22"/>
          <w:szCs w:val="22"/>
        </w:rPr>
        <w:t xml:space="preserve">An amendment that is logically inconsistent with an existing provision must either explicitly repeal the inconsistent provision or the inconsistency is treated as void. The LI reviews all proposed amendments for internal consistency before ratification.</w:t>
      </w:r>
    </w:p>
    <w:p>
      <w:pPr>
        <w:spacing w:after="60" w:before="200"/>
        <w:ind w:left="863"/>
      </w:pPr>
      <w:r>
        <w:rPr>
          <w:rFonts w:ascii="Courier New" w:cs="Courier New" w:eastAsia="Courier New" w:hAnsi="Courier New"/>
          <w:b/>
          <w:bCs/>
          <w:color w:val="1B2A4A"/>
          <w:sz w:val="18"/>
          <w:szCs w:val="18"/>
        </w:rPr>
        <w:t xml:space="preserve">§15.5.a  </w:t>
      </w:r>
      <w:r>
        <w:rPr>
          <w:rFonts w:ascii="Garamond" w:cs="Garamond" w:eastAsia="Garamond" w:hAnsi="Garamond"/>
          <w:b/>
          <w:bCs/>
          <w:color w:val="1B2A4A"/>
          <w:sz w:val="22"/>
          <w:szCs w:val="22"/>
        </w:rPr>
        <w:t xml:space="preserve">LI Consistency Review</w:t>
      </w:r>
    </w:p>
    <w:p>
      <w:pPr>
        <w:spacing w:after="120" w:before="0"/>
        <w:ind w:left="863"/>
        <w:jc w:val="both"/>
      </w:pPr>
      <w:r>
        <w:rPr>
          <w:rFonts w:ascii="Garamond" w:cs="Garamond" w:eastAsia="Garamond" w:hAnsi="Garamond"/>
          <w:color w:val="2a2520"/>
          <w:sz w:val="22"/>
          <w:szCs w:val="22"/>
        </w:rPr>
        <w:t xml:space="preserve">The LI publishes a consistency analysis of any proposed amendment within 30 days of its official proposal. Identifies provisions the amendment would supersede, modify, or conflict with. Advisory — it does not block ratification — but creates a permanent public record of what the amendment changes.</w:t>
      </w:r>
    </w:p>
    <w:p>
      <w:pPr>
        <w:spacing w:after="60" w:before="200"/>
        <w:ind w:left="863"/>
      </w:pPr>
      <w:r>
        <w:rPr>
          <w:rFonts w:ascii="Courier New" w:cs="Courier New" w:eastAsia="Courier New" w:hAnsi="Courier New"/>
          <w:b/>
          <w:bCs/>
          <w:color w:val="1B2A4A"/>
          <w:sz w:val="18"/>
          <w:szCs w:val="18"/>
        </w:rPr>
        <w:t xml:space="preserve">§15.5.b  </w:t>
      </w:r>
      <w:r>
        <w:rPr>
          <w:rFonts w:ascii="Garamond" w:cs="Garamond" w:eastAsia="Garamond" w:hAnsi="Garamond"/>
          <w:b/>
          <w:bCs/>
          <w:color w:val="1B2A4A"/>
          <w:sz w:val="22"/>
          <w:szCs w:val="22"/>
        </w:rPr>
        <w:t xml:space="preserve">SC Consistency Adjudication</w:t>
      </w:r>
    </w:p>
    <w:p>
      <w:pPr>
        <w:spacing w:after="120" w:before="0"/>
        <w:ind w:left="863"/>
        <w:jc w:val="both"/>
      </w:pPr>
      <w:r>
        <w:rPr>
          <w:rFonts w:ascii="Garamond" w:cs="Garamond" w:eastAsia="Garamond" w:hAnsi="Garamond"/>
          <w:color w:val="2a2520"/>
          <w:sz w:val="22"/>
          <w:szCs w:val="22"/>
        </w:rPr>
        <w:t xml:space="preserve">If a ratified amendment's consistency with existing provisions is disputed, the SC resolves the dispute on expedited review. The SC may not refuse to ratify an amendment that has met its procedural thresholds — it adjudicates the consistency question after ratification, not before.</w:t>
      </w:r>
    </w:p>
    <w:p>
      <w:pPr>
        <w:spacing w:after="60" w:before="200"/>
        <w:ind w:left="863"/>
      </w:pPr>
      <w:r>
        <w:rPr>
          <w:rFonts w:ascii="Courier New" w:cs="Courier New" w:eastAsia="Courier New" w:hAnsi="Courier New"/>
          <w:b/>
          <w:bCs/>
          <w:color w:val="1B2A4A"/>
          <w:sz w:val="18"/>
          <w:szCs w:val="18"/>
        </w:rPr>
        <w:t xml:space="preserve">§15.5.c  </w:t>
      </w:r>
      <w:r>
        <w:rPr>
          <w:rFonts w:ascii="Garamond" w:cs="Garamond" w:eastAsia="Garamond" w:hAnsi="Garamond"/>
          <w:b/>
          <w:bCs/>
          <w:color w:val="1B2A4A"/>
          <w:sz w:val="22"/>
          <w:szCs w:val="22"/>
        </w:rPr>
        <w:t xml:space="preserve">Retroactive Effect of Amendments</w:t>
      </w:r>
    </w:p>
    <w:p>
      <w:pPr>
        <w:spacing w:after="120" w:before="0"/>
        <w:ind w:left="863"/>
        <w:jc w:val="both"/>
      </w:pPr>
      <w:r>
        <w:rPr>
          <w:rFonts w:ascii="Garamond" w:cs="Garamond" w:eastAsia="Garamond" w:hAnsi="Garamond"/>
          <w:color w:val="2a2520"/>
          <w:sz w:val="22"/>
          <w:szCs w:val="22"/>
        </w:rPr>
        <w:t xml:space="preserve">Amendments take prospective effect from the date of ratification. They do not retroactively alter the constitutionality of acts that were constitutional when performed. Criminal prosecutions and civil proceedings that were constitutionally valid when commenced remain valid under the prior constitutional standard.</w:t>
      </w:r>
    </w:p>
    <w:p>
      <w:pPr>
        <w:spacing w:after="60" w:before="200"/>
        <w:ind w:left="863"/>
      </w:pPr>
      <w:r>
        <w:rPr>
          <w:rFonts w:ascii="Courier New" w:cs="Courier New" w:eastAsia="Courier New" w:hAnsi="Courier New"/>
          <w:b/>
          <w:bCs/>
          <w:color w:val="1B2A4A"/>
          <w:sz w:val="18"/>
          <w:szCs w:val="18"/>
        </w:rPr>
        <w:t xml:space="preserve">§15.5.d  </w:t>
      </w:r>
      <w:r>
        <w:rPr>
          <w:rFonts w:ascii="Garamond" w:cs="Garamond" w:eastAsia="Garamond" w:hAnsi="Garamond"/>
          <w:b/>
          <w:bCs/>
          <w:color w:val="1B2A4A"/>
          <w:sz w:val="22"/>
          <w:szCs w:val="22"/>
        </w:rPr>
        <w:t xml:space="preserve">Simultaneous Amendments</w:t>
      </w:r>
    </w:p>
    <w:p>
      <w:pPr>
        <w:spacing w:after="120" w:before="0"/>
        <w:ind w:left="863"/>
        <w:jc w:val="both"/>
      </w:pPr>
      <w:r>
        <w:rPr>
          <w:rFonts w:ascii="Garamond" w:cs="Garamond" w:eastAsia="Garamond" w:hAnsi="Garamond"/>
          <w:color w:val="2a2520"/>
          <w:sz w:val="22"/>
          <w:szCs w:val="22"/>
        </w:rPr>
        <w:t xml:space="preserve">Two amendments may be simultaneously in the ratification process. If both pass, both are law. If they conflict with each other, the one ratified later in time prevails. Where two conflicting amendments are certified on the same day, the amendment with the higher ratification margin prevails; where margins are also equal, the amendment whose proposal stage was completed earlier in time prevails as determined by the LI from NRS records. The LI publishes a notice of any pending simultaneous amendments that are potentially inconsistent with each other.</w:t>
      </w:r>
    </w:p>
    <w:p>
      <w:pPr>
        <w:spacing w:after="60" w:before="200"/>
        <w:ind w:left="863"/>
      </w:pPr>
      <w:r>
        <w:rPr>
          <w:rFonts w:ascii="Courier New" w:cs="Courier New" w:eastAsia="Courier New" w:hAnsi="Courier New"/>
          <w:b/>
          <w:bCs/>
          <w:color w:val="1B2A4A"/>
          <w:sz w:val="18"/>
          <w:szCs w:val="18"/>
        </w:rPr>
        <w:t xml:space="preserve">§15.5.e  </w:t>
      </w:r>
      <w:r>
        <w:rPr>
          <w:rFonts w:ascii="Garamond" w:cs="Garamond" w:eastAsia="Garamond" w:hAnsi="Garamond"/>
          <w:b/>
          <w:bCs/>
          <w:color w:val="1B2A4A"/>
          <w:sz w:val="22"/>
          <w:szCs w:val="22"/>
        </w:rPr>
        <w:t xml:space="preserve">Withdrawn Amendments</w:t>
      </w:r>
    </w:p>
    <w:p>
      <w:pPr>
        <w:spacing w:after="120" w:before="0"/>
        <w:ind w:left="863"/>
        <w:jc w:val="both"/>
      </w:pPr>
      <w:r>
        <w:rPr>
          <w:rFonts w:ascii="Garamond" w:cs="Garamond" w:eastAsia="Garamond" w:hAnsi="Garamond"/>
          <w:color w:val="2a2520"/>
          <w:sz w:val="22"/>
          <w:szCs w:val="22"/>
        </w:rPr>
        <w:t xml:space="preserve">A proposed amendment may be withdrawn by the proposing body at any point before ratification is certified. Once ratification is certified, an amendment may only be reversed by a subsequent amendment through one of the three paths.</w:t>
      </w:r>
    </w:p>
    <w:p>
      <w:pPr>
        <w:spacing w:after="60" w:before="200"/>
        <w:ind w:left="431"/>
      </w:pPr>
      <w:r>
        <w:rPr>
          <w:rFonts w:ascii="Courier New" w:cs="Courier New" w:eastAsia="Courier New" w:hAnsi="Courier New"/>
          <w:b/>
          <w:bCs/>
          <w:color w:val="1B2A4A"/>
          <w:sz w:val="18"/>
          <w:szCs w:val="18"/>
        </w:rPr>
        <w:t xml:space="preserve">§15.6  </w:t>
      </w:r>
      <w:r>
        <w:rPr>
          <w:rFonts w:ascii="Garamond" w:cs="Garamond" w:eastAsia="Garamond" w:hAnsi="Garamond"/>
          <w:b/>
          <w:bCs/>
          <w:color w:val="1B2A4A"/>
          <w:sz w:val="22"/>
          <w:szCs w:val="22"/>
        </w:rPr>
        <w:t xml:space="preserve">Supremacy of This Constitution</w:t>
      </w:r>
    </w:p>
    <w:p>
      <w:pPr>
        <w:spacing w:after="120" w:before="0"/>
        <w:ind w:left="431"/>
        <w:jc w:val="both"/>
      </w:pPr>
      <w:r>
        <w:rPr>
          <w:rFonts w:ascii="Garamond" w:cs="Garamond" w:eastAsia="Garamond" w:hAnsi="Garamond"/>
          <w:color w:val="2a2520"/>
          <w:sz w:val="22"/>
          <w:szCs w:val="22"/>
        </w:rPr>
        <w:t xml:space="preserve">Constitutional Supremacy — 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XVI — The Electoral Commission</w:t>
      </w:r>
    </w:p>
    <w:p>
      <w:pPr>
        <w:spacing w:after="120"/>
      </w:pPr>
    </w:p>
    <w:p>
      <w:pPr>
        <w:spacing w:after="60" w:before="200"/>
        <w:ind w:left="431"/>
      </w:pPr>
      <w:r>
        <w:rPr>
          <w:rFonts w:ascii="Courier New" w:cs="Courier New" w:eastAsia="Courier New" w:hAnsi="Courier New"/>
          <w:b/>
          <w:bCs/>
          <w:color w:val="1B2A4A"/>
          <w:sz w:val="18"/>
          <w:szCs w:val="18"/>
        </w:rPr>
        <w:t xml:space="preserve">§16.1  </w:t>
      </w:r>
      <w:r>
        <w:rPr>
          <w:rFonts w:ascii="Garamond" w:cs="Garamond" w:eastAsia="Garamond" w:hAnsi="Garamond"/>
          <w:b/>
          <w:bCs/>
          <w:color w:val="1B2A4A"/>
          <w:sz w:val="22"/>
          <w:szCs w:val="22"/>
        </w:rPr>
        <w:t xml:space="preserve">Electoral Commission</w:t>
      </w:r>
    </w:p>
    <w:p>
      <w:pPr>
        <w:spacing w:after="120" w:before="0"/>
        <w:ind w:left="431"/>
        <w:jc w:val="both"/>
      </w:pPr>
      <w:r>
        <w:rPr>
          <w:rFonts w:ascii="Garamond" w:cs="Garamond" w:eastAsia="Garamond" w:hAnsi="Garamond"/>
          <w:color w:val="2a2520"/>
          <w:sz w:val="22"/>
          <w:szCs w:val="22"/>
        </w:rPr>
        <w:t xml:space="preserve">The Electoral Commission is a constitutionally independent body of five members elected by national ranked-choice vote on National Election Day to non-renewable six-year staggered terms. No political body nominates EC members. The EC administers all federal elections and referenda, maintains the National Voting System, enforces Article XVIII campaign finance requirements, and certifies all election results to the NRS. The EC is independent of both executives and the Legislature in the exercise of its administrative and certification functions. No member of the EC may have held elected office or party membership within ten years of their election.</w:t>
      </w:r>
    </w:p>
    <w:p>
      <w:pPr>
        <w:spacing w:after="60" w:before="200"/>
        <w:ind w:left="431"/>
      </w:pPr>
      <w:r>
        <w:rPr>
          <w:rFonts w:ascii="Courier New" w:cs="Courier New" w:eastAsia="Courier New" w:hAnsi="Courier New"/>
          <w:b/>
          <w:bCs/>
          <w:color w:val="1B2A4A"/>
          <w:sz w:val="18"/>
          <w:szCs w:val="18"/>
        </w:rPr>
        <w:t xml:space="preserve">§16.2  </w:t>
      </w:r>
      <w:r>
        <w:rPr>
          <w:rFonts w:ascii="Garamond" w:cs="Garamond" w:eastAsia="Garamond" w:hAnsi="Garamond"/>
          <w:b/>
          <w:bCs/>
          <w:color w:val="1B2A4A"/>
          <w:sz w:val="22"/>
          <w:szCs w:val="22"/>
        </w:rPr>
        <w:t xml:space="preserve">Electoral Commission Qualifications</w:t>
      </w:r>
    </w:p>
    <w:p>
      <w:pPr>
        <w:spacing w:after="120" w:before="0"/>
        <w:ind w:left="431"/>
        <w:jc w:val="both"/>
      </w:pPr>
      <w:r>
        <w:rPr>
          <w:rFonts w:ascii="Garamond" w:cs="Garamond" w:eastAsia="Garamond" w:hAnsi="Garamond"/>
          <w:color w:val="2a2520"/>
          <w:sz w:val="22"/>
          <w:szCs w:val="22"/>
        </w:rPr>
        <w:t xml:space="preserve">Electoral Commission members must meet three independently verified requirements: at least 15 years of professional expertise in elections, technology, or public administration; no current or recent partisan affiliation; and passage of the Constitutional Logic Test. The qualifications are substantive — the EC requires genuine expertise.</w:t>
      </w:r>
    </w:p>
    <w:p>
      <w:pPr>
        <w:spacing w:after="60" w:before="200"/>
        <w:ind w:left="863"/>
      </w:pPr>
      <w:r>
        <w:rPr>
          <w:rFonts w:ascii="Courier New" w:cs="Courier New" w:eastAsia="Courier New" w:hAnsi="Courier New"/>
          <w:b/>
          <w:bCs/>
          <w:color w:val="1B2A4A"/>
          <w:sz w:val="18"/>
          <w:szCs w:val="18"/>
        </w:rPr>
        <w:t xml:space="preserve">§16.2.a  </w:t>
      </w:r>
      <w:r>
        <w:rPr>
          <w:rFonts w:ascii="Garamond" w:cs="Garamond" w:eastAsia="Garamond" w:hAnsi="Garamond"/>
          <w:b/>
          <w:bCs/>
          <w:color w:val="1B2A4A"/>
          <w:sz w:val="22"/>
          <w:szCs w:val="22"/>
        </w:rPr>
        <w:t xml:space="preserve">Electoral Commission Removal</w:t>
      </w:r>
    </w:p>
    <w:p>
      <w:pPr>
        <w:spacing w:after="120" w:before="0"/>
        <w:ind w:left="863"/>
        <w:jc w:val="both"/>
      </w:pPr>
      <w:r>
        <w:rPr>
          <w:rFonts w:ascii="Garamond" w:cs="Garamond" w:eastAsia="Garamond" w:hAnsi="Garamond"/>
          <w:color w:val="2a2520"/>
          <w:sz w:val="22"/>
          <w:szCs w:val="22"/>
        </w:rPr>
        <w:t xml:space="preserve">Electoral Commission members may be removed for cause only. No no-cause removal is available for EC members. For-cause removal requires: a JI-documented finding transmitted to a State Designee Panel under §8.9.f; a Panel determination that stated grounds are substantiated; a 14-day SC appeal window from publication of the Panel finding; and a 2/3 vote of both chambers simultaneously. Where the Panel finding is substantiated, the EC member is suspended from all duties pending the legislative vote and any SC review. On legislative acquittal following a substantiated Panel finding, the member returns to full duties immediately. Any removal vote scheduled within 180 days of a major national election is automatically suspended pending SC review within 48 hours; the proximity restriction applies to the removal vote, not to Panel-triggered suspension of duties.</w:t>
      </w:r>
    </w:p>
    <w:p>
      <w:pPr>
        <w:spacing w:after="60" w:before="200"/>
        <w:ind w:left="431"/>
      </w:pPr>
      <w:r>
        <w:rPr>
          <w:rFonts w:ascii="Courier New" w:cs="Courier New" w:eastAsia="Courier New" w:hAnsi="Courier New"/>
          <w:b/>
          <w:bCs/>
          <w:color w:val="1B2A4A"/>
          <w:sz w:val="18"/>
          <w:szCs w:val="18"/>
        </w:rPr>
        <w:t xml:space="preserve">§16.3  </w:t>
      </w:r>
      <w:r>
        <w:rPr>
          <w:rFonts w:ascii="Garamond" w:cs="Garamond" w:eastAsia="Garamond" w:hAnsi="Garamond"/>
          <w:b/>
          <w:bCs/>
          <w:color w:val="1B2A4A"/>
          <w:sz w:val="22"/>
          <w:szCs w:val="22"/>
        </w:rPr>
        <w:t xml:space="preserve">NVS Properties</w:t>
      </w:r>
    </w:p>
    <w:p>
      <w:pPr>
        <w:spacing w:after="120" w:before="0"/>
        <w:ind w:left="431"/>
        <w:jc w:val="both"/>
      </w:pPr>
      <w:r>
        <w:rPr>
          <w:rFonts w:ascii="Garamond" w:cs="Garamond" w:eastAsia="Garamond" w:hAnsi="Garamond"/>
          <w:color w:val="2a2520"/>
          <w:sz w:val="22"/>
          <w:szCs w:val="22"/>
        </w:rPr>
        <w:t xml:space="preserve">Three constitutionally required properties of the National Voting System: ballot secrecy (technically impossible to link any vote to any voter), public auditability (aggregate results mathematically verifiable by anyone with NRS access), and resilience (capable of operating in degraded conditions without compromising either secrecy or auditability). These properties are independently required — neither can be sacrificed for the other.</w:t>
      </w:r>
    </w:p>
    <w:p>
      <w:pPr>
        <w:spacing w:after="60" w:before="200"/>
        <w:ind w:left="863"/>
      </w:pPr>
      <w:r>
        <w:rPr>
          <w:rFonts w:ascii="Courier New" w:cs="Courier New" w:eastAsia="Courier New" w:hAnsi="Courier New"/>
          <w:b/>
          <w:bCs/>
          <w:color w:val="1B2A4A"/>
          <w:sz w:val="18"/>
          <w:szCs w:val="18"/>
        </w:rPr>
        <w:t xml:space="preserve">§16.3.a  </w:t>
      </w:r>
      <w:r>
        <w:rPr>
          <w:rFonts w:ascii="Garamond" w:cs="Garamond" w:eastAsia="Garamond" w:hAnsi="Garamond"/>
          <w:b/>
          <w:bCs/>
          <w:color w:val="1B2A4A"/>
          <w:sz w:val="22"/>
          <w:szCs w:val="22"/>
        </w:rPr>
        <w:t xml:space="preserve">Ballot Secrecy</w:t>
      </w:r>
    </w:p>
    <w:p>
      <w:pPr>
        <w:spacing w:after="120" w:before="0"/>
        <w:ind w:left="863"/>
        <w:jc w:val="both"/>
      </w:pPr>
      <w:r>
        <w:rPr>
          <w:rFonts w:ascii="Garamond" w:cs="Garamond" w:eastAsia="Garamond" w:hAnsi="Garamond"/>
          <w:color w:val="2a2520"/>
          <w:sz w:val="22"/>
          <w:szCs w:val="22"/>
        </w:rPr>
        <w:t xml:space="preserve">No person or institution — including Electoral Commission members — may identify how any individual citizen voted. Ballot secrecy is constitutionally absolute. The NVS must make it technically impossible to link any vote to any voter, even in post-election audits.</w:t>
      </w:r>
    </w:p>
    <w:p>
      <w:pPr>
        <w:spacing w:after="60" w:before="200"/>
        <w:ind w:left="863"/>
      </w:pPr>
      <w:r>
        <w:rPr>
          <w:rFonts w:ascii="Courier New" w:cs="Courier New" w:eastAsia="Courier New" w:hAnsi="Courier New"/>
          <w:b/>
          <w:bCs/>
          <w:color w:val="1B2A4A"/>
          <w:sz w:val="18"/>
          <w:szCs w:val="18"/>
        </w:rPr>
        <w:t xml:space="preserve">§16.3.b  </w:t>
      </w:r>
      <w:r>
        <w:rPr>
          <w:rFonts w:ascii="Garamond" w:cs="Garamond" w:eastAsia="Garamond" w:hAnsi="Garamond"/>
          <w:b/>
          <w:bCs/>
          <w:color w:val="1B2A4A"/>
          <w:sz w:val="22"/>
          <w:szCs w:val="22"/>
        </w:rPr>
        <w:t xml:space="preserve">Public Auditability</w:t>
      </w:r>
    </w:p>
    <w:p>
      <w:pPr>
        <w:spacing w:after="120" w:before="0"/>
        <w:ind w:left="863"/>
        <w:jc w:val="both"/>
      </w:pPr>
      <w:r>
        <w:rPr>
          <w:rFonts w:ascii="Garamond" w:cs="Garamond" w:eastAsia="Garamond" w:hAnsi="Garamond"/>
          <w:color w:val="2a2520"/>
          <w:sz w:val="22"/>
          <w:szCs w:val="22"/>
        </w:rPr>
        <w:t xml:space="preserve">Every vote cast through the NVS must be individually verifiable by the voter who cast it, without revealing that voter's identity to any other party. The NVS must produce an audit trail that allows independent verification of aggregate results without individual identification. Both requirements must be simultaneously satisfied.</w:t>
      </w:r>
    </w:p>
    <w:p>
      <w:pPr>
        <w:spacing w:after="60" w:before="200"/>
        <w:ind w:left="863"/>
      </w:pPr>
      <w:r>
        <w:rPr>
          <w:rFonts w:ascii="Courier New" w:cs="Courier New" w:eastAsia="Courier New" w:hAnsi="Courier New"/>
          <w:b/>
          <w:bCs/>
          <w:color w:val="1B2A4A"/>
          <w:sz w:val="18"/>
          <w:szCs w:val="18"/>
        </w:rPr>
        <w:t xml:space="preserve">§16.3.c  </w:t>
      </w:r>
      <w:r>
        <w:rPr>
          <w:rFonts w:ascii="Garamond" w:cs="Garamond" w:eastAsia="Garamond" w:hAnsi="Garamond"/>
          <w:b/>
          <w:bCs/>
          <w:color w:val="1B2A4A"/>
          <w:sz w:val="22"/>
          <w:szCs w:val="22"/>
        </w:rPr>
        <w:t xml:space="preserve">Resilience and Privacy</w:t>
      </w:r>
    </w:p>
    <w:p>
      <w:pPr>
        <w:spacing w:after="120" w:before="0"/>
        <w:ind w:left="863"/>
        <w:jc w:val="both"/>
      </w:pPr>
      <w:r>
        <w:rPr>
          <w:rFonts w:ascii="Garamond" w:cs="Garamond" w:eastAsia="Garamond" w:hAnsi="Garamond"/>
          <w:color w:val="2a2520"/>
          <w:sz w:val="22"/>
          <w:szCs w:val="22"/>
        </w:rPr>
        <w:t xml:space="preserve">The NVS must operate in degraded conditions without compromising ballot secrecy or auditability. No information generated by the NVS — including voter participation records — may be shared with any government body, law enforcement, or foreign entity for any purpose other than administering the relevant election or referendum. Voter participation data is constitutionally protected even from the government.</w:t>
      </w:r>
    </w:p>
    <w:p>
      <w:pPr>
        <w:spacing w:after="60" w:before="200"/>
        <w:ind w:left="431"/>
      </w:pPr>
      <w:r>
        <w:rPr>
          <w:rFonts w:ascii="Courier New" w:cs="Courier New" w:eastAsia="Courier New" w:hAnsi="Courier New"/>
          <w:b/>
          <w:bCs/>
          <w:color w:val="1B2A4A"/>
          <w:sz w:val="18"/>
          <w:szCs w:val="18"/>
        </w:rPr>
        <w:t xml:space="preserve">§16.4  </w:t>
      </w:r>
      <w:r>
        <w:rPr>
          <w:rFonts w:ascii="Garamond" w:cs="Garamond" w:eastAsia="Garamond" w:hAnsi="Garamond"/>
          <w:b/>
          <w:bCs/>
          <w:color w:val="1B2A4A"/>
          <w:sz w:val="22"/>
          <w:szCs w:val="22"/>
        </w:rPr>
        <w:t xml:space="preserve">Voting Rights and Access</w:t>
      </w:r>
    </w:p>
    <w:p>
      <w:pPr>
        <w:spacing w:after="120" w:before="0"/>
        <w:ind w:left="431"/>
        <w:jc w:val="both"/>
      </w:pPr>
      <w:r>
        <w:rPr>
          <w:rFonts w:ascii="Garamond" w:cs="Garamond" w:eastAsia="Garamond" w:hAnsi="Garamond"/>
          <w:color w:val="2a2520"/>
          <w:sz w:val="22"/>
          <w:szCs w:val="22"/>
        </w:rPr>
        <w:t xml:space="preserve">Every citizen holds the right to vote in federal elections. The Electoral Commission administers the Citizen Voting Credential and is constitutionally obligated to maintain access to the National Voting System for every eligible citizen.</w:t>
      </w:r>
    </w:p>
    <w:p>
      <w:pPr>
        <w:spacing w:after="60" w:before="200"/>
        <w:ind w:left="863"/>
      </w:pPr>
      <w:r>
        <w:rPr>
          <w:rFonts w:ascii="Courier New" w:cs="Courier New" w:eastAsia="Courier New" w:hAnsi="Courier New"/>
          <w:b/>
          <w:bCs/>
          <w:color w:val="1B2A4A"/>
          <w:sz w:val="18"/>
          <w:szCs w:val="18"/>
        </w:rPr>
        <w:t xml:space="preserve">§16.4.a  </w:t>
      </w:r>
      <w:r>
        <w:rPr>
          <w:rFonts w:ascii="Garamond" w:cs="Garamond" w:eastAsia="Garamond" w:hAnsi="Garamond"/>
          <w:b/>
          <w:bCs/>
          <w:color w:val="1B2A4A"/>
          <w:sz w:val="22"/>
          <w:szCs w:val="22"/>
        </w:rPr>
        <w:t xml:space="preserve">The Citizen Voting Credential</w:t>
      </w:r>
    </w:p>
    <w:p>
      <w:pPr>
        <w:spacing w:after="120" w:before="0"/>
        <w:ind w:left="863"/>
        <w:jc w:val="both"/>
      </w:pPr>
      <w:r>
        <w:rPr>
          <w:rFonts w:ascii="Garamond" w:cs="Garamond" w:eastAsia="Garamond" w:hAnsi="Garamond"/>
          <w:color w:val="2a2520"/>
          <w:sz w:val="22"/>
          <w:szCs w:val="22"/>
        </w:rPr>
        <w:t xml:space="preserve">The Citizen Voting Credential is issued and managed by the Electoral Commission. The system stores only cryptographic identifiers — not names, biometric data, or personal information — ensuring the link between a citizen and their credential cannot be used to identify how they voted. Voluntary biometric authentication may be used as a method of accessing the credential; no biometric data is transmitted to or held by the National Voting System or the Electoral Commission. Citizens whose Credentials are lost or compromised have the right to timely reissuance under a process the Legislature defines by statute.</w:t>
      </w:r>
    </w:p>
    <w:p>
      <w:pPr>
        <w:spacing w:after="60" w:before="200"/>
        <w:ind w:left="863"/>
      </w:pPr>
      <w:r>
        <w:rPr>
          <w:rFonts w:ascii="Courier New" w:cs="Courier New" w:eastAsia="Courier New" w:hAnsi="Courier New"/>
          <w:b/>
          <w:bCs/>
          <w:color w:val="1B2A4A"/>
          <w:sz w:val="18"/>
          <w:szCs w:val="18"/>
        </w:rPr>
        <w:t xml:space="preserve">§16.4.b  </w:t>
      </w:r>
      <w:r>
        <w:rPr>
          <w:rFonts w:ascii="Garamond" w:cs="Garamond" w:eastAsia="Garamond" w:hAnsi="Garamond"/>
          <w:b/>
          <w:bCs/>
          <w:color w:val="1B2A4A"/>
          <w:sz w:val="22"/>
          <w:szCs w:val="22"/>
        </w:rPr>
        <w:t xml:space="preserve">Remote Voting</w:t>
      </w:r>
    </w:p>
    <w:p>
      <w:pPr>
        <w:spacing w:after="120" w:before="0"/>
        <w:ind w:left="863"/>
        <w:jc w:val="both"/>
      </w:pPr>
      <w:r>
        <w:rPr>
          <w:rFonts w:ascii="Garamond" w:cs="Garamond" w:eastAsia="Garamond" w:hAnsi="Garamond"/>
          <w:color w:val="2a2520"/>
          <w:sz w:val="22"/>
          <w:szCs w:val="22"/>
        </w:rPr>
        <w:t xml:space="preserve">Legislature may by statute authorize authenticated remote voting through the NVS. Remote voting must meet the same cryptographic and auditability standards as in-person NVS voting. No remote voting system may reduce ballot secrecy or auditability below the in-person standard.</w:t>
      </w:r>
    </w:p>
    <w:p>
      <w:pPr>
        <w:spacing w:after="60" w:before="200"/>
        <w:ind w:left="863"/>
      </w:pPr>
      <w:r>
        <w:rPr>
          <w:rFonts w:ascii="Courier New" w:cs="Courier New" w:eastAsia="Courier New" w:hAnsi="Courier New"/>
          <w:b/>
          <w:bCs/>
          <w:color w:val="1B2A4A"/>
          <w:sz w:val="18"/>
          <w:szCs w:val="18"/>
        </w:rPr>
        <w:t xml:space="preserve">§16.4.c  </w:t>
      </w:r>
      <w:r>
        <w:rPr>
          <w:rFonts w:ascii="Garamond" w:cs="Garamond" w:eastAsia="Garamond" w:hAnsi="Garamond"/>
          <w:b/>
          <w:bCs/>
          <w:color w:val="1B2A4A"/>
          <w:sz w:val="22"/>
          <w:szCs w:val="22"/>
        </w:rPr>
        <w:t xml:space="preserve">State Voting Method Flexibility</w:t>
      </w:r>
    </w:p>
    <w:p>
      <w:pPr>
        <w:spacing w:after="120" w:before="0"/>
        <w:ind w:left="863"/>
        <w:jc w:val="both"/>
      </w:pPr>
      <w:r>
        <w:rPr>
          <w:rFonts w:ascii="Garamond" w:cs="Garamond" w:eastAsia="Garamond" w:hAnsi="Garamond"/>
          <w:color w:val="2a2520"/>
          <w:sz w:val="22"/>
          <w:szCs w:val="22"/>
        </w:rPr>
        <w:t xml:space="preserve">States may implement early voting periods, mail-in ballot options, and alternative participation methods, provided all methods connect to the NVS and meet its cryptographic and auditability standards. States may not reduce NVS access or capacity as a condition of offering alternative methods.</w:t>
      </w:r>
    </w:p>
    <w:p>
      <w:pPr>
        <w:spacing w:after="60" w:before="200"/>
        <w:ind w:left="863"/>
      </w:pPr>
      <w:r>
        <w:rPr>
          <w:rFonts w:ascii="Courier New" w:cs="Courier New" w:eastAsia="Courier New" w:hAnsi="Courier New"/>
          <w:b/>
          <w:bCs/>
          <w:color w:val="1B2A4A"/>
          <w:sz w:val="18"/>
          <w:szCs w:val="18"/>
        </w:rPr>
        <w:t xml:space="preserve">§16.4.d  </w:t>
      </w:r>
      <w:r>
        <w:rPr>
          <w:rFonts w:ascii="Garamond" w:cs="Garamond" w:eastAsia="Garamond" w:hAnsi="Garamond"/>
          <w:b/>
          <w:bCs/>
          <w:color w:val="1B2A4A"/>
          <w:sz w:val="22"/>
          <w:szCs w:val="22"/>
        </w:rPr>
        <w:t xml:space="preserve">Federal Ballot Information</w:t>
      </w:r>
    </w:p>
    <w:p>
      <w:pPr>
        <w:spacing w:after="120" w:before="0"/>
        <w:ind w:left="863"/>
        <w:jc w:val="both"/>
      </w:pPr>
      <w:r>
        <w:rPr>
          <w:rFonts w:ascii="Garamond" w:cs="Garamond" w:eastAsia="Garamond" w:hAnsi="Garamond"/>
          <w:color w:val="2a2520"/>
          <w:sz w:val="22"/>
          <w:szCs w:val="22"/>
        </w:rPr>
        <w:t xml:space="preserve">Before each federal election window opens, the Electoral Commission delivers to every eligible citizen: the list of federal races on their ballot, the NVS access procedures, and the certification timeline. Delivery must reach every eligible citizen through at least two distinct channels.</w:t>
      </w:r>
    </w:p>
    <w:p>
      <w:pPr>
        <w:spacing w:after="60" w:before="200"/>
        <w:ind w:left="863"/>
      </w:pPr>
      <w:r>
        <w:rPr>
          <w:rFonts w:ascii="Courier New" w:cs="Courier New" w:eastAsia="Courier New" w:hAnsi="Courier New"/>
          <w:b/>
          <w:bCs/>
          <w:color w:val="1B2A4A"/>
          <w:sz w:val="18"/>
          <w:szCs w:val="18"/>
        </w:rPr>
        <w:t xml:space="preserve">§16.4.e  </w:t>
      </w:r>
      <w:r>
        <w:rPr>
          <w:rFonts w:ascii="Garamond" w:cs="Garamond" w:eastAsia="Garamond" w:hAnsi="Garamond"/>
          <w:b/>
          <w:bCs/>
          <w:color w:val="1B2A4A"/>
          <w:sz w:val="22"/>
          <w:szCs w:val="22"/>
        </w:rPr>
        <w:t xml:space="preserve">State Ballot Information on Request</w:t>
      </w:r>
    </w:p>
    <w:p>
      <w:pPr>
        <w:spacing w:after="120" w:before="0"/>
        <w:ind w:left="863"/>
        <w:jc w:val="both"/>
      </w:pPr>
      <w:r>
        <w:rPr>
          <w:rFonts w:ascii="Garamond" w:cs="Garamond" w:eastAsia="Garamond" w:hAnsi="Garamond"/>
          <w:color w:val="2a2520"/>
          <w:sz w:val="22"/>
          <w:szCs w:val="22"/>
        </w:rPr>
        <w:t xml:space="preserve">At a State's request, the Electoral Commission may extend ballot information delivery to cover State and local races. The State bears the cost. The Commission may not refuse except on operational capacity grounds.</w:t>
      </w:r>
    </w:p>
    <w:p>
      <w:pPr>
        <w:spacing w:after="60" w:before="200"/>
        <w:ind w:left="431"/>
      </w:pPr>
      <w:r>
        <w:rPr>
          <w:rFonts w:ascii="Courier New" w:cs="Courier New" w:eastAsia="Courier New" w:hAnsi="Courier New"/>
          <w:b/>
          <w:bCs/>
          <w:color w:val="1B2A4A"/>
          <w:sz w:val="18"/>
          <w:szCs w:val="18"/>
        </w:rPr>
        <w:t xml:space="preserve">§16.5  </w:t>
      </w:r>
      <w:r>
        <w:rPr>
          <w:rFonts w:ascii="Garamond" w:cs="Garamond" w:eastAsia="Garamond" w:hAnsi="Garamond"/>
          <w:b/>
          <w:bCs/>
          <w:color w:val="1B2A4A"/>
          <w:sz w:val="22"/>
          <w:szCs w:val="22"/>
        </w:rPr>
        <w:t xml:space="preserve">Electoral Commission — Accountability</w:t>
      </w:r>
    </w:p>
    <w:p>
      <w:pPr>
        <w:spacing w:after="120" w:before="0"/>
        <w:ind w:left="431"/>
        <w:jc w:val="both"/>
      </w:pPr>
      <w:r>
        <w:rPr>
          <w:rFonts w:ascii="Garamond" w:cs="Garamond" w:eastAsia="Garamond" w:hAnsi="Garamond"/>
          <w:color w:val="2a2520"/>
          <w:sz w:val="22"/>
          <w:szCs w:val="22"/>
        </w:rPr>
        <w:t xml:space="preserve">The Electoral Commission's independence does not place it above accountability. This section governs its funding, Inspectorate oversight, removal of members for cause, and vacancy procedures.</w:t>
      </w:r>
    </w:p>
    <w:p>
      <w:pPr>
        <w:spacing w:after="60" w:before="200"/>
        <w:ind w:left="863"/>
      </w:pPr>
      <w:r>
        <w:rPr>
          <w:rFonts w:ascii="Courier New" w:cs="Courier New" w:eastAsia="Courier New" w:hAnsi="Courier New"/>
          <w:b/>
          <w:bCs/>
          <w:color w:val="1B2A4A"/>
          <w:sz w:val="18"/>
          <w:szCs w:val="18"/>
        </w:rPr>
        <w:t xml:space="preserve">§16.5.a  </w:t>
      </w:r>
      <w:r>
        <w:rPr>
          <w:rFonts w:ascii="Garamond" w:cs="Garamond" w:eastAsia="Garamond" w:hAnsi="Garamond"/>
          <w:b/>
          <w:bCs/>
          <w:color w:val="1B2A4A"/>
          <w:sz w:val="22"/>
          <w:szCs w:val="22"/>
        </w:rPr>
        <w:t xml:space="preserve">Campaign Funding</w:t>
      </w:r>
    </w:p>
    <w:p>
      <w:pPr>
        <w:spacing w:after="120" w:before="0"/>
        <w:ind w:left="863"/>
        <w:jc w:val="both"/>
      </w:pPr>
      <w:r>
        <w:rPr>
          <w:rFonts w:ascii="Garamond" w:cs="Garamond" w:eastAsia="Garamond" w:hAnsi="Garamond"/>
          <w:color w:val="2a2520"/>
          <w:sz w:val="22"/>
          <w:szCs w:val="22"/>
        </w:rPr>
        <w:t xml:space="preserve">Campaigns for Electoral Commission seats are publicly funded in full. No private money may be spent on EC campaigns. The EC administers elections for all other offices — it cannot itself be captured by the interests that it would regulate in other campaigns.</w:t>
      </w:r>
    </w:p>
    <w:p>
      <w:pPr>
        <w:spacing w:after="60" w:before="200"/>
        <w:ind w:left="863"/>
      </w:pPr>
      <w:r>
        <w:rPr>
          <w:rFonts w:ascii="Courier New" w:cs="Courier New" w:eastAsia="Courier New" w:hAnsi="Courier New"/>
          <w:b/>
          <w:bCs/>
          <w:color w:val="1B2A4A"/>
          <w:sz w:val="18"/>
          <w:szCs w:val="18"/>
        </w:rPr>
        <w:t xml:space="preserve">§16.5.b  </w:t>
      </w:r>
      <w:r>
        <w:rPr>
          <w:rFonts w:ascii="Garamond" w:cs="Garamond" w:eastAsia="Garamond" w:hAnsi="Garamond"/>
          <w:b/>
          <w:bCs/>
          <w:color w:val="1B2A4A"/>
          <w:sz w:val="22"/>
          <w:szCs w:val="22"/>
        </w:rPr>
        <w:t xml:space="preserve">JI Oversight</w:t>
      </w:r>
    </w:p>
    <w:p>
      <w:pPr>
        <w:spacing w:after="120" w:before="0"/>
        <w:ind w:left="863"/>
        <w:jc w:val="both"/>
      </w:pPr>
      <w:r>
        <w:rPr>
          <w:rFonts w:ascii="Garamond" w:cs="Garamond" w:eastAsia="Garamond" w:hAnsi="Garamond"/>
          <w:color w:val="2a2520"/>
          <w:sz w:val="22"/>
          <w:szCs w:val="22"/>
        </w:rPr>
        <w:t xml:space="preserve">The Judicial Inspectorate audits the Electoral Commission annually. The JI is the appropriate Inspectorate for EC oversight — it audits judicial independence, and electoral integrity has similar structural properties. JI audit findings on the EC are published to the NRS and presented to both chambers.</w:t>
      </w:r>
    </w:p>
    <w:p>
      <w:pPr>
        <w:spacing w:after="60" w:before="200"/>
        <w:ind w:left="863"/>
      </w:pPr>
      <w:r>
        <w:rPr>
          <w:rFonts w:ascii="Courier New" w:cs="Courier New" w:eastAsia="Courier New" w:hAnsi="Courier New"/>
          <w:b/>
          <w:bCs/>
          <w:color w:val="1B2A4A"/>
          <w:sz w:val="18"/>
          <w:szCs w:val="18"/>
        </w:rPr>
        <w:t xml:space="preserve">§16.5.c  </w:t>
      </w:r>
      <w:r>
        <w:rPr>
          <w:rFonts w:ascii="Garamond" w:cs="Garamond" w:eastAsia="Garamond" w:hAnsi="Garamond"/>
          <w:b/>
          <w:bCs/>
          <w:color w:val="1B2A4A"/>
          <w:sz w:val="22"/>
          <w:szCs w:val="22"/>
        </w:rPr>
        <w:t xml:space="preserve">Removal</w:t>
      </w:r>
    </w:p>
    <w:p>
      <w:pPr>
        <w:spacing w:after="120" w:before="0"/>
        <w:ind w:left="863"/>
        <w:jc w:val="both"/>
      </w:pPr>
      <w:r>
        <w:rPr>
          <w:rFonts w:ascii="Garamond" w:cs="Garamond" w:eastAsia="Garamond" w:hAnsi="Garamond"/>
          <w:color w:val="2a2520"/>
          <w:sz w:val="22"/>
          <w:szCs w:val="22"/>
        </w:rPr>
        <w:t xml:space="preserve">For-cause only, 2/3 both chambers simultaneously, preceded by State Designee Panel verification. 180-day election proximity rule: any removal vote within 180 days of a major national election is automatically suspended pending SC review within 48 hours. Critically: the proximity restriction applies to the removal vote only — Panel-triggered suspension of duties under §16.2.a is not subject to the proximity window.</w:t>
      </w:r>
    </w:p>
    <w:p>
      <w:pPr>
        <w:spacing w:after="60" w:before="200"/>
        <w:ind w:left="863"/>
      </w:pPr>
      <w:r>
        <w:rPr>
          <w:rFonts w:ascii="Courier New" w:cs="Courier New" w:eastAsia="Courier New" w:hAnsi="Courier New"/>
          <w:b/>
          <w:bCs/>
          <w:color w:val="1B2A4A"/>
          <w:sz w:val="18"/>
          <w:szCs w:val="18"/>
        </w:rPr>
        <w:t xml:space="preserve">§16.5.d  </w:t>
      </w:r>
      <w:r>
        <w:rPr>
          <w:rFonts w:ascii="Garamond" w:cs="Garamond" w:eastAsia="Garamond" w:hAnsi="Garamond"/>
          <w:b/>
          <w:bCs/>
          <w:color w:val="1B2A4A"/>
          <w:sz w:val="22"/>
          <w:szCs w:val="22"/>
        </w:rPr>
        <w:t xml:space="preserve">Mid-Term Vacancy</w:t>
      </w:r>
    </w:p>
    <w:p>
      <w:pPr>
        <w:spacing w:after="120" w:before="0"/>
        <w:ind w:left="863"/>
        <w:jc w:val="both"/>
      </w:pPr>
      <w:r>
        <w:rPr>
          <w:rFonts w:ascii="Garamond" w:cs="Garamond" w:eastAsia="Garamond" w:hAnsi="Garamond"/>
          <w:color w:val="2a2520"/>
          <w:sz w:val="22"/>
          <w:szCs w:val="22"/>
        </w:rPr>
        <w:t xml:space="preserve">Where any Electoral Commission seat becomes vacant mid-term, a special election is held within 90 days through the NVS. The replacement serves the remainder of the vacated seat's term, then may stand as a candidate at the next regular EC election for a full new non-renewable term. Where fewer than 18 months remain in the vacated seat's term, the replacement may stand for a full term at the next regular EC election without serving the remainder. The Commission operates under its active-membership threshold during the vacancy period.</w:t>
      </w:r>
    </w:p>
    <w:p>
      <w:pPr>
        <w:spacing w:after="60" w:before="200"/>
        <w:ind w:left="431"/>
      </w:pPr>
      <w:r>
        <w:rPr>
          <w:rFonts w:ascii="Courier New" w:cs="Courier New" w:eastAsia="Courier New" w:hAnsi="Courier New"/>
          <w:b/>
          <w:bCs/>
          <w:color w:val="1B2A4A"/>
          <w:sz w:val="18"/>
          <w:szCs w:val="18"/>
        </w:rPr>
        <w:t xml:space="preserve">§16.6  </w:t>
      </w:r>
      <w:r>
        <w:rPr>
          <w:rFonts w:ascii="Garamond" w:cs="Garamond" w:eastAsia="Garamond" w:hAnsi="Garamond"/>
          <w:b/>
          <w:bCs/>
          <w:color w:val="1B2A4A"/>
          <w:sz w:val="22"/>
          <w:szCs w:val="22"/>
        </w:rPr>
        <w:t xml:space="preserve">Electoral Commission Technical Deadlock</w:t>
      </w:r>
    </w:p>
    <w:p>
      <w:pPr>
        <w:spacing w:after="120" w:before="0"/>
        <w:ind w:left="431"/>
        <w:jc w:val="both"/>
      </w:pPr>
      <w:r>
        <w:rPr>
          <w:rFonts w:ascii="Garamond" w:cs="Garamond" w:eastAsia="Garamond" w:hAnsi="Garamond"/>
          <w:color w:val="2a2520"/>
          <w:sz w:val="22"/>
          <w:szCs w:val="22"/>
        </w:rPr>
        <w:t xml:space="preserve">Legislature must establish by statute a procedure for the EC to adopt temporary technical measures in imminent security threats or system failures, bypassing the normal 3/5 decision threshold. The emergency power is narrowly constrained — it cannot change electoral rules, timelines, or candidate eligibility. A system-integrity tool only.</w:t>
      </w:r>
    </w:p>
    <w:p>
      <w:pPr>
        <w:spacing w:after="60" w:before="200"/>
        <w:ind w:left="431"/>
      </w:pPr>
      <w:r>
        <w:rPr>
          <w:rFonts w:ascii="Courier New" w:cs="Courier New" w:eastAsia="Courier New" w:hAnsi="Courier New"/>
          <w:b/>
          <w:bCs/>
          <w:color w:val="1B2A4A"/>
          <w:sz w:val="18"/>
          <w:szCs w:val="18"/>
        </w:rPr>
        <w:t xml:space="preserve">§16.7  </w:t>
      </w:r>
      <w:r>
        <w:rPr>
          <w:rFonts w:ascii="Garamond" w:cs="Garamond" w:eastAsia="Garamond" w:hAnsi="Garamond"/>
          <w:b/>
          <w:bCs/>
          <w:color w:val="1B2A4A"/>
          <w:sz w:val="22"/>
          <w:szCs w:val="22"/>
        </w:rPr>
        <w:t xml:space="preserve">Day Zero Voting System Transition</w:t>
      </w:r>
    </w:p>
    <w:p>
      <w:pPr>
        <w:spacing w:after="120" w:before="0"/>
        <w:ind w:left="431"/>
        <w:jc w:val="both"/>
      </w:pPr>
      <w:r>
        <w:rPr>
          <w:rFonts w:ascii="Garamond" w:cs="Garamond" w:eastAsia="Garamond" w:hAnsi="Garamond"/>
          <w:color w:val="2a2520"/>
          <w:sz w:val="22"/>
          <w:szCs w:val="22"/>
        </w:rPr>
        <w:t xml:space="preserve">Legislature must establish by statute the transition from any predecessor voting infrastructure to the constitutionally required NVS. The statute must ensure continuity of democratic participation — no gap between the predecessor system going offline and the NVS coming online. The ratification vote itself was conducted on the NVS (§19.1).</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XVII — Defence and Security</w:t>
      </w:r>
    </w:p>
    <w:p>
      <w:pPr>
        <w:spacing w:after="120"/>
      </w:pPr>
    </w:p>
    <w:p>
      <w:pPr>
        <w:spacing w:after="60" w:before="200"/>
        <w:ind w:left="431"/>
      </w:pPr>
      <w:r>
        <w:rPr>
          <w:rFonts w:ascii="Courier New" w:cs="Courier New" w:eastAsia="Courier New" w:hAnsi="Courier New"/>
          <w:b/>
          <w:bCs/>
          <w:color w:val="1B2A4A"/>
          <w:sz w:val="18"/>
          <w:szCs w:val="18"/>
        </w:rPr>
        <w:t xml:space="preserve">§17.1  </w:t>
      </w:r>
      <w:r>
        <w:rPr>
          <w:rFonts w:ascii="Garamond" w:cs="Garamond" w:eastAsia="Garamond" w:hAnsi="Garamond"/>
          <w:b/>
          <w:bCs/>
          <w:color w:val="1B2A4A"/>
          <w:sz w:val="22"/>
          <w:szCs w:val="22"/>
        </w:rPr>
        <w:t xml:space="preserve">The Use Doctrine</w:t>
      </w:r>
    </w:p>
    <w:p>
      <w:pPr>
        <w:spacing w:after="120" w:before="0"/>
        <w:ind w:left="431"/>
        <w:jc w:val="both"/>
      </w:pPr>
      <w:r>
        <w:rPr>
          <w:rFonts w:ascii="Garamond" w:cs="Garamond" w:eastAsia="Garamond" w:hAnsi="Garamond"/>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on the NRS.</w:t>
      </w:r>
    </w:p>
    <w:p>
      <w:pPr>
        <w:spacing w:after="60" w:before="200"/>
        <w:ind w:left="431"/>
      </w:pPr>
      <w:r>
        <w:rPr>
          <w:rFonts w:ascii="Courier New" w:cs="Courier New" w:eastAsia="Courier New" w:hAnsi="Courier New"/>
          <w:b/>
          <w:bCs/>
          <w:color w:val="1B2A4A"/>
          <w:sz w:val="18"/>
          <w:szCs w:val="18"/>
        </w:rPr>
        <w:t xml:space="preserve">§17.2  </w:t>
      </w:r>
      <w:r>
        <w:rPr>
          <w:rFonts w:ascii="Garamond" w:cs="Garamond" w:eastAsia="Garamond" w:hAnsi="Garamond"/>
          <w:b/>
          <w:bCs/>
          <w:color w:val="1B2A4A"/>
          <w:sz w:val="22"/>
          <w:szCs w:val="22"/>
        </w:rPr>
        <w:t xml:space="preserve">Seat of Government</w:t>
      </w:r>
    </w:p>
    <w:p>
      <w:pPr>
        <w:spacing w:after="120" w:before="0"/>
        <w:ind w:left="431"/>
        <w:jc w:val="both"/>
      </w:pPr>
      <w:r>
        <w:rPr>
          <w:rFonts w:ascii="Garamond" w:cs="Garamond" w:eastAsia="Garamond" w:hAnsi="Garamond"/>
          <w:color w:val="2a2520"/>
          <w:sz w:val="22"/>
          <w:szCs w:val="22"/>
        </w:rPr>
        <w:t xml:space="preserve">The Republic holds no territorial sovereignty at its Seat of Government. The Seat is hosted by a State or Territory selected through the competitive bid process under this Article. The federal government holds only Operational Use Rights (§17.3) over the designated footprint. The host State or Territory retains full sovereignty outside that footprint.</w:t>
      </w:r>
    </w:p>
    <w:p>
      <w:pPr>
        <w:spacing w:after="60" w:before="200"/>
        <w:ind w:left="863"/>
      </w:pPr>
      <w:r>
        <w:rPr>
          <w:rFonts w:ascii="Courier New" w:cs="Courier New" w:eastAsia="Courier New" w:hAnsi="Courier New"/>
          <w:b/>
          <w:bCs/>
          <w:color w:val="1B2A4A"/>
          <w:sz w:val="18"/>
          <w:szCs w:val="18"/>
        </w:rPr>
        <w:t xml:space="preserve">§17.2.a  </w:t>
      </w:r>
      <w:r>
        <w:rPr>
          <w:rFonts w:ascii="Garamond" w:cs="Garamond" w:eastAsia="Garamond" w:hAnsi="Garamond"/>
          <w:b/>
          <w:bCs/>
          <w:color w:val="1B2A4A"/>
          <w:sz w:val="22"/>
          <w:szCs w:val="22"/>
        </w:rPr>
        <w:t xml:space="preserve">Bid Process and Requirements Specification</w:t>
      </w:r>
    </w:p>
    <w:p>
      <w:pPr>
        <w:spacing w:after="120" w:before="0"/>
        <w:ind w:left="863"/>
        <w:jc w:val="both"/>
      </w:pPr>
      <w:r>
        <w:rPr>
          <w:rFonts w:ascii="Garamond" w:cs="Garamond" w:eastAsia="Garamond" w:hAnsi="Garamond"/>
          <w:color w:val="2a2520"/>
          <w:sz w:val="22"/>
          <w:szCs w:val="22"/>
        </w:rPr>
        <w:t xml:space="preserve">Before issuing a call for bids, the PM publishes a Seat of Government Requirements Specification to the NRS defining the minimum functional, security, physical, and operational requirements any hosting bid must meet; the Legislature establishes by statute the specific standards within those categories. Any State or Territory may submit a bid specifying the proposed property, terms, and conditions of hosting. The House reviews all submitted bids and selects one by ordinary statute, subject to review by both executives under §2.4. The hosting agreement grants the federal government Operational Use Rights under §17.3. Bids that do not meet the published Requirements Specification are ineligible for selection. The PM determines and publishes to the NRS, within 14 days of the bid period closing, the eligibility status of each bid with stated grounds. A State or Territory whose bid is found ineligible may petition the Supreme Court within 30 days of that publication on the sole ground that the bid met the published Requirements Specification; the Court reviews only whether the specification was correctly applied. The hosting statute must specify the disposition of federal improvements made to the designated footprint in the event the Seat of Government relocates.</w:t>
      </w:r>
    </w:p>
    <w:p>
      <w:pPr>
        <w:spacing w:after="60" w:before="200"/>
        <w:ind w:left="863"/>
      </w:pPr>
      <w:r>
        <w:rPr>
          <w:rFonts w:ascii="Courier New" w:cs="Courier New" w:eastAsia="Courier New" w:hAnsi="Courier New"/>
          <w:b/>
          <w:bCs/>
          <w:color w:val="1B2A4A"/>
          <w:sz w:val="18"/>
          <w:szCs w:val="18"/>
        </w:rPr>
        <w:t xml:space="preserve">§17.2.b  </w:t>
      </w:r>
      <w:r>
        <w:rPr>
          <w:rFonts w:ascii="Garamond" w:cs="Garamond" w:eastAsia="Garamond" w:hAnsi="Garamond"/>
          <w:b/>
          <w:bCs/>
          <w:color w:val="1B2A4A"/>
          <w:sz w:val="22"/>
          <w:szCs w:val="22"/>
        </w:rPr>
        <w:t xml:space="preserve">Twenty-Year Review Cycle</w:t>
      </w:r>
    </w:p>
    <w:p>
      <w:pPr>
        <w:spacing w:after="120" w:before="0"/>
        <w:ind w:left="863"/>
        <w:jc w:val="both"/>
      </w:pPr>
      <w:r>
        <w:rPr>
          <w:rFonts w:ascii="Garamond" w:cs="Garamond" w:eastAsia="Garamond" w:hAnsi="Garamond"/>
          <w:color w:val="2a2520"/>
          <w:sz w:val="22"/>
          <w:szCs w:val="22"/>
        </w:rPr>
        <w:t xml:space="preserve">Every twenty years from the date the current hosting statute takes effect, the federal government must issue a new call for bids under the §17.2.a process. All States and Territories, including the current host, may submit bids. If no new bids are submitted, the current arrangement continues under the existing agreement until the next review cycle. If bids are submitted, the House reviews all bids and selects one by ordinary statute.</w:t>
      </w:r>
    </w:p>
    <w:p>
      <w:pPr>
        <w:spacing w:after="60" w:before="200"/>
        <w:ind w:left="863"/>
      </w:pPr>
      <w:r>
        <w:rPr>
          <w:rFonts w:ascii="Courier New" w:cs="Courier New" w:eastAsia="Courier New" w:hAnsi="Courier New"/>
          <w:b/>
          <w:bCs/>
          <w:color w:val="1B2A4A"/>
          <w:sz w:val="18"/>
          <w:szCs w:val="18"/>
        </w:rPr>
        <w:t xml:space="preserve">§17.2.c  </w:t>
      </w:r>
      <w:r>
        <w:rPr>
          <w:rFonts w:ascii="Garamond" w:cs="Garamond" w:eastAsia="Garamond" w:hAnsi="Garamond"/>
          <w:b/>
          <w:bCs/>
          <w:color w:val="1B2A4A"/>
          <w:sz w:val="22"/>
          <w:szCs w:val="22"/>
        </w:rPr>
        <w:t xml:space="preserve">Transition Window</w:t>
      </w:r>
    </w:p>
    <w:p>
      <w:pPr>
        <w:spacing w:after="120" w:before="0"/>
        <w:ind w:left="863"/>
        <w:jc w:val="both"/>
      </w:pPr>
      <w:r>
        <w:rPr>
          <w:rFonts w:ascii="Garamond" w:cs="Garamond" w:eastAsia="Garamond" w:hAnsi="Garamond"/>
          <w:color w:val="2a2520"/>
          <w:sz w:val="22"/>
          <w:szCs w:val="22"/>
        </w:rPr>
        <w:t xml:space="preserve">When the Seat of Government moves to a new host following a bid review, a two-year transition window begins from the date the new hosting statute takes effect. During the transition window, the current host continues as the default temporary Seat. The transition statute must specify the handover timeline and conditions. The Legislature may by statute extend the transition window where both the incoming and outgoing host agree that additional time is required. If no agreement on the disposition of federal improvements is reached before the transition window closes, §17.3.b automatic reversion applies without further action — improvements revert to the departing host with the land. Upon completion of the transition window, the prior host recovers full sovereignty over all previously designated federal footprint under §17.3.b.</w:t>
      </w:r>
    </w:p>
    <w:p>
      <w:pPr>
        <w:spacing w:after="60" w:before="200"/>
        <w:ind w:left="863"/>
      </w:pPr>
      <w:r>
        <w:rPr>
          <w:rFonts w:ascii="Courier New" w:cs="Courier New" w:eastAsia="Courier New" w:hAnsi="Courier New"/>
          <w:b/>
          <w:bCs/>
          <w:color w:val="1B2A4A"/>
          <w:sz w:val="18"/>
          <w:szCs w:val="18"/>
        </w:rPr>
        <w:t xml:space="preserve">§17.2.d  </w:t>
      </w:r>
      <w:r>
        <w:rPr>
          <w:rFonts w:ascii="Garamond" w:cs="Garamond" w:eastAsia="Garamond" w:hAnsi="Garamond"/>
          <w:b/>
          <w:bCs/>
          <w:color w:val="1B2A4A"/>
          <w:sz w:val="22"/>
          <w:szCs w:val="22"/>
        </w:rPr>
        <w:t xml:space="preserve">No-Bid Scenario</w:t>
      </w:r>
    </w:p>
    <w:p>
      <w:pPr>
        <w:spacing w:after="120" w:before="0"/>
        <w:ind w:left="863"/>
        <w:jc w:val="both"/>
      </w:pPr>
      <w:r>
        <w:rPr>
          <w:rFonts w:ascii="Garamond" w:cs="Garamond" w:eastAsia="Garamond" w:hAnsi="Garamond"/>
          <w:color w:val="2a2520"/>
          <w:sz w:val="22"/>
          <w:szCs w:val="22"/>
        </w:rPr>
        <w:t xml:space="preserve">If no State or Territory submits a bid within the call period, the Senate identifies candidate States and Territories that meet the Requirements Specification published under §17.2.a and presents options to the House within 90 days of the close of the bid period. If the Senate fails to present candidates within 90 days, either executive may petition the Supreme Court, which shall on such petition identify candidates within 30 days applying the same constitutional criteria. The House selects a temporary host by ordinary statute, subject to review by both executives. The temporary host receives fair market value rental compensation assessed by the Monetary Authority under a methodology established by statute; this is not an eminent domain taking and is compensated at fair market value, not the §1.11.b rate. The Republic must issue a new call for voluntary bids at each twenty-year review cycle until a voluntary host is confirmed through the §17.2.a process, at which point the temporary arrangement terminates under the §17.2.c transition window.</w:t>
      </w:r>
    </w:p>
    <w:p>
      <w:pPr>
        <w:spacing w:after="60" w:before="200"/>
        <w:ind w:left="863"/>
      </w:pPr>
      <w:r>
        <w:rPr>
          <w:rFonts w:ascii="Courier New" w:cs="Courier New" w:eastAsia="Courier New" w:hAnsi="Courier New"/>
          <w:b/>
          <w:bCs/>
          <w:color w:val="1B2A4A"/>
          <w:sz w:val="18"/>
          <w:szCs w:val="18"/>
        </w:rPr>
        <w:t xml:space="preserve">§17.2.e  </w:t>
      </w:r>
      <w:r>
        <w:rPr>
          <w:rFonts w:ascii="Garamond" w:cs="Garamond" w:eastAsia="Garamond" w:hAnsi="Garamond"/>
          <w:b/>
          <w:bCs/>
          <w:color w:val="1B2A4A"/>
          <w:sz w:val="22"/>
          <w:szCs w:val="22"/>
        </w:rPr>
        <w:t xml:space="preserve">Federal Control Within Footprint</w:t>
      </w:r>
    </w:p>
    <w:p>
      <w:pPr>
        <w:spacing w:after="120" w:before="0"/>
        <w:ind w:left="863"/>
        <w:jc w:val="both"/>
      </w:pPr>
      <w:r>
        <w:rPr>
          <w:rFonts w:ascii="Garamond" w:cs="Garamond" w:eastAsia="Garamond" w:hAnsi="Garamond"/>
          <w:color w:val="2a2520"/>
          <w:sz w:val="22"/>
          <w:szCs w:val="22"/>
        </w:rPr>
        <w:t xml:space="preserve">Within the specific registered footprint, the federal government has exclusive operational control. The host State or Territory may not tax federal operations, interfere with federal functions, or apply its own law to federal operations within the footprint.</w:t>
      </w:r>
    </w:p>
    <w:p>
      <w:pPr>
        <w:spacing w:after="60" w:before="200"/>
        <w:ind w:left="863"/>
      </w:pPr>
      <w:r>
        <w:rPr>
          <w:rFonts w:ascii="Courier New" w:cs="Courier New" w:eastAsia="Courier New" w:hAnsi="Courier New"/>
          <w:b/>
          <w:bCs/>
          <w:color w:val="1B2A4A"/>
          <w:sz w:val="18"/>
          <w:szCs w:val="18"/>
        </w:rPr>
        <w:t xml:space="preserve">§17.2.f  </w:t>
      </w:r>
      <w:r>
        <w:rPr>
          <w:rFonts w:ascii="Garamond" w:cs="Garamond" w:eastAsia="Garamond" w:hAnsi="Garamond"/>
          <w:b/>
          <w:bCs/>
          <w:color w:val="1B2A4A"/>
          <w:sz w:val="22"/>
          <w:szCs w:val="22"/>
        </w:rPr>
        <w:t xml:space="preserve">Resident Rights</w:t>
      </w:r>
    </w:p>
    <w:p>
      <w:pPr>
        <w:spacing w:after="120" w:before="0"/>
        <w:ind w:left="863"/>
        <w:jc w:val="both"/>
      </w:pPr>
      <w:r>
        <w:rPr>
          <w:rFonts w:ascii="Garamond" w:cs="Garamond" w:eastAsia="Garamond" w:hAnsi="Garamond"/>
          <w:color w:val="2a2520"/>
          <w:sz w:val="22"/>
          <w:szCs w:val="22"/>
        </w:rPr>
        <w:t xml:space="preserve">Persons residing within any area designated as the federal footprint under §17.3 retain full Article I rights enforceable in federal courts. The host State or Territory may not apply residency-based restrictions on federal footprint residents that conflict with Article I.</w:t>
      </w:r>
    </w:p>
    <w:p>
      <w:pPr>
        <w:spacing w:after="60" w:before="200"/>
        <w:ind w:left="431"/>
      </w:pPr>
      <w:r>
        <w:rPr>
          <w:rFonts w:ascii="Courier New" w:cs="Courier New" w:eastAsia="Courier New" w:hAnsi="Courier New"/>
          <w:b/>
          <w:bCs/>
          <w:color w:val="1B2A4A"/>
          <w:sz w:val="18"/>
          <w:szCs w:val="18"/>
        </w:rPr>
        <w:t xml:space="preserve">§17.3  </w:t>
      </w:r>
      <w:r>
        <w:rPr>
          <w:rFonts w:ascii="Garamond" w:cs="Garamond" w:eastAsia="Garamond" w:hAnsi="Garamond"/>
          <w:b/>
          <w:bCs/>
          <w:color w:val="1B2A4A"/>
          <w:sz w:val="22"/>
          <w:szCs w:val="22"/>
        </w:rPr>
        <w:t xml:space="preserve">Operational Use Rights</w:t>
      </w:r>
    </w:p>
    <w:p>
      <w:pPr>
        <w:spacing w:after="120" w:before="0"/>
        <w:ind w:left="431"/>
        <w:jc w:val="both"/>
      </w:pPr>
      <w:r>
        <w:rPr>
          <w:rFonts w:ascii="Garamond" w:cs="Garamond" w:eastAsia="Garamond" w:hAnsi="Garamond"/>
          <w:color w:val="2a2520"/>
          <w:sz w:val="22"/>
          <w:szCs w:val="22"/>
        </w:rPr>
        <w:t xml:space="preserve">The federal government holds property interests within States through Operational Use Rights rather than fee ownership. This section governs registration, termination, improvements, and the rights of residents within federal use footprints.</w:t>
      </w:r>
    </w:p>
    <w:p>
      <w:pPr>
        <w:spacing w:after="60" w:before="200"/>
        <w:ind w:left="863"/>
      </w:pPr>
      <w:r>
        <w:rPr>
          <w:rFonts w:ascii="Courier New" w:cs="Courier New" w:eastAsia="Courier New" w:hAnsi="Courier New"/>
          <w:b/>
          <w:bCs/>
          <w:color w:val="1B2A4A"/>
          <w:sz w:val="18"/>
          <w:szCs w:val="18"/>
        </w:rPr>
        <w:t xml:space="preserve">§17.3.a  </w:t>
      </w:r>
      <w:r>
        <w:rPr>
          <w:rFonts w:ascii="Garamond" w:cs="Garamond" w:eastAsia="Garamond" w:hAnsi="Garamond"/>
          <w:b/>
          <w:bCs/>
          <w:color w:val="1B2A4A"/>
          <w:sz w:val="22"/>
          <w:szCs w:val="22"/>
        </w:rPr>
        <w:t xml:space="preserve">Registration</w:t>
      </w:r>
    </w:p>
    <w:p>
      <w:pPr>
        <w:spacing w:after="120" w:before="0"/>
        <w:ind w:left="863"/>
        <w:jc w:val="both"/>
      </w:pPr>
      <w:r>
        <w:rPr>
          <w:rFonts w:ascii="Garamond" w:cs="Garamond" w:eastAsia="Garamond" w:hAnsi="Garamond"/>
          <w:color w:val="2a2520"/>
          <w:sz w:val="22"/>
          <w:szCs w:val="22"/>
        </w:rPr>
        <w:t xml:space="preserve">Every federal operational use right must be registered on the NRS with precise geographic boundaries, authorized purpose, and termination conditions. There are no unregistered federal land claims. Federal property rights are explicit, bounded, and auditable.</w:t>
      </w:r>
    </w:p>
    <w:p>
      <w:pPr>
        <w:spacing w:after="60" w:before="200"/>
        <w:ind w:left="863"/>
      </w:pPr>
      <w:r>
        <w:rPr>
          <w:rFonts w:ascii="Courier New" w:cs="Courier New" w:eastAsia="Courier New" w:hAnsi="Courier New"/>
          <w:b/>
          <w:bCs/>
          <w:color w:val="1B2A4A"/>
          <w:sz w:val="18"/>
          <w:szCs w:val="18"/>
        </w:rPr>
        <w:t xml:space="preserve">§17.3.b  </w:t>
      </w:r>
      <w:r>
        <w:rPr>
          <w:rFonts w:ascii="Garamond" w:cs="Garamond" w:eastAsia="Garamond" w:hAnsi="Garamond"/>
          <w:b/>
          <w:bCs/>
          <w:color w:val="1B2A4A"/>
          <w:sz w:val="22"/>
          <w:szCs w:val="22"/>
        </w:rPr>
        <w:t xml:space="preserve">Termination and Reversion</w:t>
      </w:r>
    </w:p>
    <w:p>
      <w:pPr>
        <w:spacing w:after="120" w:before="0"/>
        <w:ind w:left="863"/>
        <w:jc w:val="both"/>
      </w:pPr>
      <w:r>
        <w:rPr>
          <w:rFonts w:ascii="Garamond" w:cs="Garamond" w:eastAsia="Garamond" w:hAnsi="Garamond"/>
          <w:color w:val="2a2520"/>
          <w:sz w:val="22"/>
          <w:szCs w:val="22"/>
        </w:rPr>
        <w:t xml:space="preserve">When a federal function ends, the Operational Use Right terminates automatically. The federal government must publish notice of termination to the NRS within 30 days. The land and all improvements revert to the host State automatically unless the federal government and host State negotiate a retention agreement within the statutory settlement window.</w:t>
      </w:r>
    </w:p>
    <w:p>
      <w:pPr>
        <w:spacing w:after="60" w:before="200"/>
        <w:ind w:left="863"/>
      </w:pPr>
      <w:r>
        <w:rPr>
          <w:rFonts w:ascii="Courier New" w:cs="Courier New" w:eastAsia="Courier New" w:hAnsi="Courier New"/>
          <w:b/>
          <w:bCs/>
          <w:color w:val="1B2A4A"/>
          <w:sz w:val="18"/>
          <w:szCs w:val="18"/>
        </w:rPr>
        <w:t xml:space="preserve">§17.3.c  </w:t>
      </w:r>
      <w:r>
        <w:rPr>
          <w:rFonts w:ascii="Garamond" w:cs="Garamond" w:eastAsia="Garamond" w:hAnsi="Garamond"/>
          <w:b/>
          <w:bCs/>
          <w:color w:val="1B2A4A"/>
          <w:sz w:val="22"/>
          <w:szCs w:val="22"/>
        </w:rPr>
        <w:t xml:space="preserve">Improvements — Negotiated Settlement</w:t>
      </w:r>
    </w:p>
    <w:p>
      <w:pPr>
        <w:spacing w:after="120" w:before="0"/>
        <w:ind w:left="863"/>
        <w:jc w:val="both"/>
      </w:pPr>
      <w:r>
        <w:rPr>
          <w:rFonts w:ascii="Garamond" w:cs="Garamond" w:eastAsia="Garamond" w:hAnsi="Garamond"/>
          <w:color w:val="2a2520"/>
          <w:sz w:val="22"/>
          <w:szCs w:val="22"/>
        </w:rPr>
        <w:t xml:space="preserve">All improvements on federal Operational Use Rights default to reverting to the host State with the land. The federal government and host State may negotiate a different arrangement within the statutory reversion window. No agreement means automatic reversion at no cost. The burden is on the federal government to negotiate retention — not on the State to purchase back.</w:t>
      </w:r>
    </w:p>
    <w:p>
      <w:pPr>
        <w:spacing w:after="60" w:before="200"/>
        <w:ind w:left="863"/>
      </w:pPr>
      <w:r>
        <w:rPr>
          <w:rFonts w:ascii="Courier New" w:cs="Courier New" w:eastAsia="Courier New" w:hAnsi="Courier New"/>
          <w:b/>
          <w:bCs/>
          <w:color w:val="1B2A4A"/>
          <w:sz w:val="18"/>
          <w:szCs w:val="18"/>
        </w:rPr>
        <w:t xml:space="preserve">§17.3.d  </w:t>
      </w:r>
      <w:r>
        <w:rPr>
          <w:rFonts w:ascii="Garamond" w:cs="Garamond" w:eastAsia="Garamond" w:hAnsi="Garamond"/>
          <w:b/>
          <w:bCs/>
          <w:color w:val="1B2A4A"/>
          <w:sz w:val="22"/>
          <w:szCs w:val="22"/>
        </w:rPr>
        <w:t xml:space="preserve">Disputes</w:t>
      </w:r>
    </w:p>
    <w:p>
      <w:pPr>
        <w:spacing w:after="120" w:before="0"/>
        <w:ind w:left="863"/>
        <w:jc w:val="both"/>
      </w:pPr>
      <w:r>
        <w:rPr>
          <w:rFonts w:ascii="Garamond" w:cs="Garamond" w:eastAsia="Garamond" w:hAnsi="Garamond"/>
          <w:color w:val="2a2520"/>
          <w:sz w:val="22"/>
          <w:szCs w:val="22"/>
        </w:rPr>
        <w:t xml:space="preserve">Disputes over use right boundaries, termination, or improvement valuation go to the SC on an expedited track. Neither party may occupy or alter disputed land during pending resolution. The expedited track ensures federal operational continuity — resolution must happen fast enough to maintain the relevant federal function.</w:t>
      </w:r>
    </w:p>
    <w:p>
      <w:pPr>
        <w:spacing w:after="60" w:before="200"/>
        <w:ind w:left="863"/>
      </w:pPr>
      <w:r>
        <w:rPr>
          <w:rFonts w:ascii="Courier New" w:cs="Courier New" w:eastAsia="Courier New" w:hAnsi="Courier New"/>
          <w:b/>
          <w:bCs/>
          <w:color w:val="1B2A4A"/>
          <w:sz w:val="18"/>
          <w:szCs w:val="18"/>
        </w:rPr>
        <w:t xml:space="preserve">§17.3.e  </w:t>
      </w:r>
      <w:r>
        <w:rPr>
          <w:rFonts w:ascii="Garamond" w:cs="Garamond" w:eastAsia="Garamond" w:hAnsi="Garamond"/>
          <w:b/>
          <w:bCs/>
          <w:color w:val="1B2A4A"/>
          <w:sz w:val="22"/>
          <w:szCs w:val="22"/>
        </w:rPr>
        <w:t xml:space="preserve">Independence Transition</w:t>
      </w:r>
    </w:p>
    <w:p>
      <w:pPr>
        <w:spacing w:after="120" w:before="0"/>
        <w:ind w:left="863"/>
        <w:jc w:val="both"/>
      </w:pPr>
      <w:r>
        <w:rPr>
          <w:rFonts w:ascii="Garamond" w:cs="Garamond" w:eastAsia="Garamond" w:hAnsi="Garamond"/>
          <w:color w:val="2a2520"/>
          <w:sz w:val="22"/>
          <w:szCs w:val="22"/>
        </w:rPr>
        <w:t xml:space="preserve">Where a State achieves independence through §15.4 and §15.5, automatic reversion under §17.3.b does not immediately apply to Operational Use Rights within the departing territory. Use rights continue under the terms of the framework agreement and independence treaty negotiated under §15.5.a.</w:t>
      </w:r>
    </w:p>
    <w:p>
      <w:pPr>
        <w:spacing w:after="60" w:before="200"/>
        <w:ind w:left="431"/>
      </w:pPr>
      <w:r>
        <w:rPr>
          <w:rFonts w:ascii="Courier New" w:cs="Courier New" w:eastAsia="Courier New" w:hAnsi="Courier New"/>
          <w:b/>
          <w:bCs/>
          <w:color w:val="1B2A4A"/>
          <w:sz w:val="18"/>
          <w:szCs w:val="18"/>
        </w:rPr>
        <w:t xml:space="preserve">§17.4  </w:t>
      </w:r>
      <w:r>
        <w:rPr>
          <w:rFonts w:ascii="Garamond" w:cs="Garamond" w:eastAsia="Garamond" w:hAnsi="Garamond"/>
          <w:b/>
          <w:bCs/>
          <w:color w:val="1B2A4A"/>
          <w:sz w:val="22"/>
          <w:szCs w:val="22"/>
        </w:rPr>
        <w:t xml:space="preserve">The National Trust</w:t>
      </w:r>
    </w:p>
    <w:p>
      <w:pPr>
        <w:spacing w:after="120" w:before="0"/>
        <w:ind w:left="431"/>
        <w:jc w:val="both"/>
      </w:pPr>
      <w:r>
        <w:rPr>
          <w:rFonts w:ascii="Garamond" w:cs="Garamond" w:eastAsia="Garamond" w:hAnsi="Garamond"/>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preventing privatization by executive discretion. The National Trust Administrator is independently confirmed under the §2.2.h escalation framework, insulating land management from PM pressure. The Trust is structurally distinct from the Community Land Trust: the NTA manages federal holdings; the CLT Administrator manages affordable residential land held in trust for Inhabitants.</w:t>
      </w:r>
    </w:p>
    <w:p>
      <w:pPr>
        <w:spacing w:after="60" w:before="200"/>
        <w:ind w:left="863"/>
      </w:pPr>
      <w:r>
        <w:rPr>
          <w:rFonts w:ascii="Courier New" w:cs="Courier New" w:eastAsia="Courier New" w:hAnsi="Courier New"/>
          <w:b/>
          <w:bCs/>
          <w:color w:val="1B2A4A"/>
          <w:sz w:val="18"/>
          <w:szCs w:val="18"/>
        </w:rPr>
        <w:t xml:space="preserve">§17.4.a  </w:t>
      </w:r>
      <w:r>
        <w:rPr>
          <w:rFonts w:ascii="Garamond" w:cs="Garamond" w:eastAsia="Garamond" w:hAnsi="Garamond"/>
          <w:b/>
          <w:bCs/>
          <w:color w:val="1B2A4A"/>
          <w:sz w:val="22"/>
          <w:szCs w:val="22"/>
        </w:rPr>
        <w:t xml:space="preserve">Trust Nature</w:t>
      </w:r>
    </w:p>
    <w:p>
      <w:pPr>
        <w:spacing w:after="120" w:before="0"/>
        <w:ind w:left="863"/>
        <w:jc w:val="both"/>
      </w:pPr>
      <w:r>
        <w:rPr>
          <w:rFonts w:ascii="Garamond" w:cs="Garamond" w:eastAsia="Garamond" w:hAnsi="Garamond"/>
          <w:color w:val="2a2520"/>
          <w:sz w:val="22"/>
          <w:szCs w:val="22"/>
        </w:rPr>
        <w:t xml:space="preserve">National Trust lands are designated as permanent heritage, ecological, or public recreation resources. Trust designation requires a 2/3 vote of both chambers with host State consent. Trust lands are not subject to Operational Use Right termination. The stewardship obligation (§17.4.b) applies from the date of designation.</w:t>
      </w:r>
    </w:p>
    <w:p>
      <w:pPr>
        <w:spacing w:after="60" w:before="200"/>
        <w:ind w:left="863"/>
      </w:pPr>
      <w:r>
        <w:rPr>
          <w:rFonts w:ascii="Courier New" w:cs="Courier New" w:eastAsia="Courier New" w:hAnsi="Courier New"/>
          <w:b/>
          <w:bCs/>
          <w:color w:val="1B2A4A"/>
          <w:sz w:val="18"/>
          <w:szCs w:val="18"/>
        </w:rPr>
        <w:t xml:space="preserve">§17.4.b  </w:t>
      </w:r>
      <w:r>
        <w:rPr>
          <w:rFonts w:ascii="Garamond" w:cs="Garamond" w:eastAsia="Garamond" w:hAnsi="Garamond"/>
          <w:b/>
          <w:bCs/>
          <w:color w:val="1B2A4A"/>
          <w:sz w:val="22"/>
          <w:szCs w:val="22"/>
        </w:rPr>
        <w:t xml:space="preserve">Stewardship Obligation</w:t>
      </w:r>
    </w:p>
    <w:p>
      <w:pPr>
        <w:spacing w:after="120" w:before="0"/>
        <w:ind w:left="863"/>
        <w:jc w:val="both"/>
      </w:pPr>
      <w:r>
        <w:rPr>
          <w:rFonts w:ascii="Garamond" w:cs="Garamond" w:eastAsia="Garamond" w:hAnsi="Garamond"/>
          <w:color w:val="2a2520"/>
          <w:sz w:val="22"/>
          <w:szCs w:val="22"/>
        </w:rPr>
        <w:t xml:space="preserve">The federal government has an active, enforceable obligation to maintain ecological integrity and public accessibility of National Trust lands. EI monitors stewardship compliance annually, cross-referenced with §1.23 (Right to a Healthy Environment). Failure triggers a mandatory remediation plan reported to the NRS. The Trust carries active obligations — not passive title.</w:t>
      </w:r>
    </w:p>
    <w:p>
      <w:pPr>
        <w:spacing w:after="60" w:before="200"/>
        <w:ind w:left="863"/>
      </w:pPr>
      <w:r>
        <w:rPr>
          <w:rFonts w:ascii="Courier New" w:cs="Courier New" w:eastAsia="Courier New" w:hAnsi="Courier New"/>
          <w:b/>
          <w:bCs/>
          <w:color w:val="1B2A4A"/>
          <w:sz w:val="18"/>
          <w:szCs w:val="18"/>
        </w:rPr>
        <w:t xml:space="preserve">§17.4.c  </w:t>
      </w:r>
      <w:r>
        <w:rPr>
          <w:rFonts w:ascii="Garamond" w:cs="Garamond" w:eastAsia="Garamond" w:hAnsi="Garamond"/>
          <w:b/>
          <w:bCs/>
          <w:color w:val="1B2A4A"/>
          <w:sz w:val="22"/>
          <w:szCs w:val="22"/>
        </w:rPr>
        <w:t xml:space="preserve">Co-Management</w:t>
      </w:r>
    </w:p>
    <w:p>
      <w:pPr>
        <w:spacing w:after="120" w:before="0"/>
        <w:ind w:left="863"/>
        <w:jc w:val="both"/>
      </w:pPr>
      <w:r>
        <w:rPr>
          <w:rFonts w:ascii="Garamond" w:cs="Garamond" w:eastAsia="Garamond" w:hAnsi="Garamond"/>
          <w:color w:val="2a2520"/>
          <w:sz w:val="22"/>
          <w:szCs w:val="22"/>
        </w:rPr>
        <w:t xml:space="preserve">States and indigenous nations may enter co-management agreements with the Domestic Affairs Council for National Trust lands within their borders or ancestral territories. Co-management does not transfer Trust ownership or alter the constitutional Trust status. Indigenous nations' participation reflects the §14.3 government-to-government relationship for lands within their ancestral territories.</w:t>
      </w:r>
    </w:p>
    <w:p>
      <w:pPr>
        <w:spacing w:after="60" w:before="200"/>
        <w:ind w:left="863"/>
      </w:pPr>
      <w:r>
        <w:rPr>
          <w:rFonts w:ascii="Courier New" w:cs="Courier New" w:eastAsia="Courier New" w:hAnsi="Courier New"/>
          <w:b/>
          <w:bCs/>
          <w:color w:val="1B2A4A"/>
          <w:sz w:val="18"/>
          <w:szCs w:val="18"/>
        </w:rPr>
        <w:t xml:space="preserve">§17.4.d  </w:t>
      </w:r>
      <w:r>
        <w:rPr>
          <w:rFonts w:ascii="Garamond" w:cs="Garamond" w:eastAsia="Garamond" w:hAnsi="Garamond"/>
          <w:b/>
          <w:bCs/>
          <w:color w:val="1B2A4A"/>
          <w:sz w:val="22"/>
          <w:szCs w:val="22"/>
        </w:rPr>
        <w:t xml:space="preserve">Reclassification Threshold</w:t>
      </w:r>
    </w:p>
    <w:p>
      <w:pPr>
        <w:spacing w:after="120" w:before="0"/>
        <w:ind w:left="863"/>
        <w:jc w:val="both"/>
      </w:pPr>
      <w:r>
        <w:rPr>
          <w:rFonts w:ascii="Garamond" w:cs="Garamond" w:eastAsia="Garamond" w:hAnsi="Garamond"/>
          <w:color w:val="2a2520"/>
          <w:sz w:val="22"/>
          <w:szCs w:val="22"/>
        </w:rPr>
        <w:t xml:space="preserve">Land may be removed from National Trust designation only by a 2/3 vote of both chambers with host State consent, followed by SC review within 60 days. The SC reviews whether the removal complies with any applicable international obligations. Removal is permanent — land removed from Trust does not automatically revert to Trust status.</w:t>
      </w:r>
    </w:p>
    <w:p>
      <w:pPr>
        <w:spacing w:after="60" w:before="200"/>
        <w:ind w:left="863"/>
      </w:pPr>
      <w:r>
        <w:rPr>
          <w:rFonts w:ascii="Courier New" w:cs="Courier New" w:eastAsia="Courier New" w:hAnsi="Courier New"/>
          <w:b/>
          <w:bCs/>
          <w:color w:val="1B2A4A"/>
          <w:sz w:val="18"/>
          <w:szCs w:val="18"/>
        </w:rPr>
        <w:t xml:space="preserve">§17.4.e  </w:t>
      </w:r>
      <w:r>
        <w:rPr>
          <w:rFonts w:ascii="Garamond" w:cs="Garamond" w:eastAsia="Garamond" w:hAnsi="Garamond"/>
          <w:b/>
          <w:bCs/>
          <w:color w:val="1B2A4A"/>
          <w:sz w:val="22"/>
          <w:szCs w:val="22"/>
        </w:rPr>
        <w:t xml:space="preserve">International Sites</w:t>
      </w:r>
    </w:p>
    <w:p>
      <w:pPr>
        <w:spacing w:after="120" w:before="0"/>
        <w:ind w:left="863"/>
        <w:jc w:val="both"/>
      </w:pPr>
      <w:r>
        <w:rPr>
          <w:rFonts w:ascii="Garamond" w:cs="Garamond" w:eastAsia="Garamond" w:hAnsi="Garamond"/>
          <w:color w:val="2a2520"/>
          <w:sz w:val="22"/>
          <w:szCs w:val="22"/>
        </w:rPr>
        <w:t xml:space="preserve">National Trust lands recognized under international conservation agreements require a 2/3 Senate vote to withdraw from the relevant international obligation before the national removal process begins. The Republic cannot quietly delist internationally recognized sites without formal democratic action.</w:t>
      </w:r>
    </w:p>
    <w:p>
      <w:pPr>
        <w:spacing w:after="60" w:before="200"/>
        <w:ind w:left="863"/>
      </w:pPr>
      <w:r>
        <w:rPr>
          <w:rFonts w:ascii="Courier New" w:cs="Courier New" w:eastAsia="Courier New" w:hAnsi="Courier New"/>
          <w:b/>
          <w:bCs/>
          <w:color w:val="1B2A4A"/>
          <w:sz w:val="18"/>
          <w:szCs w:val="18"/>
        </w:rPr>
        <w:t xml:space="preserve">§17.4.f  </w:t>
      </w:r>
      <w:r>
        <w:rPr>
          <w:rFonts w:ascii="Garamond" w:cs="Garamond" w:eastAsia="Garamond" w:hAnsi="Garamond"/>
          <w:b/>
          <w:bCs/>
          <w:color w:val="1B2A4A"/>
          <w:sz w:val="22"/>
          <w:szCs w:val="22"/>
        </w:rPr>
        <w:t xml:space="preserve">Admission of New Trust Lands</w:t>
      </w:r>
    </w:p>
    <w:p>
      <w:pPr>
        <w:spacing w:after="120" w:before="0"/>
        <w:ind w:left="863"/>
        <w:jc w:val="both"/>
      </w:pPr>
      <w:r>
        <w:rPr>
          <w:rFonts w:ascii="Garamond" w:cs="Garamond" w:eastAsia="Garamond" w:hAnsi="Garamond"/>
          <w:color w:val="2a2520"/>
          <w:sz w:val="22"/>
          <w:szCs w:val="22"/>
        </w:rPr>
        <w:t xml:space="preserve">Land may be designated National Trust by a 2/3 vote of both chambers with host State consent (land in Territories: 2/3 vote alone). No executive action may designate Trust lands — designation is a legislative act. Prevents executive land grabs under Trust designation and executive stripping of Trust status.</w:t>
      </w:r>
    </w:p>
    <w:p>
      <w:pPr>
        <w:spacing w:after="60" w:before="200"/>
        <w:ind w:left="863"/>
      </w:pPr>
      <w:r>
        <w:rPr>
          <w:rFonts w:ascii="Courier New" w:cs="Courier New" w:eastAsia="Courier New" w:hAnsi="Courier New"/>
          <w:b/>
          <w:bCs/>
          <w:color w:val="1B2A4A"/>
          <w:sz w:val="18"/>
          <w:szCs w:val="18"/>
        </w:rPr>
        <w:t xml:space="preserve">§17.4.g  </w:t>
      </w:r>
      <w:r>
        <w:rPr>
          <w:rFonts w:ascii="Garamond" w:cs="Garamond" w:eastAsia="Garamond" w:hAnsi="Garamond"/>
          <w:b/>
          <w:bCs/>
          <w:color w:val="1B2A4A"/>
          <w:sz w:val="22"/>
          <w:szCs w:val="22"/>
        </w:rPr>
        <w:t xml:space="preserve">National Trust Administrator</w:t>
      </w:r>
    </w:p>
    <w:p>
      <w:pPr>
        <w:spacing w:after="120" w:before="0"/>
        <w:ind w:left="863"/>
        <w:jc w:val="both"/>
      </w:pPr>
      <w:r>
        <w:rPr>
          <w:rFonts w:ascii="Garamond" w:cs="Garamond" w:eastAsia="Garamond" w:hAnsi="Garamond"/>
          <w:color w:val="2a2520"/>
          <w:sz w:val="22"/>
          <w:szCs w:val="22"/>
        </w:rPr>
        <w:t xml:space="preserve">The National Trust Administrator is a statutory independent officer under §3.7. The Legislature creates the office by statute and establishes the Administrator's independence, term, and removal grounds through the enabling statute. The enabling statute may not reduce the stewardship obligations established in §17.4.a–f or diminish the EI's annual monitoring authority.</w:t>
      </w:r>
    </w:p>
    <w:p>
      <w:pPr>
        <w:spacing w:after="60" w:before="200"/>
        <w:ind w:left="431"/>
      </w:pPr>
      <w:r>
        <w:rPr>
          <w:rFonts w:ascii="Courier New" w:cs="Courier New" w:eastAsia="Courier New" w:hAnsi="Courier New"/>
          <w:b/>
          <w:bCs/>
          <w:color w:val="1B2A4A"/>
          <w:sz w:val="18"/>
          <w:szCs w:val="18"/>
        </w:rPr>
        <w:t xml:space="preserve">§17.5  </w:t>
      </w:r>
      <w:r>
        <w:rPr>
          <w:rFonts w:ascii="Garamond" w:cs="Garamond" w:eastAsia="Garamond" w:hAnsi="Garamond"/>
          <w:b/>
          <w:bCs/>
          <w:color w:val="1B2A4A"/>
          <w:sz w:val="22"/>
          <w:szCs w:val="22"/>
        </w:rPr>
        <w:t xml:space="preserve">Federal Property in Territories</w:t>
      </w:r>
    </w:p>
    <w:p>
      <w:pPr>
        <w:spacing w:after="120" w:before="0"/>
        <w:ind w:left="431"/>
        <w:jc w:val="both"/>
      </w:pPr>
      <w:r>
        <w:rPr>
          <w:rFonts w:ascii="Garamond" w:cs="Garamond" w:eastAsia="Garamond" w:hAnsi="Garamond"/>
          <w:color w:val="2a2520"/>
          <w:sz w:val="22"/>
          <w:szCs w:val="22"/>
        </w:rPr>
        <w:t xml:space="preserve">Federal operational use rights in Territories follow the same framework as in States under §17.3 and §17.4. Host State legislative consent is not required because Territories have no State legislature; the Territory's representative body and the LI are consulted before any use right is registered. The same constitutional principles and obligations apply.</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XVIII — Campaign Finance</w:t>
      </w:r>
    </w:p>
    <w:p>
      <w:pPr>
        <w:spacing w:after="120"/>
      </w:pPr>
    </w:p>
    <w:p>
      <w:pPr>
        <w:spacing w:after="60" w:before="200"/>
        <w:ind w:left="431"/>
      </w:pPr>
      <w:r>
        <w:rPr>
          <w:rFonts w:ascii="Courier New" w:cs="Courier New" w:eastAsia="Courier New" w:hAnsi="Courier New"/>
          <w:b/>
          <w:bCs/>
          <w:color w:val="1B2A4A"/>
          <w:sz w:val="18"/>
          <w:szCs w:val="18"/>
        </w:rPr>
        <w:t xml:space="preserve">§18.1  </w:t>
      </w:r>
      <w:r>
        <w:rPr>
          <w:rFonts w:ascii="Garamond" w:cs="Garamond" w:eastAsia="Garamond" w:hAnsi="Garamond"/>
          <w:b/>
          <w:bCs/>
          <w:color w:val="1B2A4A"/>
          <w:sz w:val="22"/>
          <w:szCs w:val="22"/>
        </w:rPr>
        <w:t xml:space="preserve">Electoral Finance</w:t>
      </w:r>
    </w:p>
    <w:p>
      <w:pPr>
        <w:spacing w:after="120" w:before="0"/>
        <w:ind w:left="431"/>
        <w:jc w:val="both"/>
      </w:pPr>
      <w:r>
        <w:rPr>
          <w:rFonts w:ascii="Garamond" w:cs="Garamond" w:eastAsia="Garamond" w:hAnsi="Garamond"/>
          <w:color w:val="2a2520"/>
          <w:sz w:val="22"/>
          <w:szCs w:val="22"/>
        </w:rPr>
        <w:t xml:space="preserve">Electoral finance is regulated to prevent the structural distortion of democratic accountability through concentrated financial influence. The provisions of this section govern contributions, disclosure, and independent expenditures.</w:t>
      </w:r>
    </w:p>
    <w:p>
      <w:pPr>
        <w:spacing w:after="60" w:before="200"/>
        <w:ind w:left="863"/>
      </w:pPr>
      <w:r>
        <w:rPr>
          <w:rFonts w:ascii="Courier New" w:cs="Courier New" w:eastAsia="Courier New" w:hAnsi="Courier New"/>
          <w:b/>
          <w:bCs/>
          <w:color w:val="1B2A4A"/>
          <w:sz w:val="18"/>
          <w:szCs w:val="18"/>
        </w:rPr>
        <w:t xml:space="preserve">§18.1.a  </w:t>
      </w:r>
      <w:r>
        <w:rPr>
          <w:rFonts w:ascii="Garamond" w:cs="Garamond" w:eastAsia="Garamond" w:hAnsi="Garamond"/>
          <w:b/>
          <w:bCs/>
          <w:color w:val="1B2A4A"/>
          <w:sz w:val="22"/>
          <w:szCs w:val="22"/>
        </w:rPr>
        <w:t xml:space="preserve">Financial Contributions as Electoral Acts</w:t>
      </w:r>
    </w:p>
    <w:p>
      <w:pPr>
        <w:spacing w:after="120" w:before="0"/>
        <w:ind w:left="863"/>
        <w:jc w:val="both"/>
      </w:pPr>
      <w:r>
        <w:rPr>
          <w:rFonts w:ascii="Garamond" w:cs="Garamond" w:eastAsia="Garamond" w:hAnsi="Garamond"/>
          <w:color w:val="2a2520"/>
          <w:sz w:val="22"/>
          <w:szCs w:val="22"/>
        </w:rPr>
        <w:t xml:space="preserve">Electoral Finance Disclosure — all contributions above the de minimis threshold must be publicly disclosed to the Electoral Commission and published to the NRS. Anonymity in electoral finance is prohibited. The de minimis threshold may not be set so high that it effectively permits anonymous large-scale contributions.</w:t>
      </w:r>
    </w:p>
    <w:p>
      <w:pPr>
        <w:spacing w:after="60" w:before="200"/>
        <w:ind w:left="863"/>
      </w:pPr>
      <w:r>
        <w:rPr>
          <w:rFonts w:ascii="Courier New" w:cs="Courier New" w:eastAsia="Courier New" w:hAnsi="Courier New"/>
          <w:b/>
          <w:bCs/>
          <w:color w:val="1B2A4A"/>
          <w:sz w:val="18"/>
          <w:szCs w:val="18"/>
        </w:rPr>
        <w:t xml:space="preserve">§18.1.b  </w:t>
      </w:r>
      <w:r>
        <w:rPr>
          <w:rFonts w:ascii="Garamond" w:cs="Garamond" w:eastAsia="Garamond" w:hAnsi="Garamond"/>
          <w:b/>
          <w:bCs/>
          <w:color w:val="1B2A4A"/>
          <w:sz w:val="22"/>
          <w:szCs w:val="22"/>
        </w:rPr>
        <w:t xml:space="preserve">Natural Persons Only</w:t>
      </w:r>
    </w:p>
    <w:p>
      <w:pPr>
        <w:spacing w:after="120" w:before="0"/>
        <w:ind w:left="863"/>
        <w:jc w:val="both"/>
      </w:pPr>
      <w:r>
        <w:rPr>
          <w:rFonts w:ascii="Garamond" w:cs="Garamond" w:eastAsia="Garamond" w:hAnsi="Garamond"/>
          <w:color w:val="2a2520"/>
          <w:sz w:val="22"/>
          <w:szCs w:val="22"/>
        </w:rPr>
        <w:t xml:space="preserve">Contribution Limits — individual contributions to electoral campaigns are capped at a level defined by statute. Corporate, organizational, and foreign contributions are prohibited. The prohibition on foreign contributions applies to any person or entity that is not a Republic citizen or resident.</w:t>
      </w:r>
    </w:p>
    <w:p>
      <w:pPr>
        <w:spacing w:after="60" w:before="200"/>
        <w:ind w:left="863"/>
      </w:pPr>
      <w:r>
        <w:rPr>
          <w:rFonts w:ascii="Courier New" w:cs="Courier New" w:eastAsia="Courier New" w:hAnsi="Courier New"/>
          <w:b/>
          <w:bCs/>
          <w:color w:val="1B2A4A"/>
          <w:sz w:val="18"/>
          <w:szCs w:val="18"/>
        </w:rPr>
        <w:t xml:space="preserve">§18.1.c  </w:t>
      </w:r>
      <w:r>
        <w:rPr>
          <w:rFonts w:ascii="Garamond" w:cs="Garamond" w:eastAsia="Garamond" w:hAnsi="Garamond"/>
          <w:b/>
          <w:bCs/>
          <w:color w:val="1B2A4A"/>
          <w:sz w:val="22"/>
          <w:szCs w:val="22"/>
        </w:rPr>
        <w:t xml:space="preserve">Voter-Donor Parity</w:t>
      </w:r>
    </w:p>
    <w:p>
      <w:pPr>
        <w:spacing w:after="120" w:before="0"/>
        <w:ind w:left="863"/>
        <w:jc w:val="both"/>
      </w:pPr>
      <w:r>
        <w:rPr>
          <w:rFonts w:ascii="Garamond" w:cs="Garamond" w:eastAsia="Garamond" w:hAnsi="Garamond"/>
          <w:color w:val="2a2520"/>
          <w:sz w:val="22"/>
          <w:szCs w:val="22"/>
        </w:rPr>
        <w:t xml:space="preserve">Independent Expenditure Disclosure — expenditures made independently of but in support of a campaign must also be disclosed. Independent expenditures are not subject to the same contribution limits as direct contributions, but are subject to the same disclosure requirements. Coordinated expenditures are treated as direct contributions.</w:t>
      </w:r>
    </w:p>
    <w:p>
      <w:pPr>
        <w:spacing w:after="60" w:before="200"/>
        <w:ind w:left="863"/>
      </w:pPr>
      <w:r>
        <w:rPr>
          <w:rFonts w:ascii="Courier New" w:cs="Courier New" w:eastAsia="Courier New" w:hAnsi="Courier New"/>
          <w:b/>
          <w:bCs/>
          <w:color w:val="1B2A4A"/>
          <w:sz w:val="18"/>
          <w:szCs w:val="18"/>
        </w:rPr>
        <w:t xml:space="preserve">§18.1.d  </w:t>
      </w:r>
      <w:r>
        <w:rPr>
          <w:rFonts w:ascii="Garamond" w:cs="Garamond" w:eastAsia="Garamond" w:hAnsi="Garamond"/>
          <w:b/>
          <w:bCs/>
          <w:color w:val="1B2A4A"/>
          <w:sz w:val="22"/>
          <w:szCs w:val="22"/>
        </w:rPr>
        <w:t xml:space="preserve">Full Disclosure</w:t>
      </w:r>
    </w:p>
    <w:p>
      <w:pPr>
        <w:spacing w:after="120" w:before="0"/>
        <w:ind w:left="863"/>
        <w:jc w:val="both"/>
      </w:pPr>
      <w:r>
        <w:rPr>
          <w:rFonts w:ascii="Garamond" w:cs="Garamond" w:eastAsia="Garamond" w:hAnsi="Garamond"/>
          <w:color w:val="2a2520"/>
          <w:sz w:val="22"/>
          <w:szCs w:val="22"/>
        </w:rPr>
        <w:t xml:space="preserve">EC Administration — the Electoral Commission administers all electoral finance rules, reviews all disclosed contributions, publishes all disclosures to the NRS, and investigates suspected violations. The EI audits EC administration annually. Candidates who receive impermissible contributions must report them within 10 days and either return them or have them treated as undisclosed.</w:t>
      </w:r>
    </w:p>
    <w:p>
      <w:pPr>
        <w:spacing w:after="60" w:before="200"/>
        <w:ind w:left="431"/>
      </w:pPr>
      <w:r>
        <w:rPr>
          <w:rFonts w:ascii="Courier New" w:cs="Courier New" w:eastAsia="Courier New" w:hAnsi="Courier New"/>
          <w:b/>
          <w:bCs/>
          <w:color w:val="1B2A4A"/>
          <w:sz w:val="18"/>
          <w:szCs w:val="18"/>
        </w:rPr>
        <w:t xml:space="preserve">§18.2  </w:t>
      </w:r>
      <w:r>
        <w:rPr>
          <w:rFonts w:ascii="Garamond" w:cs="Garamond" w:eastAsia="Garamond" w:hAnsi="Garamond"/>
          <w:b/>
          <w:bCs/>
          <w:color w:val="1B2A4A"/>
          <w:sz w:val="22"/>
          <w:szCs w:val="22"/>
        </w:rPr>
        <w:t xml:space="preserve">Campaign Conduct</w:t>
      </w:r>
    </w:p>
    <w:p>
      <w:pPr>
        <w:spacing w:after="120" w:before="0"/>
        <w:ind w:left="431"/>
        <w:jc w:val="both"/>
      </w:pPr>
      <w:r>
        <w:rPr>
          <w:rFonts w:ascii="Garamond" w:cs="Garamond" w:eastAsia="Garamond" w:hAnsi="Garamond"/>
          <w:color w:val="2a2520"/>
          <w:sz w:val="22"/>
          <w:szCs w:val="22"/>
        </w:rPr>
        <w:t xml:space="preserve">Candidates for constitutional office are subject to conduct standards administered by the Electoral Commission. These standards govern factual accuracy, media access, and foreign interference — not political content or viewpoint.</w:t>
      </w:r>
    </w:p>
    <w:p>
      <w:pPr>
        <w:spacing w:after="60" w:before="200"/>
        <w:ind w:left="863"/>
      </w:pPr>
      <w:r>
        <w:rPr>
          <w:rFonts w:ascii="Courier New" w:cs="Courier New" w:eastAsia="Courier New" w:hAnsi="Courier New"/>
          <w:b/>
          <w:bCs/>
          <w:color w:val="1B2A4A"/>
          <w:sz w:val="18"/>
          <w:szCs w:val="18"/>
        </w:rPr>
        <w:t xml:space="preserve">§18.2.a  </w:t>
      </w:r>
      <w:r>
        <w:rPr>
          <w:rFonts w:ascii="Garamond" w:cs="Garamond" w:eastAsia="Garamond" w:hAnsi="Garamond"/>
          <w:b/>
          <w:bCs/>
          <w:color w:val="1B2A4A"/>
          <w:sz w:val="22"/>
          <w:szCs w:val="22"/>
        </w:rPr>
        <w:t xml:space="preserve">Campaign Conduct Standards</w:t>
      </w:r>
    </w:p>
    <w:p>
      <w:pPr>
        <w:spacing w:after="120" w:before="0"/>
        <w:ind w:left="863"/>
        <w:jc w:val="both"/>
      </w:pPr>
      <w:r>
        <w:rPr>
          <w:rFonts w:ascii="Garamond" w:cs="Garamond" w:eastAsia="Garamond" w:hAnsi="Garamond"/>
          <w:color w:val="2a2520"/>
          <w:sz w:val="22"/>
          <w:szCs w:val="22"/>
        </w:rPr>
        <w:t xml:space="preserve">Candidates for constitutional office must campaign in compliance with published EC conduct standards: prohibition on demonstrably false statements of material fact about a candidate's recorded votes — specifically, claiming a vote was cast when it was not, or was not cast when it was; characterization, emphasis, and contextual framing of voting records are protected expression and are not subject to EC conduct review, prohibition on impersonating other candidates, prohibition on vote suppression activities, and prohibition on interference with the electoral administration process.</w:t>
      </w:r>
    </w:p>
    <w:p>
      <w:pPr>
        <w:spacing w:after="60" w:before="200"/>
        <w:ind w:left="863"/>
      </w:pPr>
      <w:r>
        <w:rPr>
          <w:rFonts w:ascii="Courier New" w:cs="Courier New" w:eastAsia="Courier New" w:hAnsi="Courier New"/>
          <w:b/>
          <w:bCs/>
          <w:color w:val="1B2A4A"/>
          <w:sz w:val="18"/>
          <w:szCs w:val="18"/>
        </w:rPr>
        <w:t xml:space="preserve">§18.2.b  </w:t>
      </w:r>
      <w:r>
        <w:rPr>
          <w:rFonts w:ascii="Garamond" w:cs="Garamond" w:eastAsia="Garamond" w:hAnsi="Garamond"/>
          <w:b/>
          <w:bCs/>
          <w:color w:val="1B2A4A"/>
          <w:sz w:val="22"/>
          <w:szCs w:val="22"/>
        </w:rPr>
        <w:t xml:space="preserve">Media and Communication Standards</w:t>
      </w:r>
    </w:p>
    <w:p>
      <w:pPr>
        <w:spacing w:after="120" w:before="0"/>
        <w:ind w:left="863"/>
        <w:jc w:val="both"/>
      </w:pPr>
      <w:r>
        <w:rPr>
          <w:rFonts w:ascii="Garamond" w:cs="Garamond" w:eastAsia="Garamond" w:hAnsi="Garamond"/>
          <w:color w:val="2a2520"/>
          <w:sz w:val="22"/>
          <w:szCs w:val="22"/>
        </w:rPr>
        <w:t xml:space="preserve">Campaign communications must clearly identify their sponsor. Fabricated or deceptively edited communications about other candidates are a constitutional violation, not merely a campaign conduct infraction. The EC may require advance disclosure of paid media buys above a threshold defined by statute.</w:t>
      </w:r>
    </w:p>
    <w:p>
      <w:pPr>
        <w:spacing w:after="60" w:before="200"/>
        <w:ind w:left="863"/>
      </w:pPr>
      <w:r>
        <w:rPr>
          <w:rFonts w:ascii="Courier New" w:cs="Courier New" w:eastAsia="Courier New" w:hAnsi="Courier New"/>
          <w:b/>
          <w:bCs/>
          <w:color w:val="1B2A4A"/>
          <w:sz w:val="18"/>
          <w:szCs w:val="18"/>
        </w:rPr>
        <w:t xml:space="preserve">§18.2.c  </w:t>
      </w:r>
      <w:r>
        <w:rPr>
          <w:rFonts w:ascii="Garamond" w:cs="Garamond" w:eastAsia="Garamond" w:hAnsi="Garamond"/>
          <w:b/>
          <w:bCs/>
          <w:color w:val="1B2A4A"/>
          <w:sz w:val="22"/>
          <w:szCs w:val="22"/>
        </w:rPr>
        <w:t xml:space="preserve">Foreign Interference Prohibition</w:t>
      </w:r>
    </w:p>
    <w:p>
      <w:pPr>
        <w:spacing w:after="120" w:before="0"/>
        <w:ind w:left="863"/>
        <w:jc w:val="both"/>
      </w:pPr>
      <w:r>
        <w:rPr>
          <w:rFonts w:ascii="Garamond" w:cs="Garamond" w:eastAsia="Garamond" w:hAnsi="Garamond"/>
          <w:color w:val="2a2520"/>
          <w:sz w:val="22"/>
          <w:szCs w:val="22"/>
        </w:rPr>
        <w:t xml:space="preserve">Any attempt by a foreign government, foreign national, or foreign-controlled entity to influence a Republic election is a constitutional violation. The EI investigates and publishes findings. Candidates who knowingly accept foreign assistance — financial or operational — are disqualified from the election cycle in which the violation occurred.</w:t>
      </w:r>
    </w:p>
    <w:p>
      <w:pPr>
        <w:spacing w:after="60" w:before="200"/>
        <w:ind w:left="863"/>
      </w:pPr>
      <w:r>
        <w:rPr>
          <w:rFonts w:ascii="Courier New" w:cs="Courier New" w:eastAsia="Courier New" w:hAnsi="Courier New"/>
          <w:b/>
          <w:bCs/>
          <w:color w:val="1B2A4A"/>
          <w:sz w:val="18"/>
          <w:szCs w:val="18"/>
        </w:rPr>
        <w:t xml:space="preserve">§18.2.d  </w:t>
      </w:r>
      <w:r>
        <w:rPr>
          <w:rFonts w:ascii="Garamond" w:cs="Garamond" w:eastAsia="Garamond" w:hAnsi="Garamond"/>
          <w:b/>
          <w:bCs/>
          <w:color w:val="1B2A4A"/>
          <w:sz w:val="22"/>
          <w:szCs w:val="22"/>
        </w:rPr>
        <w:t xml:space="preserve">Incumbent Advantage Rules</w:t>
      </w:r>
    </w:p>
    <w:p>
      <w:pPr>
        <w:spacing w:after="120" w:before="0"/>
        <w:ind w:left="863"/>
        <w:jc w:val="both"/>
      </w:pPr>
      <w:r>
        <w:rPr>
          <w:rFonts w:ascii="Garamond" w:cs="Garamond" w:eastAsia="Garamond" w:hAnsi="Garamond"/>
          <w:color w:val="2a2520"/>
          <w:sz w:val="22"/>
          <w:szCs w:val="22"/>
        </w:rPr>
        <w:t xml:space="preserve">Constitutional officeholders standing for election in a different race must observe strict separation between their official functions and their campaign. Official resources — staff, communications infrastructure, government platforms — may not be used for campaign purposes. The EI monitors compliance and publishes findings.</w:t>
      </w:r>
    </w:p>
    <w:p>
      <w:pPr>
        <w:spacing w:after="60" w:before="200"/>
        <w:ind w:left="431"/>
      </w:pPr>
      <w:r>
        <w:rPr>
          <w:rFonts w:ascii="Courier New" w:cs="Courier New" w:eastAsia="Courier New" w:hAnsi="Courier New"/>
          <w:b/>
          <w:bCs/>
          <w:color w:val="1B2A4A"/>
          <w:sz w:val="18"/>
          <w:szCs w:val="18"/>
        </w:rPr>
        <w:t xml:space="preserve">§18.3  </w:t>
      </w:r>
      <w:r>
        <w:rPr>
          <w:rFonts w:ascii="Garamond" w:cs="Garamond" w:eastAsia="Garamond" w:hAnsi="Garamond"/>
          <w:b/>
          <w:bCs/>
          <w:color w:val="1B2A4A"/>
          <w:sz w:val="22"/>
          <w:szCs w:val="22"/>
        </w:rPr>
        <w:t xml:space="preserve">Public Campaign Financing</w:t>
      </w:r>
    </w:p>
    <w:p>
      <w:pPr>
        <w:spacing w:after="120" w:before="0"/>
        <w:ind w:left="431"/>
        <w:jc w:val="both"/>
      </w:pPr>
      <w:r>
        <w:rPr>
          <w:rFonts w:ascii="Garamond" w:cs="Garamond" w:eastAsia="Garamond" w:hAnsi="Garamond"/>
          <w:color w:val="2a2520"/>
          <w:sz w:val="22"/>
          <w:szCs w:val="22"/>
        </w:rPr>
        <w:t xml:space="preserve">The Republic maintains a publicly funded campaign financing system as an alternative to private fundraising. Participation is voluntary; the system is structured to ensure candidates who participate can mount effective campaigns.</w:t>
      </w:r>
    </w:p>
    <w:p>
      <w:pPr>
        <w:spacing w:after="60" w:before="200"/>
        <w:ind w:left="863"/>
      </w:pPr>
      <w:r>
        <w:rPr>
          <w:rFonts w:ascii="Courier New" w:cs="Courier New" w:eastAsia="Courier New" w:hAnsi="Courier New"/>
          <w:b/>
          <w:bCs/>
          <w:color w:val="1B2A4A"/>
          <w:sz w:val="18"/>
          <w:szCs w:val="18"/>
        </w:rPr>
        <w:t xml:space="preserve">§18.3.a  </w:t>
      </w:r>
      <w:r>
        <w:rPr>
          <w:rFonts w:ascii="Garamond" w:cs="Garamond" w:eastAsia="Garamond" w:hAnsi="Garamond"/>
          <w:b/>
          <w:bCs/>
          <w:color w:val="1B2A4A"/>
          <w:sz w:val="22"/>
          <w:szCs w:val="22"/>
        </w:rPr>
        <w:t xml:space="preserve">Public Financing Structure</w:t>
      </w:r>
    </w:p>
    <w:p>
      <w:pPr>
        <w:spacing w:after="120" w:before="0"/>
        <w:ind w:left="863"/>
        <w:jc w:val="both"/>
      </w:pPr>
      <w:r>
        <w:rPr>
          <w:rFonts w:ascii="Garamond" w:cs="Garamond" w:eastAsia="Garamond" w:hAnsi="Garamond"/>
          <w:color w:val="2a2520"/>
          <w:sz w:val="22"/>
          <w:szCs w:val="22"/>
        </w:rPr>
        <w:t xml:space="preserve">Consistent with §10.3.a, the public financing system provides all registered candidates with equal baseline funding. Candidates who accept public financing are subject to spending limits defined by statute. The EC administers disbursement; no allocation may advantage incumbents or established parties.</w:t>
      </w:r>
    </w:p>
    <w:p>
      <w:pPr>
        <w:spacing w:after="60" w:before="200"/>
        <w:ind w:left="863"/>
      </w:pPr>
      <w:r>
        <w:rPr>
          <w:rFonts w:ascii="Courier New" w:cs="Courier New" w:eastAsia="Courier New" w:hAnsi="Courier New"/>
          <w:b/>
          <w:bCs/>
          <w:color w:val="1B2A4A"/>
          <w:sz w:val="18"/>
          <w:szCs w:val="18"/>
        </w:rPr>
        <w:t xml:space="preserve">§18.3.b  </w:t>
      </w:r>
      <w:r>
        <w:rPr>
          <w:rFonts w:ascii="Garamond" w:cs="Garamond" w:eastAsia="Garamond" w:hAnsi="Garamond"/>
          <w:b/>
          <w:bCs/>
          <w:color w:val="1B2A4A"/>
          <w:sz w:val="22"/>
          <w:szCs w:val="22"/>
        </w:rPr>
        <w:t xml:space="preserve">Matching Funds</w:t>
      </w:r>
    </w:p>
    <w:p>
      <w:pPr>
        <w:spacing w:after="120" w:before="0"/>
        <w:ind w:left="863"/>
        <w:jc w:val="both"/>
      </w:pPr>
      <w:r>
        <w:rPr>
          <w:rFonts w:ascii="Garamond" w:cs="Garamond" w:eastAsia="Garamond" w:hAnsi="Garamond"/>
          <w:color w:val="2a2520"/>
          <w:sz w:val="22"/>
          <w:szCs w:val="22"/>
        </w:rPr>
        <w:t xml:space="preserve">The Legislature may by statute create a matching funds component providing additional public funds that match small contributions from citizens — amplifying the influence of small donors relative to large ones. Matching thresholds, caps, and ratios are defined by statute and must apply equally to all participating candidates.</w:t>
      </w:r>
    </w:p>
    <w:p>
      <w:pPr>
        <w:spacing w:after="60" w:before="200"/>
        <w:ind w:left="863"/>
      </w:pPr>
      <w:r>
        <w:rPr>
          <w:rFonts w:ascii="Courier New" w:cs="Courier New" w:eastAsia="Courier New" w:hAnsi="Courier New"/>
          <w:b/>
          <w:bCs/>
          <w:color w:val="1B2A4A"/>
          <w:sz w:val="18"/>
          <w:szCs w:val="18"/>
        </w:rPr>
        <w:t xml:space="preserve">§18.3.c  </w:t>
      </w:r>
      <w:r>
        <w:rPr>
          <w:rFonts w:ascii="Garamond" w:cs="Garamond" w:eastAsia="Garamond" w:hAnsi="Garamond"/>
          <w:b/>
          <w:bCs/>
          <w:color w:val="1B2A4A"/>
          <w:sz w:val="22"/>
          <w:szCs w:val="22"/>
        </w:rPr>
        <w:t xml:space="preserve">EC Allocation of Public Funds</w:t>
      </w:r>
    </w:p>
    <w:p>
      <w:pPr>
        <w:spacing w:after="120" w:before="0"/>
        <w:ind w:left="863"/>
        <w:jc w:val="both"/>
      </w:pPr>
      <w:r>
        <w:rPr>
          <w:rFonts w:ascii="Garamond" w:cs="Garamond" w:eastAsia="Garamond" w:hAnsi="Garamond"/>
          <w:color w:val="2a2520"/>
          <w:sz w:val="22"/>
          <w:szCs w:val="22"/>
        </w:rPr>
        <w:t xml:space="preserve">The EC allocates public campaign funds based on objective criteria published before each election cycle. Allocation criteria may include: number of qualifying signatures, prior election performance, demonstrated candidacy viability. No criterion may favor incumbents or penalize first-time candidates on the basis of their outsider status.</w:t>
      </w:r>
    </w:p>
    <w:p>
      <w:pPr>
        <w:spacing w:after="60" w:before="200"/>
        <w:ind w:left="863"/>
      </w:pPr>
      <w:r>
        <w:rPr>
          <w:rFonts w:ascii="Courier New" w:cs="Courier New" w:eastAsia="Courier New" w:hAnsi="Courier New"/>
          <w:b/>
          <w:bCs/>
          <w:color w:val="1B2A4A"/>
          <w:sz w:val="18"/>
          <w:szCs w:val="18"/>
        </w:rPr>
        <w:t xml:space="preserve">§18.3.d  </w:t>
      </w:r>
      <w:r>
        <w:rPr>
          <w:rFonts w:ascii="Garamond" w:cs="Garamond" w:eastAsia="Garamond" w:hAnsi="Garamond"/>
          <w:b/>
          <w:bCs/>
          <w:color w:val="1B2A4A"/>
          <w:sz w:val="22"/>
          <w:szCs w:val="22"/>
        </w:rPr>
        <w:t xml:space="preserve">Electoral Finance — Not Protected Speech</w:t>
      </w:r>
    </w:p>
    <w:p>
      <w:pPr>
        <w:spacing w:after="120" w:before="0"/>
        <w:ind w:left="863"/>
        <w:jc w:val="both"/>
      </w:pPr>
      <w:r>
        <w:rPr>
          <w:rFonts w:ascii="Garamond" w:cs="Garamond" w:eastAsia="Garamond" w:hAnsi="Garamond"/>
          <w:color w:val="2a2520"/>
          <w:sz w:val="22"/>
          <w:szCs w:val="22"/>
        </w:rPr>
        <w:t xml:space="preserve">Financial contributions to electoral campaigns are not constitutionally protected speech under §1.5, and are not protected as associational activity under §1.8. The regulation of electoral finance is a matter of democratic integrity explicitly reserved from both speech and associational protection.</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XIX — Transition</w:t>
      </w:r>
    </w:p>
    <w:p>
      <w:pPr>
        <w:spacing w:after="120"/>
      </w:pPr>
    </w:p>
    <w:p>
      <w:pPr>
        <w:spacing w:after="60" w:before="200"/>
        <w:ind w:left="431"/>
      </w:pPr>
      <w:r>
        <w:rPr>
          <w:rFonts w:ascii="Courier New" w:cs="Courier New" w:eastAsia="Courier New" w:hAnsi="Courier New"/>
          <w:b/>
          <w:bCs/>
          <w:color w:val="1B2A4A"/>
          <w:sz w:val="18"/>
          <w:szCs w:val="18"/>
        </w:rPr>
        <w:t xml:space="preserve">§19.1  </w:t>
      </w:r>
      <w:r>
        <w:rPr>
          <w:rFonts w:ascii="Garamond" w:cs="Garamond" w:eastAsia="Garamond" w:hAnsi="Garamond"/>
          <w:b/>
          <w:bCs/>
          <w:color w:val="1B2A4A"/>
          <w:sz w:val="22"/>
          <w:szCs w:val="22"/>
        </w:rPr>
        <w:t xml:space="preserve">The Activation Threshold</w:t>
      </w:r>
    </w:p>
    <w:p>
      <w:pPr>
        <w:spacing w:after="120" w:before="0"/>
        <w:ind w:left="431"/>
        <w:jc w:val="both"/>
      </w:pPr>
      <w:r>
        <w:rPr>
          <w:rFonts w:ascii="Garamond" w:cs="Garamond" w:eastAsia="Garamond" w:hAnsi="Garamond"/>
          <w:color w:val="2a2520"/>
          <w:sz w:val="22"/>
          <w:szCs w:val="22"/>
        </w:rPr>
        <w:t xml:space="preserve">This constitution takes effect upon ratification by the required threshold established in §19.1.a. Ratification creates binding constitutional obligations on all governmental actors, existing institutions, and successor entities within the Republic's jurisdiction from Day Zero. The ratification process, institutional accommodation, and multi-founder formation procedures are governed by §19.1.a, §19.1.b, and §19.1.c respectively.</w:t>
      </w:r>
    </w:p>
    <w:p>
      <w:pPr>
        <w:spacing w:after="60" w:before="200"/>
        <w:ind w:left="863"/>
      </w:pPr>
      <w:r>
        <w:rPr>
          <w:rFonts w:ascii="Courier New" w:cs="Courier New" w:eastAsia="Courier New" w:hAnsi="Courier New"/>
          <w:b/>
          <w:bCs/>
          <w:color w:val="1B2A4A"/>
          <w:sz w:val="18"/>
          <w:szCs w:val="18"/>
        </w:rPr>
        <w:t xml:space="preserve">§19.1.a  </w:t>
      </w:r>
      <w:r>
        <w:rPr>
          <w:rFonts w:ascii="Garamond" w:cs="Garamond" w:eastAsia="Garamond" w:hAnsi="Garamond"/>
          <w:b/>
          <w:bCs/>
          <w:color w:val="1B2A4A"/>
          <w:sz w:val="22"/>
          <w:szCs w:val="22"/>
        </w:rPr>
        <w:t xml:space="preserve">Activation Threshold</w:t>
      </w:r>
    </w:p>
    <w:p>
      <w:pPr>
        <w:spacing w:after="120" w:before="0"/>
        <w:ind w:left="863"/>
        <w:jc w:val="both"/>
      </w:pPr>
      <w:r>
        <w:rPr>
          <w:rFonts w:ascii="Garamond" w:cs="Garamond" w:eastAsia="Garamond" w:hAnsi="Garamond"/>
          <w:color w:val="2a2520"/>
          <w:sz w:val="22"/>
          <w:szCs w:val="22"/>
        </w:rPr>
        <w:t xml:space="preserve">Activated upon: (1) interim EC certification that the NVS is operational and meets §16.3; and (2) a national ratification vote achieving 60% affirmative support with at least 50% participation. The NVS certification requirement ensures the system that conducts the ratification vote meets constitutional standards before the vote itself. The ratification threshold is intentionally set lower than the amendment thresholds of §15.1 — founding requires achievability. An impractically high founding threshold would prevent the constitutional order from being established at all. Once established, the higher amendment thresholds reflect the greater burden of changing a working system.</w:t>
      </w:r>
    </w:p>
    <w:p>
      <w:pPr>
        <w:spacing w:after="60" w:before="200"/>
        <w:ind w:left="863"/>
      </w:pPr>
      <w:r>
        <w:rPr>
          <w:rFonts w:ascii="Courier New" w:cs="Courier New" w:eastAsia="Courier New" w:hAnsi="Courier New"/>
          <w:b/>
          <w:bCs/>
          <w:color w:val="1B2A4A"/>
          <w:sz w:val="18"/>
          <w:szCs w:val="18"/>
        </w:rPr>
        <w:t xml:space="preserve">§19.1.b  </w:t>
      </w:r>
      <w:r>
        <w:rPr>
          <w:rFonts w:ascii="Garamond" w:cs="Garamond" w:eastAsia="Garamond" w:hAnsi="Garamond"/>
          <w:b/>
          <w:bCs/>
          <w:color w:val="1B2A4A"/>
          <w:sz w:val="22"/>
          <w:szCs w:val="22"/>
        </w:rPr>
        <w:t xml:space="preserve">Institutional Accommodation</w:t>
      </w:r>
    </w:p>
    <w:p>
      <w:pPr>
        <w:spacing w:after="120" w:before="0"/>
        <w:ind w:left="863"/>
        <w:jc w:val="both"/>
      </w:pPr>
      <w:r>
        <w:rPr>
          <w:rFonts w:ascii="Garamond" w:cs="Garamond" w:eastAsia="Garamond" w:hAnsi="Garamond"/>
          <w:color w:val="2a2520"/>
          <w:sz w:val="22"/>
          <w:szCs w:val="22"/>
        </w:rPr>
        <w:t xml:space="preserve">Where the ratifying polity maintains existing institutions overlapping with constitutional mechanisms, the Legislature must by statute within two years of Phase 4 define their relationship with the constitutional framework. Non-diminishment: accommodation statutes may not reduce legal standing of pre-existing governance structures below their pre-Phase 4 status. 2/3 of both chambers required to amend.</w:t>
      </w:r>
    </w:p>
    <w:p>
      <w:pPr>
        <w:spacing w:after="60" w:before="200"/>
        <w:ind w:left="863"/>
      </w:pPr>
      <w:r>
        <w:rPr>
          <w:rFonts w:ascii="Courier New" w:cs="Courier New" w:eastAsia="Courier New" w:hAnsi="Courier New"/>
          <w:b/>
          <w:bCs/>
          <w:color w:val="1B2A4A"/>
          <w:sz w:val="18"/>
          <w:szCs w:val="18"/>
        </w:rPr>
        <w:t xml:space="preserve">§19.1.c  </w:t>
      </w:r>
      <w:r>
        <w:rPr>
          <w:rFonts w:ascii="Garamond" w:cs="Garamond" w:eastAsia="Garamond" w:hAnsi="Garamond"/>
          <w:b/>
          <w:bCs/>
          <w:color w:val="1B2A4A"/>
          <w:sz w:val="22"/>
          <w:szCs w:val="22"/>
        </w:rPr>
        <w:t xml:space="preserve">Multi-Founder Formation</w:t>
      </w:r>
    </w:p>
    <w:p>
      <w:pPr>
        <w:spacing w:after="120" w:before="0"/>
        <w:ind w:left="863"/>
        <w:jc w:val="both"/>
      </w:pPr>
      <w:r>
        <w:rPr>
          <w:rFonts w:ascii="Garamond" w:cs="Garamond" w:eastAsia="Garamond" w:hAnsi="Garamond"/>
          <w:color w:val="2a2520"/>
          <w:sz w:val="22"/>
          <w:szCs w:val="22"/>
        </w:rPr>
        <w:t xml:space="preserve">Where multiple sovereign nations simultaneously pool sovereignty through a treaty of union, transition provisions adapt: joint Phase 0/1 certification, consolidated debt assumption, combined Day Zero NRS publication of all founding sovereigns' records, and proportional obligation assumption per treaty terms.</w:t>
      </w:r>
    </w:p>
    <w:p>
      <w:pPr>
        <w:spacing w:after="60" w:before="200"/>
        <w:ind w:left="431"/>
      </w:pPr>
      <w:r>
        <w:rPr>
          <w:rFonts w:ascii="Courier New" w:cs="Courier New" w:eastAsia="Courier New" w:hAnsi="Courier New"/>
          <w:b/>
          <w:bCs/>
          <w:color w:val="1B2A4A"/>
          <w:sz w:val="18"/>
          <w:szCs w:val="18"/>
        </w:rPr>
        <w:t xml:space="preserve">§19.2  </w:t>
      </w:r>
      <w:r>
        <w:rPr>
          <w:rFonts w:ascii="Garamond" w:cs="Garamond" w:eastAsia="Garamond" w:hAnsi="Garamond"/>
          <w:b/>
          <w:bCs/>
          <w:color w:val="1B2A4A"/>
          <w:sz w:val="22"/>
          <w:szCs w:val="22"/>
        </w:rPr>
        <w:t xml:space="preserve">Day Zero</w:t>
      </w:r>
    </w:p>
    <w:p>
      <w:pPr>
        <w:spacing w:after="120" w:before="0"/>
        <w:ind w:left="431"/>
        <w:jc w:val="both"/>
      </w:pPr>
      <w:r>
        <w:rPr>
          <w:rFonts w:ascii="Garamond" w:cs="Garamond" w:eastAsia="Garamond" w:hAnsi="Garamond"/>
          <w:color w:val="2a2520"/>
          <w:sz w:val="22"/>
          <w:szCs w:val="22"/>
        </w:rPr>
        <w:t xml:space="preserve">Day Zero is the date the ratification threshold is certified as achieved by the interim EC. Upon ratification: all laws conflicting with the Individual Sovereignty Floor are immediately null and void; all public assets transfer to the NRS; the 24-month Transition Window begins. The Republic exists the moment the EC certifies the threshold. The Transition Window is the outer legal boundary for transition-related authorities. Phase 4 activates when the phases are complete, which will ordinarily precede the window's expiry; the remaining window provides a defined period for outstanding transition administration, legal continuity, and institutional stabilization.</w:t>
      </w:r>
    </w:p>
    <w:p>
      <w:pPr>
        <w:spacing w:after="60" w:before="200"/>
        <w:ind w:left="431"/>
      </w:pPr>
      <w:r>
        <w:rPr>
          <w:rFonts w:ascii="Courier New" w:cs="Courier New" w:eastAsia="Courier New" w:hAnsi="Courier New"/>
          <w:b/>
          <w:bCs/>
          <w:color w:val="1B2A4A"/>
          <w:sz w:val="18"/>
          <w:szCs w:val="18"/>
        </w:rPr>
        <w:t xml:space="preserve">§19.3  </w:t>
      </w:r>
      <w:r>
        <w:rPr>
          <w:rFonts w:ascii="Garamond" w:cs="Garamond" w:eastAsia="Garamond" w:hAnsi="Garamond"/>
          <w:b/>
          <w:bCs/>
          <w:color w:val="1B2A4A"/>
          <w:sz w:val="22"/>
          <w:szCs w:val="22"/>
        </w:rPr>
        <w:t xml:space="preserve">The Four-Phase Transition</w:t>
      </w:r>
    </w:p>
    <w:p>
      <w:pPr>
        <w:spacing w:after="120" w:before="0"/>
        <w:ind w:left="431"/>
        <w:jc w:val="both"/>
      </w:pPr>
      <w:r>
        <w:rPr>
          <w:rFonts w:ascii="Garamond" w:cs="Garamond" w:eastAsia="Garamond" w:hAnsi="Garamond"/>
          <w:color w:val="2a2520"/>
          <w:sz w:val="22"/>
          <w:szCs w:val="22"/>
        </w:rPr>
        <w:t xml:space="preserve">The constitution is implemented through a 24-month, four-phase transition process. Phase 0 (pre-ratification preparation) is governed by §19.3.a. Phase 1 (emergency stabilization, Days 1–90) is governed by §19.3.b. Phase 2 (institutional construction, Days 91–270) is governed by §19.3.c. Phase 3 (first elections, Days 271–450) is governed by §19.3.d. Phase 4 (full constitutional operation) is governed by §19.3.e.</w:t>
      </w:r>
    </w:p>
    <w:p>
      <w:pPr>
        <w:spacing w:after="60" w:before="200"/>
        <w:ind w:left="863"/>
      </w:pPr>
      <w:r>
        <w:rPr>
          <w:rFonts w:ascii="Courier New" w:cs="Courier New" w:eastAsia="Courier New" w:hAnsi="Courier New"/>
          <w:b/>
          <w:bCs/>
          <w:color w:val="1B2A4A"/>
          <w:sz w:val="18"/>
          <w:szCs w:val="18"/>
        </w:rPr>
        <w:t xml:space="preserve">§19.3.a  </w:t>
      </w:r>
      <w:r>
        <w:rPr>
          <w:rFonts w:ascii="Garamond" w:cs="Garamond" w:eastAsia="Garamond" w:hAnsi="Garamond"/>
          <w:b/>
          <w:bCs/>
          <w:color w:val="1B2A4A"/>
          <w:sz w:val="22"/>
          <w:szCs w:val="22"/>
        </w:rPr>
        <w:t xml:space="preserve">Phase 0 — Pre-Ratification Preparation</w:t>
      </w:r>
    </w:p>
    <w:p>
      <w:pPr>
        <w:spacing w:after="120" w:before="0"/>
        <w:ind w:left="863"/>
        <w:jc w:val="both"/>
      </w:pPr>
      <w:r>
        <w:rPr>
          <w:rFonts w:ascii="Garamond" w:cs="Garamond" w:eastAsia="Garamond" w:hAnsi="Garamond"/>
          <w:color w:val="2a2520"/>
          <w:sz w:val="22"/>
          <w:szCs w:val="22"/>
        </w:rPr>
        <w:t xml:space="preserve">Phase 0 is the pre-ratification preparation period. The interim Electoral Commission is constituted, the National Voting System is certified operational, and the joint Inspectorate panel is formed — all before any ratification vote occurs. The Republic's constitutional infrastructure must exist before it can be activated.</w:t>
      </w:r>
    </w:p>
    <w:p>
      <w:pPr>
        <w:spacing w:after="60" w:before="200"/>
        <w:ind w:left="863"/>
      </w:pPr>
      <w:r>
        <w:rPr>
          <w:rFonts w:ascii="Courier New" w:cs="Courier New" w:eastAsia="Courier New" w:hAnsi="Courier New"/>
          <w:b/>
          <w:bCs/>
          <w:color w:val="1B2A4A"/>
          <w:sz w:val="18"/>
          <w:szCs w:val="18"/>
        </w:rPr>
        <w:t xml:space="preserve">§19.3.b  </w:t>
      </w:r>
      <w:r>
        <w:rPr>
          <w:rFonts w:ascii="Garamond" w:cs="Garamond" w:eastAsia="Garamond" w:hAnsi="Garamond"/>
          <w:b/>
          <w:bCs/>
          <w:color w:val="1B2A4A"/>
          <w:sz w:val="22"/>
          <w:szCs w:val="22"/>
        </w:rPr>
        <w:t xml:space="preserve">Phase 1 — Emergency Stabilization (Days 1–90)</w:t>
      </w:r>
    </w:p>
    <w:p>
      <w:pPr>
        <w:spacing w:after="120" w:before="0"/>
        <w:ind w:left="863"/>
        <w:jc w:val="both"/>
      </w:pPr>
      <w:r>
        <w:rPr>
          <w:rFonts w:ascii="Garamond" w:cs="Garamond" w:eastAsia="Garamond" w:hAnsi="Garamond"/>
          <w:color w:val="2a2520"/>
          <w:sz w:val="22"/>
          <w:szCs w:val="22"/>
        </w:rPr>
        <w:t xml:space="preserve">Existing government officials serve as caretakers under §19.4. The joint Inspectorate panel assumes oversight. The NRS begins recording all government acts. Priority functions: Basic Needs Floor delivery continuity, public safety, and essential services. No new permanent legislation. This phase is explicitly temporary — its only mandate is stability while Phase 2 institutional construction begins.</w:t>
      </w:r>
    </w:p>
    <w:p>
      <w:pPr>
        <w:spacing w:after="60" w:before="200"/>
        <w:ind w:left="863"/>
      </w:pPr>
      <w:r>
        <w:rPr>
          <w:rFonts w:ascii="Courier New" w:cs="Courier New" w:eastAsia="Courier New" w:hAnsi="Courier New"/>
          <w:b/>
          <w:bCs/>
          <w:color w:val="1B2A4A"/>
          <w:sz w:val="18"/>
          <w:szCs w:val="18"/>
        </w:rPr>
        <w:t xml:space="preserve">§19.3.c  </w:t>
      </w:r>
      <w:r>
        <w:rPr>
          <w:rFonts w:ascii="Garamond" w:cs="Garamond" w:eastAsia="Garamond" w:hAnsi="Garamond"/>
          <w:b/>
          <w:bCs/>
          <w:color w:val="1B2A4A"/>
          <w:sz w:val="22"/>
          <w:szCs w:val="22"/>
        </w:rPr>
        <w:t xml:space="preserve">Phase 2 — Institutional Construction (Days 91–270)</w:t>
      </w:r>
    </w:p>
    <w:p>
      <w:pPr>
        <w:spacing w:after="120" w:before="0"/>
        <w:ind w:left="863"/>
        <w:jc w:val="both"/>
      </w:pPr>
      <w:r>
        <w:rPr>
          <w:rFonts w:ascii="Garamond" w:cs="Garamond" w:eastAsia="Garamond" w:hAnsi="Garamond"/>
          <w:color w:val="2a2520"/>
          <w:sz w:val="22"/>
          <w:szCs w:val="22"/>
        </w:rPr>
        <w:t xml:space="preserve">Phase 2 (Days 91–270) is Institutional Construction. Statehood Audits are conducted for all entering territories. Inspectorates are formally constituted. The Candidate Register for MA board members and the RSA Director is assembled. Electoral Commission is certified as operational. The National Voting System is fully deployed for citizen registration. Phase 2 ends at Day 270.</w:t>
      </w:r>
    </w:p>
    <w:p>
      <w:pPr>
        <w:spacing w:after="60" w:before="200"/>
        <w:ind w:left="863"/>
      </w:pPr>
      <w:r>
        <w:rPr>
          <w:rFonts w:ascii="Courier New" w:cs="Courier New" w:eastAsia="Courier New" w:hAnsi="Courier New"/>
          <w:b/>
          <w:bCs/>
          <w:color w:val="1B2A4A"/>
          <w:sz w:val="18"/>
          <w:szCs w:val="18"/>
        </w:rPr>
        <w:t xml:space="preserve">§19.3.d  </w:t>
      </w:r>
      <w:r>
        <w:rPr>
          <w:rFonts w:ascii="Garamond" w:cs="Garamond" w:eastAsia="Garamond" w:hAnsi="Garamond"/>
          <w:b/>
          <w:bCs/>
          <w:color w:val="1B2A4A"/>
          <w:sz w:val="22"/>
          <w:szCs w:val="22"/>
        </w:rPr>
        <w:t xml:space="preserve">Phase 3 — First Elections (Days 271–450)</w:t>
      </w:r>
    </w:p>
    <w:p>
      <w:pPr>
        <w:spacing w:after="120" w:before="0"/>
        <w:ind w:left="863"/>
        <w:jc w:val="both"/>
      </w:pPr>
      <w:r>
        <w:rPr>
          <w:rFonts w:ascii="Garamond" w:cs="Garamond" w:eastAsia="Garamond" w:hAnsi="Garamond"/>
          <w:color w:val="2a2520"/>
          <w:sz w:val="22"/>
          <w:szCs w:val="22"/>
        </w:rPr>
        <w:t xml:space="preserve">Phase 3 (Days 271-450) is First Elections. The first National Election Day. Supreme Court justices elected through the open-candidacy judicial selection process. Electoral Commission inaugural elections. Phase 3 ends when the first the Legislature is sworn in and the first executives take office — the moment at which the Republic's constitutional design becomes self-sustaining.</w:t>
      </w:r>
    </w:p>
    <w:p>
      <w:pPr>
        <w:spacing w:after="60" w:before="200"/>
        <w:ind w:left="863"/>
      </w:pPr>
      <w:r>
        <w:rPr>
          <w:rFonts w:ascii="Courier New" w:cs="Courier New" w:eastAsia="Courier New" w:hAnsi="Courier New"/>
          <w:b/>
          <w:bCs/>
          <w:color w:val="1B2A4A"/>
          <w:sz w:val="18"/>
          <w:szCs w:val="18"/>
        </w:rPr>
        <w:t xml:space="preserve">§19.3.e  </w:t>
      </w:r>
      <w:r>
        <w:rPr>
          <w:rFonts w:ascii="Garamond" w:cs="Garamond" w:eastAsia="Garamond" w:hAnsi="Garamond"/>
          <w:b/>
          <w:bCs/>
          <w:color w:val="1B2A4A"/>
          <w:sz w:val="22"/>
          <w:szCs w:val="22"/>
        </w:rPr>
        <w:t xml:space="preserve">Phase 4 — Full Constitutional Operation</w:t>
      </w:r>
    </w:p>
    <w:p>
      <w:pPr>
        <w:spacing w:after="120" w:before="0"/>
        <w:ind w:left="863"/>
        <w:jc w:val="both"/>
      </w:pPr>
      <w:r>
        <w:rPr>
          <w:rFonts w:ascii="Garamond" w:cs="Garamond" w:eastAsia="Garamond" w:hAnsi="Garamond"/>
          <w:color w:val="2a2520"/>
          <w:sz w:val="22"/>
          <w:szCs w:val="22"/>
        </w:rPr>
        <w:t xml:space="preserve">Beginning the day the first Legislature convenes and the first executives take the constitutional oath. From Phase 4, all constitutional provisions are fully operative. The 18-month Transition Window concludes at the end of Phase 4.</w:t>
      </w:r>
    </w:p>
    <w:p>
      <w:pPr>
        <w:spacing w:after="60" w:before="200"/>
        <w:ind w:left="431"/>
      </w:pPr>
      <w:r>
        <w:rPr>
          <w:rFonts w:ascii="Courier New" w:cs="Courier New" w:eastAsia="Courier New" w:hAnsi="Courier New"/>
          <w:b/>
          <w:bCs/>
          <w:color w:val="1B2A4A"/>
          <w:sz w:val="18"/>
          <w:szCs w:val="18"/>
        </w:rPr>
        <w:t xml:space="preserve">§19.4  </w:t>
      </w:r>
      <w:r>
        <w:rPr>
          <w:rFonts w:ascii="Garamond" w:cs="Garamond" w:eastAsia="Garamond" w:hAnsi="Garamond"/>
          <w:b/>
          <w:bCs/>
          <w:color w:val="1B2A4A"/>
          <w:sz w:val="22"/>
          <w:szCs w:val="22"/>
        </w:rPr>
        <w:t xml:space="preserve">Caretaker Status</w:t>
      </w:r>
    </w:p>
    <w:p>
      <w:pPr>
        <w:spacing w:after="120" w:before="0"/>
        <w:ind w:left="431"/>
        <w:jc w:val="both"/>
      </w:pPr>
      <w:r>
        <w:rPr>
          <w:rFonts w:ascii="Garamond" w:cs="Garamond" w:eastAsia="Garamond" w:hAnsi="Garamond"/>
          <w:color w:val="2a2520"/>
          <w:sz w:val="22"/>
          <w:szCs w:val="22"/>
        </w:rPr>
        <w:t xml:space="preserve">All existing government officials serve as caretakers during the Transition Window — restricted to maintaining existing services only. No new permanent legislation. Transition supervised by joint Inspectorate panel: one representative per Inspectorate, appointed by their respective IGs. The panel dissolves automatically at the Transition Window's conclusion. Caretaker status prevents the predecessor government from entrenching itself during transition.</w:t>
      </w:r>
    </w:p>
    <w:p>
      <w:pPr>
        <w:spacing w:after="60" w:before="200"/>
        <w:ind w:left="431"/>
      </w:pPr>
      <w:r>
        <w:rPr>
          <w:rFonts w:ascii="Courier New" w:cs="Courier New" w:eastAsia="Courier New" w:hAnsi="Courier New"/>
          <w:b/>
          <w:bCs/>
          <w:color w:val="1B2A4A"/>
          <w:sz w:val="18"/>
          <w:szCs w:val="18"/>
        </w:rPr>
        <w:t xml:space="preserve">§19.5  </w:t>
      </w:r>
      <w:r>
        <w:rPr>
          <w:rFonts w:ascii="Garamond" w:cs="Garamond" w:eastAsia="Garamond" w:hAnsi="Garamond"/>
          <w:b/>
          <w:bCs/>
          <w:color w:val="1B2A4A"/>
          <w:sz w:val="22"/>
          <w:szCs w:val="22"/>
        </w:rPr>
        <w:t xml:space="preserve">Pre-Constitutional Classified Documents</w:t>
      </w:r>
    </w:p>
    <w:p>
      <w:pPr>
        <w:spacing w:after="120" w:before="0"/>
        <w:ind w:left="431"/>
        <w:jc w:val="both"/>
      </w:pPr>
      <w:r>
        <w:rPr>
          <w:rFonts w:ascii="Garamond" w:cs="Garamond" w:eastAsia="Garamond" w:hAnsi="Garamond"/>
          <w:color w:val="2a2520"/>
          <w:sz w:val="22"/>
          <w:szCs w:val="22"/>
        </w:rPr>
        <w:t xml:space="preserve">Legislature must establish a Classification Review Commission within 90 days of Phase 4 activation. Commission applies §9.5 criteria to predecessor classified material: legitimately classified material enters the §9.5 duration framework from Day Zero; improperly classified material (concealing violations or policy decisions) is immediately declassified and published to the NRS. Any person may challenge a Commission determination before the SC.</w:t>
      </w:r>
    </w:p>
    <w:p>
      <w:pPr>
        <w:spacing w:after="60" w:before="200"/>
        <w:ind w:left="431"/>
      </w:pPr>
      <w:r>
        <w:rPr>
          <w:rFonts w:ascii="Courier New" w:cs="Courier New" w:eastAsia="Courier New" w:hAnsi="Courier New"/>
          <w:b/>
          <w:bCs/>
          <w:color w:val="1B2A4A"/>
          <w:sz w:val="18"/>
          <w:szCs w:val="18"/>
        </w:rPr>
        <w:t xml:space="preserve">§19.6  </w:t>
      </w:r>
      <w:r>
        <w:rPr>
          <w:rFonts w:ascii="Garamond" w:cs="Garamond" w:eastAsia="Garamond" w:hAnsi="Garamond"/>
          <w:b/>
          <w:bCs/>
          <w:color w:val="1B2A4A"/>
          <w:sz w:val="22"/>
          <w:szCs w:val="22"/>
        </w:rPr>
        <w:t xml:space="preserve">Pre-Existing Obligations</w:t>
      </w:r>
    </w:p>
    <w:p>
      <w:pPr>
        <w:spacing w:after="120" w:before="0"/>
        <w:ind w:left="431"/>
        <w:jc w:val="both"/>
      </w:pPr>
      <w:r>
        <w:rPr>
          <w:rFonts w:ascii="Garamond" w:cs="Garamond" w:eastAsia="Garamond" w:hAnsi="Garamond"/>
          <w:color w:val="2a2520"/>
          <w:sz w:val="22"/>
          <w:szCs w:val="22"/>
        </w:rPr>
        <w:t xml:space="preserve">The Republic assumes the public debt obligations of its predecessor government as a constitutional matter, not a discretionary choice.</w:t>
      </w:r>
    </w:p>
    <w:p>
      <w:pPr>
        <w:spacing w:after="60" w:before="200"/>
        <w:ind w:left="863"/>
      </w:pPr>
      <w:r>
        <w:rPr>
          <w:rFonts w:ascii="Courier New" w:cs="Courier New" w:eastAsia="Courier New" w:hAnsi="Courier New"/>
          <w:b/>
          <w:bCs/>
          <w:color w:val="1B2A4A"/>
          <w:sz w:val="18"/>
          <w:szCs w:val="18"/>
        </w:rPr>
        <w:t xml:space="preserve">§19.6.a  </w:t>
      </w:r>
      <w:r>
        <w:rPr>
          <w:rFonts w:ascii="Garamond" w:cs="Garamond" w:eastAsia="Garamond" w:hAnsi="Garamond"/>
          <w:b/>
          <w:bCs/>
          <w:color w:val="1B2A4A"/>
          <w:sz w:val="22"/>
          <w:szCs w:val="22"/>
        </w:rPr>
        <w:t xml:space="preserve">Debt Assumption</w:t>
      </w:r>
    </w:p>
    <w:p>
      <w:pPr>
        <w:spacing w:after="120" w:before="0"/>
        <w:ind w:left="863"/>
        <w:jc w:val="both"/>
      </w:pPr>
      <w:r>
        <w:rPr>
          <w:rFonts w:ascii="Garamond" w:cs="Garamond" w:eastAsia="Garamond" w:hAnsi="Garamond"/>
          <w:color w:val="2a2520"/>
          <w:sz w:val="22"/>
          <w:szCs w:val="22"/>
        </w:rPr>
        <w:t xml:space="preserve">The Republic assumes all legally recognized debts of the prior government. The Republic does not inherit a clean slate — it inherits what was borrowed. Selective repudiation of prior obligations is not available as a founding act.</w:t>
      </w:r>
    </w:p>
    <w:p>
      <w:pPr>
        <w:spacing w:after="60" w:before="200"/>
        <w:ind w:left="863"/>
      </w:pPr>
      <w:r>
        <w:rPr>
          <w:rFonts w:ascii="Courier New" w:cs="Courier New" w:eastAsia="Courier New" w:hAnsi="Courier New"/>
          <w:b/>
          <w:bCs/>
          <w:color w:val="1B2A4A"/>
          <w:sz w:val="18"/>
          <w:szCs w:val="18"/>
        </w:rPr>
        <w:t xml:space="preserve">§19.6.b  </w:t>
      </w:r>
      <w:r>
        <w:rPr>
          <w:rFonts w:ascii="Garamond" w:cs="Garamond" w:eastAsia="Garamond" w:hAnsi="Garamond"/>
          <w:b/>
          <w:bCs/>
          <w:color w:val="1B2A4A"/>
          <w:sz w:val="22"/>
          <w:szCs w:val="22"/>
        </w:rPr>
        <w:t xml:space="preserve">Active Military Operations</w:t>
      </w:r>
    </w:p>
    <w:p>
      <w:pPr>
        <w:spacing w:after="120" w:before="0"/>
        <w:ind w:left="863"/>
        <w:jc w:val="both"/>
      </w:pPr>
      <w:r>
        <w:rPr>
          <w:rFonts w:ascii="Garamond" w:cs="Garamond" w:eastAsia="Garamond" w:hAnsi="Garamond"/>
          <w:color w:val="2a2520"/>
          <w:sz w:val="22"/>
          <w:szCs w:val="22"/>
        </w:rPr>
        <w:t xml:space="preserve">Active military operations of the prior government continue under existing authorization until the §12.2 Tier framework can apply. The President, once inaugurated, must certify each active operation under the appropriate Tier within 14 days or begin orderly cessation. Operations not certified within 60 days of inauguration cease unless the Legislature grants a one-time extension. No indefinite continuation of predecessor-authorized military action.</w:t>
      </w:r>
    </w:p>
    <w:p>
      <w:pPr>
        <w:spacing w:after="60" w:before="200"/>
        <w:ind w:left="863"/>
      </w:pPr>
      <w:r>
        <w:rPr>
          <w:rFonts w:ascii="Courier New" w:cs="Courier New" w:eastAsia="Courier New" w:hAnsi="Courier New"/>
          <w:b/>
          <w:bCs/>
          <w:color w:val="1B2A4A"/>
          <w:sz w:val="18"/>
          <w:szCs w:val="18"/>
        </w:rPr>
        <w:t xml:space="preserve">§19.6.c  </w:t>
      </w:r>
      <w:r>
        <w:rPr>
          <w:rFonts w:ascii="Garamond" w:cs="Garamond" w:eastAsia="Garamond" w:hAnsi="Garamond"/>
          <w:b/>
          <w:bCs/>
          <w:color w:val="1B2A4A"/>
          <w:sz w:val="22"/>
          <w:szCs w:val="22"/>
        </w:rPr>
        <w:t xml:space="preserve">Social Insurance Programs</w:t>
      </w:r>
    </w:p>
    <w:p>
      <w:pPr>
        <w:spacing w:after="120" w:before="0"/>
        <w:ind w:left="863"/>
        <w:jc w:val="both"/>
      </w:pPr>
      <w:r>
        <w:rPr>
          <w:rFonts w:ascii="Garamond" w:cs="Garamond" w:eastAsia="Garamond" w:hAnsi="Garamond"/>
          <w:color w:val="2a2520"/>
          <w:sz w:val="22"/>
          <w:szCs w:val="22"/>
        </w:rPr>
        <w:t xml:space="preserve">Retirement pensions, disability benefits, health coverage — of the prior government continue uninterrupted during the Transition Window. The Republic does not create a gap in social protection as part of its founding.</w:t>
      </w:r>
    </w:p>
    <w:p>
      <w:pPr>
        <w:spacing w:after="60" w:before="200"/>
        <w:ind w:left="863"/>
      </w:pPr>
      <w:r>
        <w:rPr>
          <w:rFonts w:ascii="Courier New" w:cs="Courier New" w:eastAsia="Courier New" w:hAnsi="Courier New"/>
          <w:b/>
          <w:bCs/>
          <w:color w:val="1B2A4A"/>
          <w:sz w:val="18"/>
          <w:szCs w:val="18"/>
        </w:rPr>
        <w:t xml:space="preserve">§19.6.d  </w:t>
      </w:r>
      <w:r>
        <w:rPr>
          <w:rFonts w:ascii="Garamond" w:cs="Garamond" w:eastAsia="Garamond" w:hAnsi="Garamond"/>
          <w:b/>
          <w:bCs/>
          <w:color w:val="1B2A4A"/>
          <w:sz w:val="22"/>
          <w:szCs w:val="22"/>
        </w:rPr>
        <w:t xml:space="preserve">Veterans and National Service Obligations</w:t>
      </w:r>
    </w:p>
    <w:p>
      <w:pPr>
        <w:spacing w:after="120" w:before="0"/>
        <w:ind w:left="863"/>
        <w:jc w:val="both"/>
      </w:pPr>
      <w:r>
        <w:rPr>
          <w:rFonts w:ascii="Garamond" w:cs="Garamond" w:eastAsia="Garamond" w:hAnsi="Garamond"/>
          <w:color w:val="2a2520"/>
          <w:sz w:val="22"/>
          <w:szCs w:val="22"/>
        </w:rPr>
        <w:t xml:space="preserve">The Republic inherits and honors all benefit obligations to persons who served in military or national service roles under the prior government. These are existing contractual commitments of the sovereign that survive transition as continuity-of-state. Legislature must pass a Veterans and National Service Benefits Act within the first budget cycle following Phase 4 activation.</w:t>
      </w:r>
    </w:p>
    <w:p>
      <w:pPr>
        <w:spacing w:after="60" w:before="200"/>
        <w:ind w:left="863"/>
      </w:pPr>
      <w:r>
        <w:rPr>
          <w:rFonts w:ascii="Courier New" w:cs="Courier New" w:eastAsia="Courier New" w:hAnsi="Courier New"/>
          <w:b/>
          <w:bCs/>
          <w:color w:val="1B2A4A"/>
          <w:sz w:val="18"/>
          <w:szCs w:val="18"/>
        </w:rPr>
        <w:t xml:space="preserve">§19.6.e  </w:t>
      </w:r>
      <w:r>
        <w:rPr>
          <w:rFonts w:ascii="Garamond" w:cs="Garamond" w:eastAsia="Garamond" w:hAnsi="Garamond"/>
          <w:b/>
          <w:bCs/>
          <w:color w:val="1B2A4A"/>
          <w:sz w:val="22"/>
          <w:szCs w:val="22"/>
        </w:rPr>
        <w:t xml:space="preserve">Constitutional Claims Court</w:t>
      </w:r>
    </w:p>
    <w:p>
      <w:pPr>
        <w:spacing w:after="120" w:before="0"/>
        <w:ind w:left="863"/>
        <w:jc w:val="both"/>
      </w:pPr>
      <w:r>
        <w:rPr>
          <w:rFonts w:ascii="Garamond" w:cs="Garamond" w:eastAsia="Garamond" w:hAnsi="Garamond"/>
          <w:color w:val="2a2520"/>
          <w:sz w:val="22"/>
          <w:szCs w:val="22"/>
        </w:rPr>
        <w:t xml:space="preserve">The immediate nullification of laws conflicting with the Individual Sovereignty Floor creates constitutional disputes that existing courts may not have capacity to absorb. The Legislature must by statute establish an interim Constitutional Claims Court within Phase 2, with jurisdiction over all Article I claims arising from Day Zero nullification.</w:t>
      </w:r>
    </w:p>
    <w:p>
      <w:pPr>
        <w:spacing w:after="60" w:before="200"/>
        <w:ind w:left="863"/>
      </w:pPr>
      <w:r>
        <w:rPr>
          <w:rFonts w:ascii="Courier New" w:cs="Courier New" w:eastAsia="Courier New" w:hAnsi="Courier New"/>
          <w:b/>
          <w:bCs/>
          <w:color w:val="1B2A4A"/>
          <w:sz w:val="18"/>
          <w:szCs w:val="18"/>
        </w:rPr>
        <w:t xml:space="preserve">§19.6.f  </w:t>
      </w:r>
      <w:r>
        <w:rPr>
          <w:rFonts w:ascii="Garamond" w:cs="Garamond" w:eastAsia="Garamond" w:hAnsi="Garamond"/>
          <w:b/>
          <w:bCs/>
          <w:color w:val="1B2A4A"/>
          <w:sz w:val="22"/>
          <w:szCs w:val="22"/>
        </w:rPr>
        <w:t xml:space="preserve">Legal Continuity</w:t>
      </w:r>
    </w:p>
    <w:p>
      <w:pPr>
        <w:spacing w:after="120" w:before="0"/>
        <w:ind w:left="863"/>
        <w:jc w:val="both"/>
      </w:pPr>
      <w:r>
        <w:rPr>
          <w:rFonts w:ascii="Garamond" w:cs="Garamond" w:eastAsia="Garamond" w:hAnsi="Garamond"/>
          <w:color w:val="2a2520"/>
          <w:sz w:val="22"/>
          <w:szCs w:val="22"/>
        </w:rPr>
        <w:t xml:space="preserve">The Federated Republic is the legal continuation of the prior government as a matter of international law. All international obligations, financial commitments, treaty relationships, and contractual obligations of the prior government as of Day Zero are assumed by the Republic as its successor sovereign.</w:t>
      </w:r>
    </w:p>
    <w:p>
      <w:pPr>
        <w:spacing w:after="60" w:before="200"/>
        <w:ind w:left="431"/>
      </w:pPr>
      <w:r>
        <w:rPr>
          <w:rFonts w:ascii="Courier New" w:cs="Courier New" w:eastAsia="Courier New" w:hAnsi="Courier New"/>
          <w:b/>
          <w:bCs/>
          <w:color w:val="1B2A4A"/>
          <w:sz w:val="18"/>
          <w:szCs w:val="18"/>
        </w:rPr>
        <w:t xml:space="preserve">§19.7  </w:t>
      </w:r>
      <w:r>
        <w:rPr>
          <w:rFonts w:ascii="Garamond" w:cs="Garamond" w:eastAsia="Garamond" w:hAnsi="Garamond"/>
          <w:b/>
          <w:bCs/>
          <w:color w:val="1B2A4A"/>
          <w:sz w:val="22"/>
          <w:szCs w:val="22"/>
        </w:rPr>
        <w:t xml:space="preserve">Transition-Period Territory and Subdivision Elections</w:t>
      </w:r>
    </w:p>
    <w:p>
      <w:pPr>
        <w:spacing w:after="120" w:before="0"/>
        <w:ind w:left="431"/>
        <w:jc w:val="both"/>
      </w:pPr>
      <w:r>
        <w:rPr>
          <w:rFonts w:ascii="Garamond" w:cs="Garamond" w:eastAsia="Garamond" w:hAnsi="Garamond"/>
          <w:color w:val="2a2520"/>
          <w:sz w:val="22"/>
          <w:szCs w:val="22"/>
        </w:rPr>
        <w:t xml:space="preserve">The transition period provides specific mechanisms for territories seeking statehood and for prior-government states seeking subdivision. These mechanisms operate alongside the standard Phase structure and do not delay Phase activation.</w:t>
      </w:r>
    </w:p>
    <w:p>
      <w:pPr>
        <w:spacing w:after="60" w:before="200"/>
        <w:ind w:left="863"/>
      </w:pPr>
      <w:r>
        <w:rPr>
          <w:rFonts w:ascii="Courier New" w:cs="Courier New" w:eastAsia="Courier New" w:hAnsi="Courier New"/>
          <w:b/>
          <w:bCs/>
          <w:color w:val="1B2A4A"/>
          <w:sz w:val="18"/>
          <w:szCs w:val="18"/>
        </w:rPr>
        <w:t xml:space="preserve">§19.7.a  </w:t>
      </w:r>
      <w:r>
        <w:rPr>
          <w:rFonts w:ascii="Garamond" w:cs="Garamond" w:eastAsia="Garamond" w:hAnsi="Garamond"/>
          <w:b/>
          <w:bCs/>
          <w:color w:val="1B2A4A"/>
          <w:sz w:val="22"/>
          <w:szCs w:val="22"/>
        </w:rPr>
        <w:t xml:space="preserve">Transition-Period Territorial Elections</w:t>
      </w:r>
    </w:p>
    <w:p>
      <w:pPr>
        <w:spacing w:after="120" w:before="0"/>
        <w:ind w:left="863"/>
        <w:jc w:val="both"/>
      </w:pPr>
      <w:r>
        <w:rPr>
          <w:rFonts w:ascii="Garamond" w:cs="Garamond" w:eastAsia="Garamond" w:hAnsi="Garamond"/>
          <w:color w:val="2a2520"/>
          <w:sz w:val="22"/>
          <w:szCs w:val="22"/>
        </w:rPr>
        <w:t xml:space="preserve">Territories or subdivisions meeting the §13.2 Competency Baseline by Phase 2 end may petition to enter as State or Territory. Those failing the Baseline enter as Territory under §13.1 and may begin the Statehood Audit immediately. Any territory may choose Territory status by simple legislative vote regardless of whether it meets the Statehood Baseline.</w:t>
      </w:r>
    </w:p>
    <w:p>
      <w:pPr>
        <w:spacing w:after="60" w:before="200"/>
        <w:ind w:left="863"/>
      </w:pPr>
      <w:r>
        <w:rPr>
          <w:rFonts w:ascii="Courier New" w:cs="Courier New" w:eastAsia="Courier New" w:hAnsi="Courier New"/>
          <w:b/>
          <w:bCs/>
          <w:color w:val="1B2A4A"/>
          <w:sz w:val="18"/>
          <w:szCs w:val="18"/>
        </w:rPr>
        <w:t xml:space="preserve">§19.7.b  </w:t>
      </w:r>
      <w:r>
        <w:rPr>
          <w:rFonts w:ascii="Garamond" w:cs="Garamond" w:eastAsia="Garamond" w:hAnsi="Garamond"/>
          <w:b/>
          <w:bCs/>
          <w:color w:val="1B2A4A"/>
          <w:sz w:val="22"/>
          <w:szCs w:val="22"/>
        </w:rPr>
        <w:t xml:space="preserve">Subdivision Elections</w:t>
      </w:r>
    </w:p>
    <w:p>
      <w:pPr>
        <w:spacing w:after="120" w:before="0"/>
        <w:ind w:left="863"/>
        <w:jc w:val="both"/>
      </w:pPr>
      <w:r>
        <w:rPr>
          <w:rFonts w:ascii="Garamond" w:cs="Garamond" w:eastAsia="Garamond" w:hAnsi="Garamond"/>
          <w:color w:val="2a2520"/>
          <w:sz w:val="22"/>
          <w:szCs w:val="22"/>
        </w:rPr>
        <w:t xml:space="preserve">Prior government states or territories may voluntarily subdivide during the Transition Window by vote of their existing legislative body. New subdivisions are treated as separate petitioning entities for §19.7.a purposes. Legislature must establish by statute the subdivision recognition process.</w:t>
      </w:r>
    </w:p>
    <w:p>
      <w:pPr>
        <w:spacing w:after="60" w:before="200"/>
        <w:ind w:left="863"/>
      </w:pPr>
      <w:r>
        <w:rPr>
          <w:rFonts w:ascii="Courier New" w:cs="Courier New" w:eastAsia="Courier New" w:hAnsi="Courier New"/>
          <w:b/>
          <w:bCs/>
          <w:color w:val="1B2A4A"/>
          <w:sz w:val="18"/>
          <w:szCs w:val="18"/>
        </w:rPr>
        <w:t xml:space="preserve">§19.7.c  </w:t>
      </w:r>
      <w:r>
        <w:rPr>
          <w:rFonts w:ascii="Garamond" w:cs="Garamond" w:eastAsia="Garamond" w:hAnsi="Garamond"/>
          <w:b/>
          <w:bCs/>
          <w:color w:val="1B2A4A"/>
          <w:sz w:val="22"/>
          <w:szCs w:val="22"/>
        </w:rPr>
        <w:t xml:space="preserve">Phase 2 Statehood Audit Failures</w:t>
      </w:r>
    </w:p>
    <w:p>
      <w:pPr>
        <w:spacing w:after="120" w:before="0"/>
        <w:ind w:left="863"/>
        <w:jc w:val="both"/>
      </w:pPr>
      <w:r>
        <w:rPr>
          <w:rFonts w:ascii="Garamond" w:cs="Garamond" w:eastAsia="Garamond" w:hAnsi="Garamond"/>
          <w:color w:val="2a2520"/>
          <w:sz w:val="22"/>
          <w:szCs w:val="22"/>
        </w:rPr>
        <w:t xml:space="preserve">Where a state fails the Phase 2 Statehood Audit, it enters as a Territory under §13.1 rather than a State. Its population retains all Article I rights. Territory residents from failed-audit states participate in first House elections proportionally. Audit failure does not disenfranchise the population.</w:t>
      </w:r>
    </w:p>
    <w:p>
      <w:pPr>
        <w:spacing w:after="60" w:before="200"/>
        <w:ind w:left="863"/>
      </w:pPr>
      <w:r>
        <w:rPr>
          <w:rFonts w:ascii="Courier New" w:cs="Courier New" w:eastAsia="Courier New" w:hAnsi="Courier New"/>
          <w:b/>
          <w:bCs/>
          <w:color w:val="1B2A4A"/>
          <w:sz w:val="18"/>
          <w:szCs w:val="18"/>
        </w:rPr>
        <w:t xml:space="preserve">§19.7.d  </w:t>
      </w:r>
      <w:r>
        <w:rPr>
          <w:rFonts w:ascii="Garamond" w:cs="Garamond" w:eastAsia="Garamond" w:hAnsi="Garamond"/>
          <w:b/>
          <w:bCs/>
          <w:color w:val="1B2A4A"/>
          <w:sz w:val="22"/>
          <w:szCs w:val="22"/>
        </w:rPr>
        <w:t xml:space="preserve">Pre-Existing Territories and the District</w:t>
      </w:r>
    </w:p>
    <w:p>
      <w:pPr>
        <w:spacing w:after="120" w:before="0"/>
        <w:ind w:left="863"/>
        <w:jc w:val="both"/>
      </w:pPr>
      <w:r>
        <w:rPr>
          <w:rFonts w:ascii="Garamond" w:cs="Garamond" w:eastAsia="Garamond" w:hAnsi="Garamond"/>
          <w:color w:val="2a2520"/>
          <w:sz w:val="22"/>
          <w:szCs w:val="22"/>
        </w:rPr>
        <w:t xml:space="preserve">All prior government territories that have not achieved statehood by Day Zero enter as Territories from Phase 4 activation — without undergoing Phase 2 Statehood Audits, beginning the standard §13.2 Statehood Audit process after Phase 4. Any capital district or special administrative region that was neither a state nor standard territory is assigned Territory status and follows the §13.2 path.</w:t>
      </w:r>
    </w:p>
    <w:p>
      <w:pPr>
        <w:spacing w:after="60" w:before="200"/>
        <w:ind w:left="431"/>
      </w:pPr>
      <w:r>
        <w:rPr>
          <w:rFonts w:ascii="Courier New" w:cs="Courier New" w:eastAsia="Courier New" w:hAnsi="Courier New"/>
          <w:b/>
          <w:bCs/>
          <w:color w:val="1B2A4A"/>
          <w:sz w:val="18"/>
          <w:szCs w:val="18"/>
        </w:rPr>
        <w:t xml:space="preserve">§19.8  </w:t>
      </w:r>
      <w:r>
        <w:rPr>
          <w:rFonts w:ascii="Garamond" w:cs="Garamond" w:eastAsia="Garamond" w:hAnsi="Garamond"/>
          <w:b/>
          <w:bCs/>
          <w:color w:val="1B2A4A"/>
          <w:sz w:val="22"/>
          <w:szCs w:val="22"/>
        </w:rPr>
        <w:t xml:space="preserve">Transition Candidate Registers</w:t>
      </w:r>
    </w:p>
    <w:p>
      <w:pPr>
        <w:spacing w:after="120" w:before="0"/>
        <w:ind w:left="431"/>
        <w:jc w:val="both"/>
      </w:pPr>
      <w:r>
        <w:rPr>
          <w:rFonts w:ascii="Garamond" w:cs="Garamond" w:eastAsia="Garamond" w:hAnsi="Garamond"/>
          <w:color w:val="2a2520"/>
          <w:sz w:val="22"/>
          <w:szCs w:val="22"/>
        </w:rPr>
        <w:t xml:space="preserve">The joint Inspectorate panel assembles the initial Candidate Registers for all constitutionally established positions before Phase 3 elections can occur. Without populated registers, the elections cannot proceed — the Registers are a constitutional prerequisite for the democratic machinery to activate. The panel's role here is transitional: it performs the register-assembly and vetting function that the permanent Inspectorates will assume after Phase 4. Registers assembled by the panel carry full constitutional validity; the Legislature ratifies and continues them through the first budget cycle after Phase 4 activation.</w:t>
      </w:r>
    </w:p>
    <w:p>
      <w:pPr>
        <w:spacing w:after="60" w:before="200"/>
        <w:ind w:left="863"/>
      </w:pPr>
      <w:r>
        <w:rPr>
          <w:rFonts w:ascii="Courier New" w:cs="Courier New" w:eastAsia="Courier New" w:hAnsi="Courier New"/>
          <w:b/>
          <w:bCs/>
          <w:color w:val="1B2A4A"/>
          <w:sz w:val="18"/>
          <w:szCs w:val="18"/>
        </w:rPr>
        <w:t xml:space="preserve">§19.8.a  </w:t>
      </w:r>
      <w:r>
        <w:rPr>
          <w:rFonts w:ascii="Garamond" w:cs="Garamond" w:eastAsia="Garamond" w:hAnsi="Garamond"/>
          <w:b/>
          <w:bCs/>
          <w:color w:val="1B2A4A"/>
          <w:sz w:val="22"/>
          <w:szCs w:val="22"/>
        </w:rPr>
        <w:t xml:space="preserve">Initial Register Assembly</w:t>
      </w:r>
    </w:p>
    <w:p>
      <w:pPr>
        <w:spacing w:after="120" w:before="0"/>
        <w:ind w:left="863"/>
        <w:jc w:val="both"/>
      </w:pPr>
      <w:r>
        <w:rPr>
          <w:rFonts w:ascii="Garamond" w:cs="Garamond" w:eastAsia="Garamond" w:hAnsi="Garamond"/>
          <w:color w:val="2a2520"/>
          <w:sz w:val="22"/>
          <w:szCs w:val="22"/>
        </w:rPr>
        <w:t xml:space="preserve">During Phase 2, the joint Inspectorate panel assembles an initial Candidate Register for the MA board members and RSA Director. Panel receives disclosure records, reviews factual accuracy, applies constitutional eligibility criteria, and publishes with recommendations to NRS. May draw on prior government, international, and diaspora expertise where domestic expertise is unavailable or compromised.</w:t>
      </w:r>
    </w:p>
    <w:p>
      <w:pPr>
        <w:spacing w:after="60" w:before="200"/>
        <w:ind w:left="863"/>
      </w:pPr>
      <w:r>
        <w:rPr>
          <w:rFonts w:ascii="Courier New" w:cs="Courier New" w:eastAsia="Courier New" w:hAnsi="Courier New"/>
          <w:b/>
          <w:bCs/>
          <w:color w:val="1B2A4A"/>
          <w:sz w:val="18"/>
          <w:szCs w:val="18"/>
        </w:rPr>
        <w:t xml:space="preserve">§19.8.b  </w:t>
      </w:r>
      <w:r>
        <w:rPr>
          <w:rFonts w:ascii="Garamond" w:cs="Garamond" w:eastAsia="Garamond" w:hAnsi="Garamond"/>
          <w:b/>
          <w:bCs/>
          <w:color w:val="1B2A4A"/>
          <w:sz w:val="22"/>
          <w:szCs w:val="22"/>
        </w:rPr>
        <w:t xml:space="preserve">Interim Functions and First Nomination</w:t>
      </w:r>
    </w:p>
    <w:p>
      <w:pPr>
        <w:spacing w:after="120" w:before="0"/>
        <w:ind w:left="863"/>
        <w:jc w:val="both"/>
      </w:pPr>
      <w:r>
        <w:rPr>
          <w:rFonts w:ascii="Garamond" w:cs="Garamond" w:eastAsia="Garamond" w:hAnsi="Garamond"/>
          <w:color w:val="2a2520"/>
          <w:sz w:val="22"/>
          <w:szCs w:val="22"/>
        </w:rPr>
        <w:t xml:space="preserve">The joint Inspectorate panel performs interim MA fiscal certification functions from Phase 4 activation until the first MA Director takes office following the Phase 3 election. These interim certifications carry full constitutional weight. The first PM must nominate MA board members within 90 days of Phase 4 activation and an RSA Director within 180 days.</w:t>
      </w:r>
    </w:p>
    <w:p>
      <w:pPr>
        <w:spacing w:after="60" w:before="200"/>
        <w:ind w:left="431"/>
      </w:pPr>
      <w:r>
        <w:rPr>
          <w:rFonts w:ascii="Courier New" w:cs="Courier New" w:eastAsia="Courier New" w:hAnsi="Courier New"/>
          <w:b/>
          <w:bCs/>
          <w:color w:val="1B2A4A"/>
          <w:sz w:val="18"/>
          <w:szCs w:val="18"/>
        </w:rPr>
        <w:t xml:space="preserve">§19.9  </w:t>
      </w:r>
      <w:r>
        <w:rPr>
          <w:rFonts w:ascii="Garamond" w:cs="Garamond" w:eastAsia="Garamond" w:hAnsi="Garamond"/>
          <w:b/>
          <w:bCs/>
          <w:color w:val="1B2A4A"/>
          <w:sz w:val="22"/>
          <w:szCs w:val="22"/>
        </w:rPr>
        <w:t xml:space="preserve">Transitional Accountability Mechanism</w:t>
      </w:r>
    </w:p>
    <w:p>
      <w:pPr>
        <w:spacing w:after="120" w:before="0"/>
        <w:ind w:left="431"/>
        <w:jc w:val="both"/>
      </w:pPr>
      <w:r>
        <w:rPr>
          <w:rFonts w:ascii="Garamond" w:cs="Garamond" w:eastAsia="Garamond" w:hAnsi="Garamond"/>
          <w:color w:val="2a2520"/>
          <w:sz w:val="22"/>
          <w:szCs w:val="22"/>
        </w:rPr>
        <w:t xml:space="preserve">Where a ratifying polity's predecessor government has documented constitutional violations — systematic rights abuses, documented atrocities — the Republic may establish a Transitional Accountability Mechanism by statute. The TAM is time-limited, non-criminal (it cannot impose criminal sentences), and subject to NRS publication. It is the constitutional answer to how a new Republic deals with the wrongs of what it replaced.</w:t>
      </w:r>
    </w:p>
    <w:p>
      <w:pPr>
        <w:spacing w:after="60" w:before="200"/>
        <w:ind w:left="863"/>
      </w:pPr>
      <w:r>
        <w:rPr>
          <w:rFonts w:ascii="Courier New" w:cs="Courier New" w:eastAsia="Courier New" w:hAnsi="Courier New"/>
          <w:b/>
          <w:bCs/>
          <w:color w:val="1B2A4A"/>
          <w:sz w:val="18"/>
          <w:szCs w:val="18"/>
        </w:rPr>
        <w:t xml:space="preserve">§19.9.a  </w:t>
      </w:r>
      <w:r>
        <w:rPr>
          <w:rFonts w:ascii="Garamond" w:cs="Garamond" w:eastAsia="Garamond" w:hAnsi="Garamond"/>
          <w:b/>
          <w:bCs/>
          <w:color w:val="1B2A4A"/>
          <w:sz w:val="22"/>
          <w:szCs w:val="22"/>
        </w:rPr>
        <w:t xml:space="preserve">TAM Establishment and Scope</w:t>
      </w:r>
    </w:p>
    <w:p>
      <w:pPr>
        <w:spacing w:after="120" w:before="0"/>
        <w:ind w:left="863"/>
        <w:jc w:val="both"/>
      </w:pPr>
      <w:r>
        <w:rPr>
          <w:rFonts w:ascii="Garamond" w:cs="Garamond" w:eastAsia="Garamond" w:hAnsi="Garamond"/>
          <w:color w:val="2a2520"/>
          <w:sz w:val="22"/>
          <w:szCs w:val="22"/>
        </w:rPr>
        <w:t xml:space="preserve">The Transitional Accountability Mechanism investigates, documents, and recommends remedies for serious violations committed by predecessor government entities during the period before ratification. Its jurisdiction is bounded to predecessor-era conduct — it does not adjudicate Republic-era acts, which fall to ordinary courts. Findings are published to the NRS and may recommend criminal referrals, institutional restructuring, or reparative measures, but carry no binding force.</w:t>
      </w:r>
    </w:p>
    <w:p>
      <w:pPr>
        <w:spacing w:after="60" w:before="200"/>
        <w:ind w:left="863"/>
      </w:pPr>
      <w:r>
        <w:rPr>
          <w:rFonts w:ascii="Courier New" w:cs="Courier New" w:eastAsia="Courier New" w:hAnsi="Courier New"/>
          <w:b/>
          <w:bCs/>
          <w:color w:val="1B2A4A"/>
          <w:sz w:val="18"/>
          <w:szCs w:val="18"/>
        </w:rPr>
        <w:t xml:space="preserve">§19.9.b  </w:t>
      </w:r>
      <w:r>
        <w:rPr>
          <w:rFonts w:ascii="Garamond" w:cs="Garamond" w:eastAsia="Garamond" w:hAnsi="Garamond"/>
          <w:b/>
          <w:bCs/>
          <w:color w:val="1B2A4A"/>
          <w:sz w:val="22"/>
          <w:szCs w:val="22"/>
        </w:rPr>
        <w:t xml:space="preserve">TAM Amendment and Successor Bar</w:t>
      </w:r>
    </w:p>
    <w:p>
      <w:pPr>
        <w:spacing w:after="120" w:before="0"/>
        <w:ind w:left="863"/>
        <w:jc w:val="both"/>
      </w:pPr>
      <w:r>
        <w:rPr>
          <w:rFonts w:ascii="Garamond" w:cs="Garamond" w:eastAsia="Garamond" w:hAnsi="Garamond"/>
          <w:color w:val="2a2520"/>
          <w:sz w:val="22"/>
          <w:szCs w:val="22"/>
        </w:rPr>
        <w:t xml:space="preserve">The establishing statute and any amendments to it require the same 2/3 majority of both chambers as the original statute. No amendment may expand the Mechanism's subject matter scope beyond the scope defined in the establishing statute.</w:t>
      </w:r>
    </w:p>
    <w:p>
      <w:pPr>
        <w:spacing w:after="60" w:before="200"/>
        <w:ind w:left="863"/>
      </w:pPr>
      <w:r>
        <w:rPr>
          <w:rFonts w:ascii="Courier New" w:cs="Courier New" w:eastAsia="Courier New" w:hAnsi="Courier New"/>
          <w:b/>
          <w:bCs/>
          <w:color w:val="1B2A4A"/>
          <w:sz w:val="18"/>
          <w:szCs w:val="18"/>
        </w:rPr>
        <w:t xml:space="preserve">§19.9.c  </w:t>
      </w:r>
      <w:r>
        <w:rPr>
          <w:rFonts w:ascii="Garamond" w:cs="Garamond" w:eastAsia="Garamond" w:hAnsi="Garamond"/>
          <w:b/>
          <w:bCs/>
          <w:color w:val="1B2A4A"/>
          <w:sz w:val="22"/>
          <w:szCs w:val="22"/>
        </w:rPr>
        <w:t xml:space="preserve">TAM Jurisdiction and Publication Limits</w:t>
      </w:r>
    </w:p>
    <w:p>
      <w:pPr>
        <w:spacing w:after="120" w:before="0"/>
        <w:ind w:left="863"/>
        <w:jc w:val="both"/>
      </w:pPr>
      <w:r>
        <w:rPr>
          <w:rFonts w:ascii="Garamond" w:cs="Garamond" w:eastAsia="Garamond" w:hAnsi="Garamond"/>
          <w:color w:val="2a2520"/>
          <w:sz w:val="22"/>
          <w:szCs w:val="22"/>
        </w:rPr>
        <w:t xml:space="preserve">The Mechanism may not exercise criminal jurisdiction — that remains with the courts. The Mechanism may not issue orders whose practical effect is equivalent to criminal punishment, including mandatory prosecution referrals with binding recommendations, civil penalties exceeding the MA-defined threshold for criminal fine equivalence, or reputational orders without evidentiary hearing rights equivalent to criminal procedure. The Mechanism may publish only finalized findings — findings that have completed the evidentiary process specified in the establishing statute. Preliminary assessments, interim findings, and draft determinations may not be published to the NRS under the Mechanism's authority.</w:t>
      </w:r>
    </w:p>
    <w:p>
      <w:pPr>
        <w:spacing w:after="60" w:before="200"/>
        <w:ind w:left="863"/>
      </w:pPr>
      <w:r>
        <w:rPr>
          <w:rFonts w:ascii="Courier New" w:cs="Courier New" w:eastAsia="Courier New" w:hAnsi="Courier New"/>
          <w:b/>
          <w:bCs/>
          <w:color w:val="1B2A4A"/>
          <w:sz w:val="18"/>
          <w:szCs w:val="18"/>
        </w:rPr>
        <w:t xml:space="preserve">§19.9.d  </w:t>
      </w:r>
      <w:r>
        <w:rPr>
          <w:rFonts w:ascii="Garamond" w:cs="Garamond" w:eastAsia="Garamond" w:hAnsi="Garamond"/>
          <w:b/>
          <w:bCs/>
          <w:color w:val="1B2A4A"/>
          <w:sz w:val="22"/>
          <w:szCs w:val="22"/>
        </w:rPr>
        <w:t xml:space="preserve">TAM Sunset and Rationale</w:t>
      </w:r>
    </w:p>
    <w:p>
      <w:pPr>
        <w:spacing w:after="120" w:before="0"/>
        <w:ind w:left="863"/>
        <w:jc w:val="both"/>
      </w:pPr>
      <w:r>
        <w:rPr>
          <w:rFonts w:ascii="Garamond" w:cs="Garamond" w:eastAsia="Garamond" w:hAnsi="Garamond"/>
          <w:color w:val="2a2520"/>
          <w:sz w:val="22"/>
          <w:szCs w:val="22"/>
        </w:rPr>
        <w:t xml:space="preserve">At sunset the Mechanism dissolves; its NRS record is permanent. The Legislature may not extend the Mechanism beyond its statutory sunset without a fresh 2/3 supermajority in both chambers; extension is not a renewal and does not reset the ten-year successor bar under §19.9.b. A Republic that inherits the territory, institutions, and treaty obligations of its predecessor bears a constitutional obligation to account for what was done in the name of that predecessor state.</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XX — Associated Communities</w:t>
      </w:r>
    </w:p>
    <w:p>
      <w:pPr>
        <w:spacing w:after="120"/>
      </w:pPr>
    </w:p>
    <w:p>
      <w:pPr>
        <w:spacing w:after="60" w:before="200"/>
        <w:ind w:left="431"/>
      </w:pPr>
      <w:r>
        <w:rPr>
          <w:rFonts w:ascii="Courier New" w:cs="Courier New" w:eastAsia="Courier New" w:hAnsi="Courier New"/>
          <w:b/>
          <w:bCs/>
          <w:color w:val="1B2A4A"/>
          <w:sz w:val="18"/>
          <w:szCs w:val="18"/>
        </w:rPr>
        <w:t xml:space="preserve">§20.1  </w:t>
      </w:r>
      <w:r>
        <w:rPr>
          <w:rFonts w:ascii="Garamond" w:cs="Garamond" w:eastAsia="Garamond" w:hAnsi="Garamond"/>
          <w:b/>
          <w:bCs/>
          <w:color w:val="1B2A4A"/>
          <w:sz w:val="22"/>
          <w:szCs w:val="22"/>
        </w:rPr>
        <w:t xml:space="preserve">Associated Community Status</w:t>
      </w:r>
    </w:p>
    <w:p>
      <w:pPr>
        <w:spacing w:after="120" w:before="0"/>
        <w:ind w:left="431"/>
        <w:jc w:val="both"/>
      </w:pPr>
      <w:r>
        <w:rPr>
          <w:rFonts w:ascii="Garamond" w:cs="Garamond" w:eastAsia="Garamond" w:hAnsi="Garamond"/>
          <w:color w:val="2a2520"/>
          <w:sz w:val="22"/>
          <w:szCs w:val="22"/>
        </w:rPr>
        <w:t xml:space="preserve">Exclusively for sovereign entities — not a form of State or Territory status, not transitional, not incorporation. Available to nations that have completed the independence process under §15.4-15.5, to independent nations outside the Republic seeking a defined relationship, or to nations recognised as pre-existing sovereigns under Article XIV.</w:t>
      </w:r>
    </w:p>
    <w:p>
      <w:pPr>
        <w:spacing w:after="60" w:before="200"/>
        <w:ind w:left="431"/>
      </w:pPr>
      <w:r>
        <w:rPr>
          <w:rFonts w:ascii="Courier New" w:cs="Courier New" w:eastAsia="Courier New" w:hAnsi="Courier New"/>
          <w:b/>
          <w:bCs/>
          <w:color w:val="1B2A4A"/>
          <w:sz w:val="18"/>
          <w:szCs w:val="18"/>
        </w:rPr>
        <w:t xml:space="preserve">§20.2  </w:t>
      </w:r>
      <w:r>
        <w:rPr>
          <w:rFonts w:ascii="Garamond" w:cs="Garamond" w:eastAsia="Garamond" w:hAnsi="Garamond"/>
          <w:b/>
          <w:bCs/>
          <w:color w:val="1B2A4A"/>
          <w:sz w:val="22"/>
          <w:szCs w:val="22"/>
        </w:rPr>
        <w:t xml:space="preserve">Compact Terms and Equal Sovereignty</w:t>
      </w:r>
    </w:p>
    <w:p>
      <w:pPr>
        <w:spacing w:after="120" w:before="0"/>
        <w:ind w:left="431"/>
        <w:jc w:val="both"/>
      </w:pPr>
      <w:r>
        <w:rPr>
          <w:rFonts w:ascii="Garamond" w:cs="Garamond" w:eastAsia="Garamond" w:hAnsi="Garamond"/>
          <w:color w:val="2a2520"/>
          <w:sz w:val="22"/>
          <w:szCs w:val="22"/>
        </w:rPr>
        <w:t xml:space="preserve">Equal parties; neither constitutionally superior. Observing delegates attend House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pPr>
      <w:r>
        <w:rPr>
          <w:rFonts w:ascii="Courier New" w:cs="Courier New" w:eastAsia="Courier New" w:hAnsi="Courier New"/>
          <w:b/>
          <w:bCs/>
          <w:color w:val="1B2A4A"/>
          <w:sz w:val="18"/>
          <w:szCs w:val="18"/>
        </w:rPr>
        <w:t xml:space="preserve">§20.3  </w:t>
      </w:r>
      <w:r>
        <w:rPr>
          <w:rFonts w:ascii="Garamond" w:cs="Garamond" w:eastAsia="Garamond" w:hAnsi="Garamond"/>
          <w:b/>
          <w:bCs/>
          <w:color w:val="1B2A4A"/>
          <w:sz w:val="22"/>
          <w:szCs w:val="22"/>
        </w:rPr>
        <w:t xml:space="preserve">Compact Conditions and Compliance</w:t>
      </w:r>
    </w:p>
    <w:p>
      <w:pPr>
        <w:spacing w:after="120" w:before="0"/>
        <w:ind w:left="431"/>
        <w:jc w:val="both"/>
      </w:pPr>
      <w:r>
        <w:rPr>
          <w:rFonts w:ascii="Garamond" w:cs="Garamond" w:eastAsia="Garamond" w:hAnsi="Garamond"/>
          <w:color w:val="2a2520"/>
          <w:sz w:val="22"/>
          <w:szCs w:val="22"/>
        </w:rPr>
        <w:t xml:space="preserve">No compact may be entered or ratified with any entity whose governance practices include, authorise, or systematically permit torture, slavery, or the denial of habeas corpus to any person within its jurisdiction. The Judicial Inspectorate certifies compliance with this condition before parliamentary ratification of any compact; a compact negotiated with a non-compliant entity is void regardless of parliamentary ratification. The JI conducts annual compliance reviews and publishes findings to the NRS. Where the JI finds systematic violations of the Article I unamendable prohibitions, the compact is suspended pending Supreme Court review. The Court may terminate the compact on confirmed systematic violations without remediation within a period the Legislature defines by statute. Economic value of the compact relationship is not a factor in JI certification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certification finding.</w:t>
      </w:r>
    </w:p>
    <w:p>
      <w:pPr>
        <w:spacing w:after="60" w:before="200"/>
        <w:ind w:left="431"/>
      </w:pPr>
      <w:r>
        <w:rPr>
          <w:rFonts w:ascii="Courier New" w:cs="Courier New" w:eastAsia="Courier New" w:hAnsi="Courier New"/>
          <w:b/>
          <w:bCs/>
          <w:color w:val="1B2A4A"/>
          <w:sz w:val="18"/>
          <w:szCs w:val="18"/>
        </w:rPr>
        <w:t xml:space="preserve">§20.4  </w:t>
      </w:r>
      <w:r>
        <w:rPr>
          <w:rFonts w:ascii="Garamond" w:cs="Garamond" w:eastAsia="Garamond" w:hAnsi="Garamond"/>
          <w:b/>
          <w:bCs/>
          <w:color w:val="1B2A4A"/>
          <w:sz w:val="22"/>
          <w:szCs w:val="22"/>
        </w:rPr>
        <w:t xml:space="preserve">Sovereign Mobility</w:t>
      </w:r>
    </w:p>
    <w:p>
      <w:pPr>
        <w:spacing w:after="120" w:before="0"/>
        <w:ind w:left="431"/>
        <w:jc w:val="both"/>
      </w:pPr>
      <w:r>
        <w:rPr>
          <w:rFonts w:ascii="Garamond" w:cs="Garamond" w:eastAsia="Garamond" w:hAnsi="Garamond"/>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Republic receives written notice of termination,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pPr>
      <w:r>
        <w:rPr>
          <w:rFonts w:ascii="Courier New" w:cs="Courier New" w:eastAsia="Courier New" w:hAnsi="Courier New"/>
          <w:b/>
          <w:bCs/>
          <w:color w:val="1B2A4A"/>
          <w:sz w:val="18"/>
          <w:szCs w:val="18"/>
        </w:rPr>
        <w:t xml:space="preserve">§20.5  </w:t>
      </w:r>
      <w:r>
        <w:rPr>
          <w:rFonts w:ascii="Garamond" w:cs="Garamond" w:eastAsia="Garamond" w:hAnsi="Garamond"/>
          <w:b/>
          <w:bCs/>
          <w:color w:val="1B2A4A"/>
          <w:sz w:val="22"/>
          <w:szCs w:val="22"/>
        </w:rPr>
        <w:t xml:space="preserve">Reciprocal Obligations and Review</w:t>
      </w:r>
    </w:p>
    <w:p>
      <w:pPr>
        <w:spacing w:after="120" w:before="0"/>
        <w:ind w:left="431"/>
        <w:jc w:val="both"/>
      </w:pPr>
      <w:r>
        <w:rPr>
          <w:rFonts w:ascii="Garamond" w:cs="Garamond" w:eastAsia="Garamond" w:hAnsi="Garamond"/>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pPr>
      <w:r>
        <w:rPr>
          <w:rFonts w:ascii="Courier New" w:cs="Courier New" w:eastAsia="Courier New" w:hAnsi="Courier New"/>
          <w:b/>
          <w:bCs/>
          <w:color w:val="1B2A4A"/>
          <w:sz w:val="18"/>
          <w:szCs w:val="18"/>
        </w:rPr>
        <w:t xml:space="preserve">§20.6  </w:t>
      </w:r>
      <w:r>
        <w:rPr>
          <w:rFonts w:ascii="Garamond" w:cs="Garamond" w:eastAsia="Garamond" w:hAnsi="Garamond"/>
          <w:b/>
          <w:bCs/>
          <w:color w:val="1B2A4A"/>
          <w:sz w:val="22"/>
          <w:szCs w:val="22"/>
        </w:rPr>
        <w:t xml:space="preserve">Compact Ratification</w:t>
      </w:r>
    </w:p>
    <w:p>
      <w:pPr>
        <w:spacing w:after="120" w:before="0"/>
        <w:ind w:left="431"/>
        <w:jc w:val="both"/>
      </w:pPr>
      <w:r>
        <w:rPr>
          <w:rFonts w:ascii="Garamond" w:cs="Garamond" w:eastAsia="Garamond" w:hAnsi="Garamond"/>
          <w:color w:val="2a2520"/>
          <w:sz w:val="22"/>
          <w:szCs w:val="22"/>
        </w:rPr>
        <w:t xml:space="preserve">A compact with an Associated Community requires Senate ratification by 2/3 of full seated membership, consistent with the treaty ratification threshold under §3.2.e. Both executives must transmit the proposed compact to the Senate simultaneously with a joint assessment of its consistency with this Article. The JI certification under §20.3 must be published to the NRS before the Senate may hold a ratification vote. A ratified compact takes effect on the date specified in its terms and is registered to the NRS as a public record.</w:t>
      </w:r>
    </w:p>
    <w:p>
      <w:pPr>
        <w:spacing w:after="60" w:before="200"/>
        <w:ind w:left="431"/>
      </w:pPr>
      <w:r>
        <w:rPr>
          <w:rFonts w:ascii="Courier New" w:cs="Courier New" w:eastAsia="Courier New" w:hAnsi="Courier New"/>
          <w:b/>
          <w:bCs/>
          <w:color w:val="1B2A4A"/>
          <w:sz w:val="18"/>
          <w:szCs w:val="18"/>
        </w:rPr>
        <w:t xml:space="preserve">§20.7  </w:t>
      </w:r>
      <w:r>
        <w:rPr>
          <w:rFonts w:ascii="Garamond" w:cs="Garamond" w:eastAsia="Garamond" w:hAnsi="Garamond"/>
          <w:b/>
          <w:bCs/>
          <w:color w:val="1B2A4A"/>
          <w:sz w:val="22"/>
          <w:szCs w:val="22"/>
        </w:rPr>
        <w:t xml:space="preserve">Compact Continuity</w:t>
      </w:r>
    </w:p>
    <w:p>
      <w:pPr>
        <w:spacing w:after="120" w:before="0"/>
        <w:ind w:left="431"/>
        <w:jc w:val="both"/>
      </w:pPr>
      <w:r>
        <w:rPr>
          <w:rFonts w:ascii="Garamond" w:cs="Garamond" w:eastAsia="Garamond" w:hAnsi="Garamond"/>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4" w:space="4"/>
      </w:pBdr>
      <w:jc w:val="center"/>
    </w:pPr>
    <w:r>
      <w:rPr>
        <w:rFonts w:ascii="Garamond" w:cs="Garamond" w:eastAsia="Garamond" w:hAnsi="Garamond"/>
        <w:color w:val="7a7060"/>
        <w:sz w:val="16"/>
        <w:szCs w:val="16"/>
      </w:rPr>
      <w:t xml:space="preserve">thefederatedrepublic.org    </w:t>
    </w:r>
    <w:r>
      <w:rPr>
        <w:rFonts w:ascii="Garamond" w:cs="Garamond" w:eastAsia="Garamond" w:hAnsi="Garamond"/>
        <w:color w:val="7a7060"/>
        <w:sz w:val="16"/>
        <w:szCs w:val="16"/>
      </w:rPr>
      <w:pgNum/>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spacing w:after="0"/>
      <w:jc w:val="center"/>
    </w:pPr>
    <w:r>
      <w:rPr>
        <w:rFonts w:ascii="Garamond" w:cs="Garamond" w:eastAsia="Garamond" w:hAnsi="Garamond"/>
        <w:color w:val="7a7060"/>
        <w:spacing w:val="4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color w:val="2a252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240" w:before="480"/>
      <w:outlineLvl w:val="0"/>
    </w:pPr>
    <w:rPr>
      <w:rFonts w:ascii="Garamond" w:cs="Garamond" w:eastAsia="Garamond" w:hAnsi="Garamond"/>
      <w:b/>
      <w:bCs/>
      <w:color w:val="1B2A4A"/>
      <w:sz w:val="34"/>
      <w:szCs w:val="3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fbaa660f7a978b481e7621fd8e954716d925fa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2026-05-19T01:08:46.269Z</dcterms:created>
  <dcterms:modified xsi:type="dcterms:W3CDTF">2026-05-19T01:08:46.282Z</dcterms:modified>
</cp:coreProperties>
</file>

<file path=docProps/custom.xml><?xml version="1.0" encoding="utf-8"?>
<Properties xmlns="http://schemas.openxmlformats.org/officeDocument/2006/custom-properties" xmlns:vt="http://schemas.openxmlformats.org/officeDocument/2006/docPropsVTypes"/>
</file>