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PREAMBLE</w:t>
      </w:r>
    </w:p>
    <w:p>
      <w:pPr>
        <w:spacing w:after="60" w:before="60"/>
      </w:pPr>
      <w:r>
        <w:rPr>
          <w:rFonts w:ascii="Arial" w:cs="Arial" w:eastAsia="Arial" w:hAnsi="Arial"/>
          <w:color w:val="000000"/>
          <w:sz w:val="22"/>
          <w:szCs w:val="22"/>
        </w:rPr>
        <w:t>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 — THE INDIVIDUAL SOVEREIGNTY FLOOR</w:t>
      </w:r>
    </w:p>
    <w:p>
      <w:pPr>
        <w:spacing w:after="60" w:before="60"/>
      </w:pPr>
      <w:r>
        <w:rPr>
          <w:rFonts w:ascii="Arial" w:cs="Arial" w:eastAsia="Arial" w:hAnsi="Arial"/>
          <w:color w:val="000000"/>
          <w:sz w:val="22"/>
          <w:szCs w:val="22"/>
        </w:rPr>
        <w:t>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A — Personal Integrity (§§ 1.0 – 1.3)  —</w:t>
      </w:r>
    </w:p>
    <w:p>
      <w:pPr>
        <w:pStyle w:val="Heading2"/>
      </w:pPr>
      <w:r>
        <w:rPr>
          <w:b/>
        </w:rPr>
        <w:t>Section 1.0 — Right of Access to Courts</w:t>
      </w:r>
    </w:p>
    <w:p>
      <w:pPr>
        <w:spacing w:after="60" w:before="60"/>
      </w:pPr>
      <w:r>
        <w:rPr>
          <w:rFonts w:ascii="Arial" w:cs="Arial" w:eastAsia="Arial" w:hAnsi="Arial"/>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Section 1.1 — Right to Life</w:t>
      </w:r>
    </w:p>
    <w:p>
      <w:pPr>
        <w:spacing w:after="60" w:before="60"/>
      </w:pPr>
      <w:r>
        <w:rPr>
          <w:rFonts w:ascii="Arial" w:cs="Arial" w:eastAsia="Arial" w:hAnsi="Arial"/>
          <w:color w:val="000000"/>
          <w:sz w:val="22"/>
          <w:szCs w:val="22"/>
        </w:rPr>
        <w:t>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Section 1.3 — Prohibition of Slavery and Forced Labor</w:t>
      </w:r>
    </w:p>
    <w:p>
      <w:pPr>
        <w:spacing w:after="60" w:before="60"/>
      </w:pPr>
      <w:r>
        <w:rPr>
          <w:rFonts w:ascii="Arial" w:cs="Arial" w:eastAsia="Arial" w:hAnsi="Arial"/>
          <w:color w:val="000000"/>
          <w:sz w:val="22"/>
          <w:szCs w:val="22"/>
        </w:rPr>
        <w:t>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B — Civil and Political Liberties (§§ 1.4 – 1.7)  —</w:t>
      </w:r>
    </w:p>
    <w:p>
      <w:pPr>
        <w:pStyle w:val="Heading2"/>
        <w:spacing w:after="80" w:before="200"/>
      </w:pPr>
      <w:r>
        <w:rPr>
          <w:rFonts w:ascii="Arial" w:cs="Arial" w:eastAsia="Arial" w:hAnsi="Arial"/>
          <w:b/>
          <w:bCs/>
          <w:color w:val="4A6FA5"/>
          <w:sz w:val="24"/>
          <w:szCs w:val="24"/>
        </w:rPr>
        <w:t>Section 1.4 — Freedom of Expression</w:t>
      </w:r>
    </w:p>
    <w:p>
      <w:pPr>
        <w:spacing w:after="60" w:before="60"/>
      </w:pPr>
      <w:r>
        <w:rPr>
          <w:rFonts w:ascii="Arial" w:cs="Arial" w:eastAsia="Arial" w:hAnsi="Arial"/>
          <w:color w:val="000000"/>
          <w:sz w:val="22"/>
          <w:szCs w:val="22"/>
        </w:rPr>
        <w:t>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Section 1.5 — Freedom of Thought, Conscience, and Religion</w:t>
      </w:r>
    </w:p>
    <w:p>
      <w:pPr>
        <w:spacing w:after="60" w:before="60"/>
      </w:pPr>
      <w:r>
        <w:rPr>
          <w:rFonts w:ascii="Arial" w:cs="Arial" w:eastAsia="Arial" w:hAnsi="Arial"/>
          <w:color w:val="000000"/>
          <w:sz w:val="22"/>
          <w:szCs w:val="22"/>
        </w:rPr>
        <w:t>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1.6 — Freedom of Association</w:t>
      </w:r>
    </w:p>
    <w:p>
      <w:pPr>
        <w:spacing w:after="60" w:before="60"/>
      </w:pPr>
      <w:r>
        <w:rPr>
          <w:rFonts w:ascii="Arial" w:cs="Arial" w:eastAsia="Arial" w:hAnsi="Arial"/>
          <w:color w:val="000000"/>
          <w:sz w:val="22"/>
          <w:szCs w:val="22"/>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Section 1.7 — Right to Petition</w:t>
      </w:r>
    </w:p>
    <w:p>
      <w:pPr>
        <w:spacing w:after="60" w:before="60"/>
      </w:pPr>
      <w:r>
        <w:rPr>
          <w:rFonts w:ascii="Arial" w:cs="Arial" w:eastAsia="Arial" w:hAnsi="Arial"/>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C — Equality (§ 1.8)  —</w:t>
      </w:r>
    </w:p>
    <w:p>
      <w:pPr>
        <w:pStyle w:val="Heading2"/>
        <w:spacing w:after="80" w:before="200"/>
      </w:pPr>
      <w:r>
        <w:rPr>
          <w:rFonts w:ascii="Arial" w:cs="Arial" w:eastAsia="Arial" w:hAnsi="Arial"/>
          <w:b/>
          <w:bCs/>
          <w:color w:val="4A6FA5"/>
          <w:sz w:val="24"/>
          <w:szCs w:val="24"/>
        </w:rPr>
        <w:t>Section 1.8 — Equality Before the Law</w:t>
      </w:r>
    </w:p>
    <w:p>
      <w:pPr>
        <w:spacing w:after="60" w:before="60"/>
      </w:pPr>
      <w:r>
        <w:t>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D — Privacy, Property and Economic Rights (§§ 1.9 – 1.12)  —</w:t>
      </w:r>
    </w:p>
    <w:p>
      <w:pPr>
        <w:pStyle w:val="Heading2"/>
        <w:spacing w:after="80" w:before="200"/>
      </w:pPr>
      <w:r>
        <w:rPr>
          <w:rFonts w:ascii="Arial" w:cs="Arial" w:eastAsia="Arial" w:hAnsi="Arial"/>
          <w:b/>
          <w:bCs/>
          <w:color w:val="4A6FA5"/>
          <w:sz w:val="24"/>
          <w:szCs w:val="24"/>
        </w:rPr>
        <w:t>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Section 1.12 — Freedom of Movement and Labor</w:t>
      </w:r>
    </w:p>
    <w:p>
      <w:pPr>
        <w:spacing w:after="60" w:before="60"/>
      </w:pPr>
      <w:r>
        <w:rPr>
          <w:rFonts w:ascii="Arial" w:cs="Arial" w:eastAsia="Arial" w:hAnsi="Arial"/>
          <w:color w:val="000000"/>
          <w:sz w:val="22"/>
          <w:szCs w:val="22"/>
        </w:rPr>
        <w:t>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E — Criminal Justice Rights (§§ 1.13 – 1.18)  —</w:t>
      </w:r>
    </w:p>
    <w:p>
      <w:pPr>
        <w:pStyle w:val="Heading2"/>
        <w:spacing w:after="80" w:before="200"/>
      </w:pPr>
      <w:r>
        <w:rPr>
          <w:rFonts w:ascii="Arial" w:cs="Arial" w:eastAsia="Arial" w:hAnsi="Arial"/>
          <w:b/>
          <w:bCs/>
          <w:color w:val="4A6FA5"/>
          <w:sz w:val="24"/>
          <w:szCs w:val="24"/>
        </w:rPr>
        <w:t>Section 1.13 — Right Against Arbitrary Detention</w:t>
      </w:r>
    </w:p>
    <w:p>
      <w:pPr>
        <w:spacing w:after="60" w:before="60"/>
      </w:pPr>
      <w:r>
        <w:rPr>
          <w:rFonts w:ascii="Arial" w:cs="Arial" w:eastAsia="Arial" w:hAnsi="Arial"/>
          <w:color w:val="000000"/>
          <w:sz w:val="22"/>
          <w:szCs w:val="22"/>
        </w:rPr>
        <w:t>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Section 1.16 — Right to Silence and Protection from Self-Incrimination</w:t>
      </w:r>
    </w:p>
    <w:p>
      <w:pPr>
        <w:spacing w:after="60" w:before="60"/>
      </w:pPr>
      <w:r>
        <w:rPr>
          <w:rFonts w:ascii="Arial" w:cs="Arial" w:eastAsia="Arial" w:hAnsi="Arial"/>
          <w:color w:val="000000"/>
          <w:sz w:val="22"/>
          <w:szCs w:val="22"/>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Section 1.17 — Right to a Public Trial</w:t>
      </w:r>
    </w:p>
    <w:p>
      <w:pPr>
        <w:spacing w:after="60" w:before="60"/>
      </w:pPr>
      <w:r>
        <w:rPr>
          <w:rFonts w:ascii="Arial" w:cs="Arial" w:eastAsia="Arial" w:hAnsi="Arial"/>
          <w:color w:val="000000"/>
          <w:sz w:val="22"/>
          <w:szCs w:val="22"/>
        </w:rPr>
        <w:t>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F — Social and Community Rights (§§ 1.20 – 1.24)  —</w:t>
      </w:r>
    </w:p>
    <w:p>
      <w:pPr/>
      <w:r>
        <w:rPr>
          <w:b/>
        </w:rPr>
        <w:t>—  Part F (preface) — Democratic and Participation Rights (§ 1.19)  —</w:t>
      </w:r>
    </w:p>
    <w:p>
      <w:pPr>
        <w:pStyle w:val="Heading2"/>
        <w:spacing w:after="80" w:before="200"/>
      </w:pPr>
      <w:r>
        <w:rPr>
          <w:rFonts w:ascii="Arial" w:cs="Arial" w:eastAsia="Arial" w:hAnsi="Arial"/>
          <w:b/>
          <w:bCs/>
          <w:color w:val="4A6FA5"/>
          <w:sz w:val="24"/>
          <w:szCs w:val="24"/>
        </w:rPr>
        <w:t>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Section 1.20 — Right to Marry and Found a Family</w:t>
      </w:r>
    </w:p>
    <w:p>
      <w:pPr>
        <w:spacing w:after="60" w:before="60"/>
      </w:pPr>
      <w:r>
        <w:rPr>
          <w:rFonts w:ascii="Arial" w:cs="Arial" w:eastAsia="Arial" w:hAnsi="Arial"/>
          <w:color w:val="000000"/>
          <w:sz w:val="22"/>
          <w:szCs w:val="22"/>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1.21 — Rights of Children</w:t>
      </w:r>
    </w:p>
    <w:p>
      <w:pPr>
        <w:spacing w:after="60" w:before="60"/>
      </w:pPr>
      <w:r>
        <w:t>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Heading2"/>
      </w:pPr>
      <w:r>
        <w:t>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Section 1.27 — Non-Refoulement</w:t>
      </w:r>
    </w:p>
    <w:p>
      <w:r>
        <w:rPr>
          <w:rFonts w:ascii="Arial" w:hAnsi="Arial"/>
          <w:b/>
          <w:sz w:val="22"/>
        </w:rPr>
        <w:t xml:space="preserve">1.27 Non-Refoulement: </w:t>
      </w:r>
      <w:r>
        <w:rPr>
          <w:rFonts w:ascii="Arial" w:hAnsi="Arial"/>
          <w:sz w:val="22"/>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 — THE DUAL EXECUTIVE</w:t>
      </w:r>
    </w:p>
    <w:p>
      <w:pPr>
        <w:spacing w:after="0" w:before="120"/>
      </w:pPr>
      <w:r>
        <w:t xml:space="preserve"/>
      </w:r>
    </w:p>
    <w:p>
      <w:pPr>
        <w:spacing w:after="60" w:before="60"/>
      </w:pPr>
      <w:r>
        <w:rPr>
          <w:rFonts w:ascii="Arial" w:cs="Arial" w:eastAsia="Arial" w:hAnsi="Arial"/>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Legislative Declaration of Defense: </w:t>
      </w:r>
      <w:r>
        <w:rPr>
          <w:rFonts w:ascii="Arial" w:cs="Arial" w:eastAsia="Arial" w:hAnsi="Arial"/>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60" w:before="60"/>
        <w:ind w:left="720" w:hanging="360"/>
      </w:pPr>
      <w:r>
        <w:rPr>
          <w:b/>
        </w:rPr>
        <w:t xml:space="preserve">2.1.h Dual Executive Conflict Resolution During Active Operations: </w:t>
      </w:r>
      <w: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0" w:before="120"/>
      </w:pPr>
      <w:r>
        <w:t xml:space="preserve"/>
      </w:r>
    </w:p>
    <w:p>
      <w:pPr>
        <w:pStyle w:val="Heading2"/>
        <w:spacing w:after="80" w:before="200"/>
      </w:pPr>
      <w:r>
        <w:rPr>
          <w:rFonts w:ascii="Arial" w:cs="Arial" w:eastAsia="Arial" w:hAnsi="Arial"/>
          <w:b/>
          <w:bCs/>
          <w:color w:val="4A6FA5"/>
          <w:sz w:val="24"/>
          <w:szCs w:val="24"/>
        </w:rPr>
        <w:t>Section 2.2 — The Prime Minister</w:t>
      </w:r>
    </w:p>
    <w:p>
      <w:pPr>
        <w:spacing w:after="60" w:before="60"/>
      </w:pPr>
      <w:r>
        <w:rPr>
          <w:rFonts w:ascii="Arial" w:cs="Arial" w:eastAsia="Arial" w:hAnsi="Arial"/>
          <w:color w:val="000000"/>
          <w:sz w:val="22"/>
          <w:szCs w:val="22"/>
        </w:rPr>
        <w:t>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60" w:before="60"/>
        <w:ind w:left="720" w:hanging="360"/>
      </w:pPr>
      <w:r>
        <w:rPr>
          <w:b/>
        </w:rPr>
        <w:t xml:space="preserve">2.2.g Ministerial Appointments: </w:t>
      </w:r>
      <w: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0" w:before="120"/>
      </w:pPr>
      <w:r>
        <w:t xml:space="preserve"/>
      </w:r>
    </w:p>
    <w:p>
      <w:pPr>
        <w:pStyle w:val="Heading2"/>
        <w:spacing w:after="80" w:before="200"/>
      </w:pPr>
      <w:r>
        <w:rPr>
          <w:rFonts w:ascii="Arial" w:cs="Arial" w:eastAsia="Arial" w:hAnsi="Arial"/>
          <w:b/>
          <w:bCs/>
          <w:color w:val="4A6FA5"/>
          <w:sz w:val="24"/>
          <w:szCs w:val="24"/>
        </w:rPr>
        <w:t>Section 2.3 — PM Selection and Removal by the House</w:t>
      </w:r>
    </w:p>
    <w:p>
      <w:pPr>
        <w:spacing w:after="60" w:before="60"/>
      </w:pPr>
      <w:r>
        <w:rPr>
          <w:rFonts w:ascii="Arial" w:cs="Arial" w:eastAsia="Arial" w:hAnsi="Arial"/>
          <w:color w:val="000000"/>
          <w:sz w:val="22"/>
          <w:szCs w:val="22"/>
        </w:rPr>
        <w:t>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The House selects the Prime Minister by absolute majority — meaning a majority of the full seated membership, not merely those present or voting; this definition applies throughout this Article.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Where a second consecutive dissolution occurs — a newly elected House also failing to seat a PM within the statutory window — the Legislature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Section 2.4 — PM Legislative Objection</w:t>
      </w:r>
    </w:p>
    <w:p>
      <w:pPr>
        <w:spacing w:after="60" w:before="60"/>
      </w:pPr>
      <w:r>
        <w:rPr>
          <w:rFonts w:ascii="Arial" w:cs="Arial" w:eastAsia="Arial" w:hAnsi="Arial"/>
          <w:color w:val="000000"/>
          <w:sz w:val="22"/>
          <w:szCs w:val="22"/>
        </w:rPr>
        <w:t>The Prime Minister holds two objection powers over enacted legislation. Both are suspensive — the Legislature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The suspensive veto provides a deliberation interval and forces the Legislature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Section 2.5 — The Legislative Review Period</w:t>
      </w:r>
    </w:p>
    <w:p>
      <w:pPr>
        <w:spacing w:after="60" w:before="60"/>
      </w:pPr>
      <w:r>
        <w:rPr>
          <w:rFonts w:ascii="Arial" w:cs="Arial" w:eastAsia="Arial" w:hAnsi="Arial"/>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Legislative Continuity: </w:t>
      </w:r>
      <w:r>
        <w:rPr>
          <w:rFonts w:ascii="Arial" w:cs="Arial" w:eastAsia="Arial" w:hAnsi="Arial"/>
          <w:color w:val="000000"/>
          <w:sz w:val="22"/>
          <w:szCs w:val="22"/>
        </w:rPr>
        <w:t>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Section 2.7 — Constitutional Violations and Automatic Consequences</w:t>
      </w:r>
    </w:p>
    <w:p>
      <w:pPr>
        <w:spacing w:after="60" w:before="60"/>
      </w:pPr>
      <w:r>
        <w:rPr>
          <w:rFonts w:ascii="Arial" w:cs="Arial" w:eastAsia="Arial" w:hAnsi="Arial"/>
          <w:color w:val="000000"/>
          <w:sz w:val="22"/>
          <w:szCs w:val="22"/>
        </w:rPr>
        <w:t>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legislative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Section 2.8 — Emergency Governance Protocol</w:t>
      </w:r>
    </w:p>
    <w:p>
      <w:pPr>
        <w:spacing w:after="60" w:before="60"/>
      </w:pPr>
      <w:r>
        <w:rPr>
          <w:rFonts w:ascii="Arial" w:cs="Arial" w:eastAsia="Arial" w:hAnsi="Arial"/>
          <w:color w:val="000000"/>
          <w:sz w:val="22"/>
          <w:szCs w:val="22"/>
        </w:rPr>
        <w:t>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Expedited Activation — Catastrophic Attack: 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Style w:val="Heading2"/>
        <w:spacing w:after="80" w:before="200"/>
      </w:pPr>
      <w:r>
        <w:rPr>
          <w:rFonts w:ascii="Arial" w:cs="Arial" w:eastAsia="Arial" w:hAnsi="Arial"/>
          <w:b/>
          <w:bCs/>
          <w:color w:val="4A6FA5"/>
          <w:sz w:val="24"/>
          <w:szCs w:val="24"/>
        </w:rPr>
        <w:t>Section 2.9 — Clemency Limits and Legislative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Legislative Amnesty: </w:t>
      </w:r>
      <w:r>
        <w:rPr>
          <w:rFonts w:ascii="Arial" w:cs="Arial" w:eastAsia="Arial" w:hAnsi="Arial"/>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the Legislature and Popular Vote</w:t>
      </w:r>
    </w:p>
    <w:p>
      <w:pPr>
        <w:spacing w:after="60" w:before="60"/>
      </w:pPr>
      <w:r>
        <w:t>The President may be removed through two political tracks independent of the §2.7 Rule Violation accountability process.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pPr>
      <w:r>
        <w:rPr>
          <w:b/>
        </w:rPr>
        <w:t xml:space="preserve">2.10.a Path 1 — Legislative Removal: </w:t>
      </w:r>
      <w:r>
        <w:t>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pPr>
      <w:r>
        <w:rPr>
          <w:b/>
        </w:rPr>
        <w:t xml:space="preserve">2.10.b Path 2 — Senate Referral to Popular Recall: </w:t>
      </w:r>
      <w: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the presidential succession role under §2.6.a from the date the Senate votes to refer until the referendum result is certified. If the referendum fails, the President resumes full authority immediately upon certification.</w:t>
      </w:r>
    </w:p>
    <w:p>
      <w:pPr>
        <w:spacing w:after="60" w:before="60"/>
      </w:pPr>
      <w:r>
        <w:rPr>
          <w:b/>
        </w:rPr>
        <w:t xml:space="preserve">2.10.c One Referral Per Term: </w:t>
      </w:r>
      <w:r>
        <w:t>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III — THE LEGISLATURE</w:t>
      </w:r>
    </w:p>
    <w:p>
      <w:pPr>
        <w:spacing w:after="0" w:before="120"/>
      </w:pPr>
      <w:r>
        <w:t xml:space="preserve"/>
      </w:r>
    </w:p>
    <w:p>
      <w:pPr>
        <w:pStyle w:val="Heading2"/>
        <w:spacing w:after="80" w:before="200"/>
      </w:pPr>
      <w:r>
        <w:rPr>
          <w:rFonts w:ascii="Arial" w:cs="Arial" w:eastAsia="Arial" w:hAnsi="Arial"/>
          <w:b/>
          <w:bCs/>
          <w:color w:val="4A6FA5"/>
          <w:sz w:val="24"/>
          <w:szCs w:val="24"/>
        </w:rPr>
        <w:t>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The House must publish every bill in full on the National Record System for a minimum period the Legislature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Section 3.2 — The Senate</w:t>
      </w:r>
    </w:p>
    <w:p>
      <w:pPr>
        <w:spacing w:after="60" w:before="60"/>
      </w:pPr>
      <w:r>
        <w:rPr>
          <w:rFonts w:ascii="Arial" w:cs="Arial" w:eastAsia="Arial" w:hAnsi="Arial"/>
          <w:color w:val="000000"/>
          <w:sz w:val="22"/>
          <w:szCs w:val="22"/>
        </w:rPr>
        <w:t>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Section 3.3 — The Life Cycle of a Law</w:t>
      </w:r>
    </w:p>
    <w:p>
      <w:pPr>
        <w:spacing w:after="60" w:before="60"/>
        <w:ind w:left="720" w:hanging="360"/>
      </w:pPr>
      <w:r>
        <w:rPr>
          <w:rFonts w:ascii="Arial" w:cs="Arial" w:eastAsia="Arial" w:hAnsi="Arial"/>
          <w:b/>
          <w:bCs/>
          <w:color w:val="4A6FA5"/>
          <w:sz w:val="22"/>
          <w:szCs w:val="22"/>
        </w:rPr>
        <w:t xml:space="preserve">3.3.a Legislative Mandate Enforcement: </w:t>
      </w:r>
      <w:r>
        <w:rPr>
          <w:rFonts w:ascii="Arial" w:cs="Arial" w:eastAsia="Arial" w:hAnsi="Arial"/>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Section 3.4 — Electoral Districts</w:t>
      </w:r>
    </w:p>
    <w:p>
      <w:pPr>
        <w:spacing w:after="60" w:before="60"/>
      </w:pPr>
      <w:r>
        <w:rPr>
          <w:rFonts w:ascii="Arial" w:cs="Arial" w:eastAsia="Arial" w:hAnsi="Arial"/>
          <w:color w:val="000000"/>
          <w:sz w:val="22"/>
          <w:szCs w:val="22"/>
        </w:rPr>
        <w:t>Districts are redrawn on the census cycle the Legislature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A valid district map remains in effect until the next census cycle. the Legislature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Section 3.5 — Impeachment Initiation (House-Originated)</w:t>
      </w:r>
    </w:p>
    <w:p>
      <w:pPr>
        <w:spacing w:after="60" w:before="60"/>
      </w:pPr>
      <w:r>
        <w:t>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Section 3.6 — Legislative Expulsion by Peers</w:t>
      </w:r>
    </w:p>
    <w:p>
      <w:pPr>
        <w:spacing w:after="60" w:before="60"/>
      </w:pPr>
      <w:r>
        <w:rPr>
          <w:rFonts w:ascii="Arial" w:cs="Arial" w:eastAsia="Arial" w:hAnsi="Arial"/>
          <w:color w:val="000000"/>
          <w:sz w:val="22"/>
          <w:szCs w:val="22"/>
        </w:rPr>
        <w:t>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Section 4.1 — Court Structure</w:t>
      </w:r>
    </w:p>
    <w:p>
      <w:pPr>
        <w:spacing w:after="60" w:before="60"/>
      </w:pPr>
      <w:r>
        <w:rPr>
          <w:rFonts w:ascii="Arial" w:cs="Arial" w:eastAsia="Arial" w:hAnsi="Arial"/>
          <w:color w:val="000000"/>
          <w:sz w:val="22"/>
          <w:szCs w:val="22"/>
        </w:rPr>
        <w:t>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Only the House may create or abolish inferior courts by statute.</w:t>
      </w:r>
    </w:p>
    <w:p>
      <w:pPr>
        <w:spacing w:after="60" w:before="60"/>
        <w:ind w:left="720" w:hanging="360"/>
      </w:pPr>
      <w:r>
        <w:rPr>
          <w:b/>
        </w:rPr>
        <w:t xml:space="preserve">4.1.b Appointment of Inferior Court Judges: </w:t>
      </w:r>
      <w:r>
        <w:t>The PM nominates lower court judges within 90 days of any vacancy; the House confirms by a supermajority the Legislature defines by statute within a Legislature-defined period; the Supreme Court commissions all confirmed judges. If the House fails to vote on any nomination within the Legislature-defined confirmation period, the nominee is Deemed Confirmed and the Supreme Court commissions them immediately. If the PM fails to nominate within 90 days of a vacancy, the Supreme Court nominates directly from the Qualified Jurist Registry; that nomination proceeds to House confirmation on the same supermajority standard and Deemed Confirmed timeline.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 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ind w:left="720" w:hanging="360"/>
      </w:pPr>
      <w:r>
        <w:rPr>
          <w:b/>
        </w:rPr>
        <w:t xml:space="preserve">4.1.c Removal of Inferior Court Judges — Three Tracks: </w:t>
      </w:r>
      <w:r>
        <w:t>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4.2 — The Supreme Court</w:t>
      </w:r>
    </w:p>
    <w:p>
      <w:pPr>
        <w:spacing w:after="80" w:before="200"/>
      </w:pPr>
      <w:r>
        <w:t>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ind w:left="720" w:hanging="360"/>
      </w:pPr>
      <w:r>
        <w:rPr>
          <w:rFonts w:ascii="Arial" w:cs="Arial" w:eastAsia="Arial" w:hAnsi="Arial"/>
          <w:b/>
          <w:bCs/>
          <w:color w:val="4A6FA5"/>
          <w:sz w:val="22"/>
          <w:szCs w:val="22"/>
        </w:rPr>
        <w:t xml:space="preserve">4.2.e Emergency Panel for Tier 1 Scope Challenges: </w:t>
      </w:r>
      <w:r>
        <w:rPr>
          <w:rFonts w:ascii="Arial" w:cs="Arial" w:eastAsia="Arial" w:hAnsi="Arial"/>
          <w:color w:val="000000"/>
          <w:sz w:val="22"/>
          <w:szCs w:val="22"/>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ind w:left="720" w:hanging="360"/>
      </w:pPr>
      <w:r>
        <w:rPr>
          <w:rFonts w:ascii="Arial" w:cs="Arial" w:eastAsia="Arial" w:hAnsi="Arial"/>
          <w:b/>
          <w:bCs/>
          <w:color w:val="4A6FA5"/>
          <w:sz w:val="22"/>
          <w:szCs w:val="22"/>
        </w:rPr>
        <w:t xml:space="preserve">4.2.f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4.2.g Judicial Recusal: </w:t>
      </w:r>
      <w:r>
        <w:rPr>
          <w:rFonts w:ascii="Arial" w:cs="Arial" w:eastAsia="Arial" w:hAnsi="Arial"/>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Section 4.4 — Interstate Recognition of Judgments and Public Acts</w:t>
      </w:r>
    </w:p>
    <w:p>
      <w:pPr>
        <w:spacing w:after="60" w:before="60"/>
      </w:pPr>
      <w:r>
        <w:rPr>
          <w:rFonts w:ascii="Arial" w:cs="Arial" w:eastAsia="Arial" w:hAnsi="Arial"/>
          <w:color w:val="000000"/>
          <w:sz w:val="22"/>
          <w:szCs w:val="22"/>
        </w:rPr>
        <w:t>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Legislative Implementation Mandates: </w:t>
      </w:r>
      <w:r>
        <w:rPr>
          <w:rFonts w:ascii="Arial" w:cs="Arial" w:eastAsia="Arial" w:hAnsi="Arial"/>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 — CITIZENSHIP, RESIDENCY, AND NATIONAL IDENTITY</w:t>
      </w:r>
    </w:p>
    <w:p>
      <w:pPr>
        <w:spacing w:after="60" w:before="60"/>
      </w:pPr>
      <w:r>
        <w:rPr>
          <w:rFonts w:ascii="Arial" w:cs="Arial" w:eastAsia="Arial" w:hAnsi="Arial"/>
          <w:color w:val="000000"/>
          <w:sz w:val="22"/>
          <w:szCs w:val="22"/>
        </w:rPr>
        <w:t>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Section 5.1 — Citizens</w:t>
      </w:r>
    </w:p>
    <w:p>
      <w:pPr>
        <w:spacing w:after="60" w:before="60"/>
      </w:pPr>
      <w:r>
        <w:rPr>
          <w:rFonts w:ascii="Arial" w:cs="Arial" w:eastAsia="Arial" w:hAnsi="Arial"/>
          <w:color w:val="000000"/>
          <w:sz w:val="22"/>
          <w:szCs w:val="22"/>
        </w:rPr>
        <w:t>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A child is automatically a citizen if at least one parent is a Citizen or Legal Resident at birth. This status is permanent and irrevocable.</w:t>
      </w:r>
    </w:p>
    <w:p>
      <w:pPr>
        <w:spacing w:after="60" w:before="60"/>
        <w:ind w:left="720" w:hanging="360"/>
      </w:pPr>
      <w:r>
        <w:t>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Section 5.4 — The Constitutional Logic Test</w:t>
      </w:r>
    </w:p>
    <w:p>
      <w:pPr>
        <w:spacing w:after="60" w:before="60"/>
      </w:pPr>
      <w:r>
        <w:rPr>
          <w:rFonts w:ascii="Arial" w:cs="Arial" w:eastAsia="Arial" w:hAnsi="Arial"/>
          <w:color w:val="000000"/>
          <w:sz w:val="22"/>
          <w:szCs w:val="22"/>
        </w:rPr>
        <w:t>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 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CLT Administrator requires a 2/3 vote of both chambers simultaneously and a documented finding of dereliction by the Executive Inspectorate published to the National Record System before the legislative vote may proceed. 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 — IMMIGRATION AND RESIDENCY</w:t>
      </w:r>
    </w:p>
    <w:p>
      <w:pPr>
        <w:spacing w:after="60" w:before="60"/>
      </w:pPr>
      <w:r>
        <w:rPr>
          <w:rFonts w:ascii="Arial" w:cs="Arial" w:eastAsia="Arial" w:hAnsi="Arial"/>
          <w:color w:val="000000"/>
          <w:sz w:val="22"/>
          <w:szCs w:val="22"/>
        </w:rPr>
        <w:t>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Section 6.1 — The Dual-Gate System</w:t>
      </w:r>
    </w:p>
    <w:p>
      <w:pPr>
        <w:spacing w:after="60" w:before="60"/>
      </w:pPr>
      <w:r>
        <w:rPr>
          <w:rFonts w:ascii="Arial" w:cs="Arial" w:eastAsia="Arial" w:hAnsi="Arial"/>
          <w:color w:val="000000"/>
          <w:sz w:val="22"/>
          <w:szCs w:val="22"/>
        </w:rPr>
        <w:t>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the Legislature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Section 6.3 — Application Appeals</w:t>
      </w:r>
    </w:p>
    <w:p>
      <w:pPr>
        <w:spacing w:after="60" w:before="60"/>
      </w:pPr>
      <w:r>
        <w:rPr>
          <w:rFonts w:ascii="Arial" w:cs="Arial" w:eastAsia="Arial" w:hAnsi="Arial"/>
          <w:color w:val="000000"/>
          <w:sz w:val="22"/>
          <w:szCs w:val="22"/>
        </w:rPr>
        <w:t>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r>
        <w:rPr>
          <w:rFonts w:ascii="Arial" w:hAnsi="Arial"/>
          <w:b/>
          <w:sz w:val="22"/>
        </w:rPr>
        <w:t xml:space="preserve">6.4.d Non-Penalization for Irregular Entry: </w:t>
      </w:r>
      <w:r>
        <w:rPr>
          <w:rFonts w:ascii="Arial" w:hAnsi="Arial"/>
          <w:sz w:val="22"/>
        </w:rPr>
        <w:t>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Section 7.1 — Standard Elections (Ranked Choice)</w:t>
      </w:r>
    </w:p>
    <w:p>
      <w:pPr>
        <w:spacing w:after="60" w:before="60"/>
      </w:pPr>
      <w:r>
        <w:rPr>
          <w:rFonts w:ascii="Arial" w:cs="Arial" w:eastAsia="Arial" w:hAnsi="Arial"/>
          <w:color w:val="000000"/>
          <w:sz w:val="22"/>
          <w:szCs w:val="22"/>
        </w:rPr>
        <w:t>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Section 7.2 — Presidential Election: National Vote and Regional Diversity</w:t>
      </w:r>
    </w:p>
    <w:p>
      <w:pPr>
        <w:spacing w:after="60" w:before="60"/>
      </w:pPr>
      <w:r>
        <w:rPr>
          <w:rFonts w:ascii="Arial" w:cs="Arial" w:eastAsia="Arial" w:hAnsi="Arial"/>
          <w:color w:val="000000"/>
          <w:sz w:val="22"/>
          <w:szCs w:val="22"/>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7.2.e Election Certification: 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VIII — THE INSPECTORATES</w:t>
      </w:r>
    </w:p>
    <w:p>
      <w:pPr>
        <w:spacing w:after="60" w:before="60"/>
      </w:pPr>
      <w:r>
        <w:rPr>
          <w:rFonts w:ascii="Arial" w:cs="Arial" w:eastAsia="Arial" w:hAnsi="Arial"/>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Section 8.2 — Selection and Independence</w:t>
      </w:r>
    </w:p>
    <w:p>
      <w:pPr>
        <w:spacing w:after="60" w:before="60"/>
      </w:pPr>
      <w:r>
        <w:rPr>
          <w:rFonts w:ascii="Arial" w:cs="Arial" w:eastAsia="Arial" w:hAnsi="Arial"/>
          <w:color w:val="000000"/>
          <w:sz w:val="22"/>
          <w:szCs w:val="22"/>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Section 8.4 — The Judicial IG: Lottery Selection</w:t>
      </w:r>
    </w:p>
    <w:p>
      <w:pPr>
        <w:spacing w:after="60" w:before="60"/>
      </w:pPr>
      <w:r>
        <w:rPr>
          <w:rFonts w:ascii="Arial" w:cs="Arial" w:eastAsia="Arial" w:hAnsi="Arial"/>
          <w:color w:val="000000"/>
          <w:sz w:val="22"/>
          <w:szCs w:val="22"/>
        </w:rPr>
        <w:t>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0" w:before="120"/>
      </w:pPr>
      <w:r>
        <w:t xml:space="preserve"/>
      </w:r>
    </w:p>
    <w:p>
      <w:pPr>
        <w:pStyle w:val="Heading2"/>
        <w:spacing w:after="80" w:before="200"/>
      </w:pPr>
      <w:r>
        <w:rPr>
          <w:rFonts w:ascii="Arial" w:cs="Arial" w:eastAsia="Arial" w:hAnsi="Arial"/>
          <w:b/>
          <w:bCs/>
          <w:color w:val="4A6FA5"/>
          <w:sz w:val="24"/>
          <w:szCs w:val="24"/>
        </w:rPr>
        <w:t>Section 8.5 — IG Removal: Two-Track System</w:t>
      </w:r>
    </w:p>
    <w:p>
      <w:pPr>
        <w:spacing w:after="60" w:before="60"/>
      </w:pPr>
      <w:r>
        <w:rPr>
          <w:rFonts w:ascii="Arial" w:cs="Arial" w:eastAsia="Arial" w:hAnsi="Arial"/>
          <w:color w:val="000000"/>
          <w:sz w:val="22"/>
          <w:szCs w:val="22"/>
        </w:rPr>
        <w:t>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Rule Violation under §2.7 for those members. Motive is not justiciable where the constitutional process is complete. This protection does not extend to false statements in the stated grounds, fabrication of evidence presented to the Panel, or coercion of other members' votes.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Section 8.6 — The Information-Only Mandate</w:t>
      </w:r>
    </w:p>
    <w:p>
      <w:pPr>
        <w:spacing w:after="60" w:before="60"/>
      </w:pPr>
      <w:r>
        <w:rPr>
          <w:rFonts w:ascii="Arial" w:cs="Arial" w:eastAsia="Arial" w:hAnsi="Arial"/>
          <w:color w:val="000000"/>
          <w:sz w:val="22"/>
          <w:szCs w:val="22"/>
        </w:rPr>
        <w:t>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ind w:left="720" w:hanging="360"/>
      </w:pPr>
      <w:r>
        <w:rPr>
          <w:b/>
        </w:rPr>
        <w:t xml:space="preserve">8.6.g Citizen Discrepancy Petition: </w:t>
      </w:r>
      <w:r>
        <w:t>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spacing w:after="0" w:before="120"/>
      </w:pPr>
      <w:r>
        <w:t xml:space="preserve"/>
      </w:r>
    </w:p>
    <w:p>
      <w:pPr>
        <w:pStyle w:val="Heading2"/>
        <w:spacing w:after="80" w:before="200"/>
      </w:pPr>
      <w:r>
        <w:rPr>
          <w:rFonts w:ascii="Arial" w:cs="Arial" w:eastAsia="Arial" w:hAnsi="Arial"/>
          <w:b/>
          <w:bCs/>
          <w:color w:val="4A6FA5"/>
          <w:sz w:val="24"/>
          <w:szCs w:val="24"/>
        </w:rPr>
        <w:t>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Section 8.8 — The Annual State of the Republic Report</w:t>
      </w:r>
    </w:p>
    <w:p>
      <w:pPr>
        <w:spacing w:after="60" w:before="60"/>
      </w:pPr>
      <w:r>
        <w:rPr>
          <w:rFonts w:ascii="Arial" w:cs="Arial" w:eastAsia="Arial" w:hAnsi="Arial"/>
          <w:color w:val="000000"/>
          <w:sz w:val="22"/>
          <w:szCs w:val="22"/>
        </w:rPr>
        <w:t>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Section 8.9 — The State Designee Panel</w:t>
      </w:r>
    </w:p>
    <w:p>
      <w:pPr>
        <w:spacing w:after="60" w:before="60"/>
      </w:pPr>
      <w:r>
        <w:rPr>
          <w:rFonts w:ascii="Arial" w:cs="Arial" w:eastAsia="Arial" w:hAnsi="Arial"/>
          <w:color w:val="000000"/>
          <w:sz w:val="22"/>
          <w:szCs w:val="22"/>
        </w:rPr>
        <w:t>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ind w:left="720" w:hanging="360"/>
      </w:pPr>
      <w:r>
        <w:rPr>
          <w:rFonts w:ascii="Arial" w:cs="Arial" w:eastAsia="Arial" w:hAnsi="Arial"/>
          <w:b/>
          <w:bCs/>
          <w:color w:val="4A6FA5"/>
          <w:sz w:val="22"/>
          <w:szCs w:val="22"/>
        </w:rPr>
        <w:t xml:space="preserve">8.9.a Single Mandate: </w:t>
      </w:r>
      <w:r>
        <w:rPr>
          <w:rFonts w:ascii="Arial" w:cs="Arial" w:eastAsia="Arial" w:hAnsi="Arial"/>
          <w:color w:val="000000"/>
          <w:sz w:val="22"/>
          <w:szCs w:val="22"/>
        </w:rPr>
        <w:t>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other IOC functions — pattern findings, mandatory IG response requirements, and annual oversight reporting — are absorbed by Legislature standing committees and existing IG annual reports.</w:t>
      </w:r>
    </w:p>
    <w:p>
      <w:pPr>
        <w:spacing w:after="60" w:before="60"/>
        <w:ind w:left="720" w:hanging="360"/>
      </w:pPr>
      <w:r>
        <w:rPr>
          <w:rFonts w:ascii="Arial" w:cs="Arial" w:eastAsia="Arial" w:hAnsi="Arial"/>
          <w:b/>
          <w:bCs/>
          <w:color w:val="4A6FA5"/>
          <w:sz w:val="22"/>
          <w:szCs w:val="22"/>
        </w:rPr>
        <w:t xml:space="preserve">8.9.b Appeals: </w:t>
      </w:r>
      <w:r>
        <w:rPr>
          <w:rFonts w:ascii="Arial" w:cs="Arial" w:eastAsia="Arial" w:hAnsi="Arial"/>
          <w:color w:val="000000"/>
          <w:sz w:val="22"/>
          <w:szCs w:val="22"/>
        </w:rPr>
        <w:t>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Section 8.10 — Inspectorate Minimum Funding Guarantee</w:t>
      </w:r>
    </w:p>
    <w:p>
      <w:pPr>
        <w:spacing w:after="60" w:before="60"/>
      </w:pPr>
      <w:r>
        <w:rPr>
          <w:rFonts w:ascii="Arial" w:cs="Arial" w:eastAsia="Arial" w:hAnsi="Arial"/>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IX — THE NATIONAL RECORD SYSTEM</w:t>
      </w:r>
    </w:p>
    <w:p>
      <w:pPr>
        <w:spacing w:after="60" w:before="60"/>
      </w:pPr>
      <w:r>
        <w:rPr>
          <w:rFonts w:ascii="Arial" w:cs="Arial" w:eastAsia="Arial" w:hAnsi="Arial"/>
          <w:color w:val="000000"/>
          <w:sz w:val="22"/>
          <w:szCs w:val="22"/>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Section 9.5 — Classification Framework</w:t>
      </w:r>
    </w:p>
    <w:p>
      <w:pPr>
        <w:spacing w:after="60" w:before="60"/>
      </w:pPr>
      <w:r>
        <w:rPr>
          <w:rFonts w:ascii="Arial" w:cs="Arial" w:eastAsia="Arial" w:hAnsi="Arial"/>
          <w:color w:val="000000"/>
          <w:sz w:val="22"/>
          <w:szCs w:val="22"/>
        </w:rPr>
        <w:t>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9.5.a Classification Authority: </w:t>
      </w:r>
      <w:r>
        <w:rPr>
          <w:rFonts w:ascii="Arial" w:cs="Arial" w:eastAsia="Arial" w:hAnsi="Arial"/>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9.5.b Classification Duration: </w:t>
      </w:r>
      <w:r>
        <w:rPr>
          <w:rFonts w:ascii="Arial" w:cs="Arial" w:eastAsia="Arial" w:hAnsi="Arial"/>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9.5.c Classification Registry: </w:t>
      </w:r>
      <w:r>
        <w:rPr>
          <w:rFonts w:ascii="Arial" w:cs="Arial" w:eastAsia="Arial" w:hAnsi="Arial"/>
          <w:color w:val="000000"/>
          <w:sz w:val="22"/>
          <w:szCs w:val="22"/>
        </w:rPr>
        <w:t>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ind w:left="720" w:hanging="360"/>
      </w:pPr>
      <w:r>
        <w:rPr>
          <w:rFonts w:ascii="Arial" w:cs="Arial" w:eastAsia="Arial" w:hAnsi="Arial"/>
          <w:b/>
          <w:bCs/>
          <w:color w:val="4A6FA5"/>
          <w:sz w:val="22"/>
          <w:szCs w:val="22"/>
        </w:rPr>
        <w:t xml:space="preserve">9.5.d Automatic Declassification: </w:t>
      </w:r>
      <w:r>
        <w:rPr>
          <w:rFonts w:ascii="Arial" w:cs="Arial" w:eastAsia="Arial" w:hAnsi="Arial"/>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9.5.e Improper Classification: </w:t>
      </w:r>
      <w:r>
        <w:rPr>
          <w:rFonts w:ascii="Arial" w:cs="Arial" w:eastAsia="Arial" w:hAnsi="Arial"/>
          <w:color w:val="000000"/>
          <w:sz w:val="22"/>
          <w:szCs w:val="22"/>
        </w:rPr>
        <w:t>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Legislative Review: </w:t>
      </w:r>
      <w:r>
        <w:rPr>
          <w:rFonts w:ascii="Arial" w:cs="Arial" w:eastAsia="Arial" w:hAnsi="Arial"/>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Section 10.2 — Taxation Authority</w:t>
      </w:r>
    </w:p>
    <w:p>
      <w:pPr>
        <w:spacing w:after="60" w:before="60"/>
      </w:pPr>
      <w:r>
        <w:rPr>
          <w:rFonts w:ascii="Arial" w:cs="Arial" w:eastAsia="Arial" w:hAnsi="Arial"/>
          <w:color w:val="000000"/>
          <w:sz w:val="22"/>
          <w:szCs w:val="22"/>
        </w:rPr>
        <w:t>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pPr>
      <w:r>
        <w:rPr>
          <w:rFonts w:ascii="Arial" w:cs="Arial" w:eastAsia="Arial" w:hAnsi="Arial"/>
          <w:color w:val="000000"/>
          <w:sz w:val="22"/>
          <w:szCs w:val="22"/>
        </w:rPr>
        <w:t>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Section 10.4 — The Monetary Authority</w:t>
      </w:r>
    </w:p>
    <w:p>
      <w:pPr>
        <w:spacing w:after="60" w:before="60"/>
        <w:ind w:left="720" w:hanging="360"/>
      </w:pPr>
      <w:r>
        <w:rPr>
          <w:b/>
        </w:rPr>
        <w:t xml:space="preserve">10.4.a Director Election and Board Composition: </w:t>
      </w:r>
      <w:r>
        <w:t>The Monetary Authority is governed by a Director and a board of five members. The Director is elected by national Ranked Choice Voting on National Election Day to a single non-renewable 7-year term, staggered from the board member appointment cycle. 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PM may remove an acting board member within 90 days of assumption; after 90 days removal requires a simple Senate majority; after 180 days removal requires the full 2/3 both chambers plus EI dereliction finding standard. Confirmation by the Senate at any time converts acting status to permanent appointment and the full term begins from the date of confirmation. Removal of a confirmed board member requires a 2/3 vote of both chambers simultaneously and a documented finding of dereliction by the Executive Inspectorate.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Section 10.7 — Compensation of Public Officials</w:t>
      </w:r>
    </w:p>
    <w:p>
      <w:pPr>
        <w:spacing w:after="60" w:before="60"/>
      </w:pPr>
      <w:r>
        <w:rPr>
          <w:rFonts w:ascii="Arial" w:cs="Arial" w:eastAsia="Arial" w:hAnsi="Arial"/>
          <w:color w:val="000000"/>
          <w:sz w:val="22"/>
          <w:szCs w:val="22"/>
        </w:rPr>
        <w:t>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Section 12.1 — Authorized Purposes for Military Force</w:t>
      </w:r>
    </w:p>
    <w:p>
      <w:pPr>
        <w:spacing w:after="60" w:before="60"/>
      </w:pPr>
      <w:r>
        <w:rPr>
          <w:rFonts w:ascii="Arial" w:cs="Arial" w:eastAsia="Arial" w:hAnsi="Arial"/>
          <w:color w:val="000000"/>
          <w:sz w:val="22"/>
          <w:szCs w:val="22"/>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Section 12.2 — Military Authorization Tiers</w:t>
      </w:r>
    </w:p>
    <w:p>
      <w:pPr>
        <w:spacing w:after="60" w:before="60"/>
      </w:pPr>
      <w:r>
        <w:rPr>
          <w:rFonts w:ascii="Arial" w:cs="Arial" w:eastAsia="Arial" w:hAnsi="Arial"/>
          <w:color w:val="000000"/>
          <w:sz w:val="22"/>
          <w:szCs w:val="22"/>
        </w:rPr>
        <w:t>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Legislative Declaration of Defense: </w:t>
      </w:r>
      <w:r>
        <w:rPr>
          <w:rFonts w:ascii="Arial" w:cs="Arial" w:eastAsia="Arial" w:hAnsi="Arial"/>
          <w:color w:val="000000"/>
          <w:sz w:val="22"/>
          <w:szCs w:val="22"/>
        </w:rPr>
        <w:t>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Section 12.3 — Intelligence Firewall</w:t>
      </w:r>
    </w:p>
    <w:p>
      <w:pPr>
        <w:spacing w:after="60" w:before="60"/>
      </w:pPr>
      <w:r>
        <w:rPr>
          <w:rFonts w:ascii="Arial" w:cs="Arial" w:eastAsia="Arial" w:hAnsi="Arial"/>
          <w:color w:val="000000"/>
          <w:sz w:val="22"/>
          <w:szCs w:val="22"/>
        </w:rPr>
        <w:t>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Section 12.5 — Treaty-Triggered Military Obligations</w:t>
      </w:r>
    </w:p>
    <w:p>
      <w:pPr>
        <w:spacing w:after="60" w:before="60"/>
      </w:pPr>
      <w:r>
        <w:rPr>
          <w:rFonts w:ascii="Arial" w:cs="Arial" w:eastAsia="Arial" w:hAnsi="Arial"/>
          <w:color w:val="000000"/>
          <w:sz w:val="22"/>
          <w:szCs w:val="22"/>
        </w:rPr>
        <w:t>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ind w:left="720" w:hanging="360"/>
      </w:pPr>
      <w:r>
        <w:rPr>
          <w:rFonts w:ascii="Arial" w:cs="Arial" w:eastAsia="Arial" w:hAnsi="Arial"/>
          <w:b/>
          <w:bCs/>
          <w:color w:val="4A6FA5"/>
          <w:sz w:val="22"/>
          <w:szCs w:val="22"/>
        </w:rPr>
        <w:t xml:space="preserve">12.5.b Legislative Ratification: </w:t>
      </w:r>
      <w:r>
        <w:rPr>
          <w:rFonts w:ascii="Arial" w:cs="Arial" w:eastAsia="Arial" w:hAnsi="Arial"/>
          <w:color w:val="000000"/>
          <w:sz w:val="22"/>
          <w:szCs w:val="22"/>
        </w:rPr>
        <w:t>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Section 13.2 — Requirements for Statehood</w:t>
      </w:r>
    </w:p>
    <w:p>
      <w:pPr>
        <w:spacing w:after="60" w:before="60"/>
      </w:pPr>
      <w:r>
        <w:rPr>
          <w:rFonts w:ascii="Arial" w:cs="Arial" w:eastAsia="Arial" w:hAnsi="Arial"/>
          <w:color w:val="000000"/>
          <w:sz w:val="22"/>
          <w:szCs w:val="22"/>
        </w:rPr>
        <w:t>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Section 13.3 — Mandatory State Devolution</w:t>
      </w:r>
    </w:p>
    <w:p>
      <w:pPr>
        <w:spacing w:after="60" w:before="60"/>
      </w:pPr>
      <w:r>
        <w:rPr>
          <w:rFonts w:ascii="Arial" w:cs="Arial" w:eastAsia="Arial" w:hAnsi="Arial"/>
          <w:color w:val="000000"/>
          <w:sz w:val="22"/>
          <w:szCs w:val="22"/>
        </w:rPr>
        <w:t>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Section 13.4 — Voluntary Devolution</w:t>
      </w:r>
    </w:p>
    <w:p>
      <w:pPr>
        <w:spacing w:after="60" w:before="60"/>
      </w:pPr>
      <w:r>
        <w:rPr>
          <w:rFonts w:ascii="Arial" w:cs="Arial" w:eastAsia="Arial" w:hAnsi="Arial"/>
          <w:color w:val="000000"/>
          <w:sz w:val="22"/>
          <w:szCs w:val="22"/>
        </w:rPr>
        <w:t>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Section 13.6 — Voluntary Incorporation</w:t>
      </w:r>
    </w:p>
    <w:p>
      <w:r>
        <w:rPr>
          <w:rFonts w:ascii="Arial" w:hAnsi="Arial"/>
          <w:b/>
          <w:sz w:val="22"/>
        </w:rPr>
        <w:t xml:space="preserve">13.6 Voluntary Incorporation: </w:t>
      </w:r>
      <w:r>
        <w:rPr>
          <w:rFonts w:ascii="Arial" w:hAnsi="Arial"/>
          <w:sz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XIV — THE INDIGENOUS NATION COMPACT</w:t>
      </w:r>
    </w:p>
    <w:p>
      <w:pPr>
        <w:spacing w:after="60" w:before="60"/>
      </w:pPr>
      <w:r>
        <w:rPr>
          <w:rFonts w:ascii="Arial" w:cs="Arial" w:eastAsia="Arial" w:hAnsi="Arial"/>
          <w:color w:val="000000"/>
          <w:sz w:val="22"/>
          <w:szCs w:val="22"/>
        </w:rPr>
        <w:t>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14.1 — Acknowledgment of Prior Sovereignty</w:t>
      </w:r>
    </w:p>
    <w:p>
      <w:pPr>
        <w:spacing w:after="60" w:before="60"/>
      </w:pPr>
      <w:r>
        <w:rPr>
          <w:rFonts w:ascii="Arial" w:cs="Arial" w:eastAsia="Arial" w:hAnsi="Arial"/>
          <w:color w:val="000000"/>
          <w:sz w:val="22"/>
          <w:szCs w:val="22"/>
        </w:rPr>
        <w:t>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Section 14.3 — Government-to-Government Relationship</w:t>
      </w:r>
    </w:p>
    <w:p>
      <w:pPr>
        <w:spacing w:after="60" w:before="60"/>
      </w:pPr>
      <w:r>
        <w:rPr>
          <w:rFonts w:ascii="Arial" w:cs="Arial" w:eastAsia="Arial" w:hAnsi="Arial"/>
          <w:color w:val="000000"/>
          <w:sz w:val="22"/>
          <w:szCs w:val="22"/>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Section 14.4 — Indigenous Lands</w:t>
      </w:r>
    </w:p>
    <w:p>
      <w:pPr>
        <w:spacing w:after="60" w:before="60"/>
      </w:pPr>
      <w:r>
        <w:rPr>
          <w:rFonts w:ascii="Arial" w:cs="Arial" w:eastAsia="Arial" w:hAnsi="Arial"/>
          <w:color w:val="000000"/>
          <w:sz w:val="22"/>
          <w:szCs w:val="22"/>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Section 15.1 — Amendment Paths</w:t>
      </w:r>
    </w:p>
    <w:p>
      <w:pPr>
        <w:spacing w:after="60" w:before="60"/>
        <w:ind w:left="720" w:hanging="360"/>
      </w:pPr>
      <w:r>
        <w:rPr>
          <w:rFonts w:ascii="Arial" w:cs="Arial" w:eastAsia="Arial" w:hAnsi="Arial"/>
          <w:b/>
          <w:bCs/>
          <w:color w:val="4A6FA5"/>
          <w:sz w:val="22"/>
          <w:szCs w:val="22"/>
        </w:rPr>
        <w:t xml:space="preserve">15.1.a Legislative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15.1.b Legislative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Section 15.5 — Independence Transition Framework</w:t>
      </w:r>
    </w:p>
    <w:p>
      <w:pPr>
        <w:spacing w:after="60" w:before="60"/>
      </w:pPr>
      <w:r>
        <w:rPr>
          <w:rFonts w:ascii="Arial" w:cs="Arial" w:eastAsia="Arial" w:hAnsi="Arial"/>
          <w:color w:val="000000"/>
          <w:sz w:val="22"/>
          <w:szCs w:val="22"/>
        </w:rPr>
        <w:t>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 — THE NATIONAL VOTING SYSTEM AND ELECTORAL COMMISSION</w:t>
      </w:r>
    </w:p>
    <w:p>
      <w:pPr>
        <w:spacing w:after="60" w:before="60"/>
      </w:pPr>
      <w:r>
        <w:rPr>
          <w:rFonts w:ascii="Arial" w:cs="Arial" w:eastAsia="Arial" w:hAnsi="Arial"/>
          <w:color w:val="000000"/>
          <w:sz w:val="22"/>
          <w:szCs w:val="22"/>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Section 16.1 — The Electoral Commission</w:t>
      </w:r>
    </w:p>
    <w:p>
      <w:pPr>
        <w:spacing w:after="60" w:before="60"/>
      </w:pPr>
      <w:r>
        <w:rPr>
          <w:rFonts w:ascii="Arial" w:cs="Arial" w:eastAsia="Arial" w:hAnsi="Arial"/>
          <w:color w:val="000000"/>
          <w:sz w:val="22"/>
          <w:szCs w:val="22"/>
        </w:rPr>
        <w:t>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session of the Legislature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bl>
    <w:p>
      <w:pPr>
        <w:spacing w:after="0" w:before="120"/>
      </w:pPr>
      <w:r>
        <w:t xml:space="preserve"/>
      </w:r>
    </w:p>
    <w:p>
      <w:pPr>
        <w:spacing w:after="60" w:before="60"/>
      </w:pPr>
      <w:r>
        <w:rPr>
          <w:rFonts w:ascii="Arial" w:cs="Arial" w:eastAsia="Arial" w:hAnsi="Arial"/>
          <w:color w:val="000000"/>
          <w:sz w:val="22"/>
          <w:szCs w:val="22"/>
        </w:rPr>
        <w:t>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Section 16.2 — Member Qualifications</w:t>
      </w:r>
    </w:p>
    <w:p>
      <w:pPr>
        <w:spacing w:after="60" w:before="60"/>
      </w:pPr>
      <w:r>
        <w:rPr>
          <w:rFonts w:ascii="Arial" w:cs="Arial" w:eastAsia="Arial" w:hAnsi="Arial"/>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Heading2"/>
        <w:spacing w:after="80" w:before="200"/>
      </w:pPr>
      <w:r>
        <w:rPr>
          <w:rFonts w:ascii="Arial" w:cs="Arial" w:eastAsia="Arial" w:hAnsi="Arial"/>
          <w:b/>
          <w:bCs/>
          <w:color w:val="4A6FA5"/>
          <w:sz w:val="24"/>
          <w:szCs w:val="24"/>
        </w:rPr>
        <w:t>Section 16.3 — Constitutional Properties of the National Voting System</w:t>
      </w:r>
    </w:p>
    <w:p>
      <w:pPr>
        <w:spacing w:after="60" w:before="60"/>
      </w:pPr>
      <w:r>
        <w:rPr>
          <w:rFonts w:ascii="Arial" w:cs="Arial" w:eastAsia="Arial" w:hAnsi="Arial"/>
          <w:color w:val="000000"/>
          <w:sz w:val="22"/>
          <w:szCs w:val="22"/>
        </w:rPr>
        <w:t>The National Voting System must satisfy these constitutional properties. the Legislature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the Legislature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w:t>
      </w:r>
    </w:p>
    <w:p>
      <w:pPr>
        <w:spacing w:after="0" w:before="120"/>
      </w:pPr>
      <w:r>
        <w:t xml:space="preserve"/>
      </w:r>
    </w:p>
    <w:p>
      <w:pPr>
        <w:pStyle w:val="Heading2"/>
        <w:spacing w:after="80" w:before="200"/>
      </w:pPr>
      <w:r>
        <w:rPr>
          <w:rFonts w:ascii="Arial" w:cs="Arial" w:eastAsia="Arial" w:hAnsi="Arial"/>
          <w:b/>
          <w:bCs/>
          <w:color w:val="4A6FA5"/>
          <w:sz w:val="24"/>
          <w:szCs w:val="24"/>
        </w:rPr>
        <w:t>Section 16.6 — Electoral Commission Technical Deadlock</w:t>
      </w:r>
    </w:p>
    <w:p>
      <w:pPr>
        <w:spacing w:after="60" w:before="60"/>
      </w:pPr>
      <w:r>
        <w:rPr>
          <w:rFonts w:ascii="Arial" w:cs="Arial" w:eastAsia="Arial" w:hAnsi="Arial"/>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Section 16.7 — Day Zero Voting System Transition</w:t>
      </w:r>
    </w:p>
    <w:p>
      <w:pPr>
        <w:spacing w:after="60" w:before="60"/>
      </w:pPr>
      <w:r>
        <w:rPr>
          <w:rFonts w:ascii="Arial" w:cs="Arial" w:eastAsia="Arial" w:hAnsi="Arial"/>
          <w:color w:val="000000"/>
          <w:sz w:val="22"/>
          <w:szCs w:val="22"/>
        </w:rPr>
        <w:t>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 — FEDERAL PROPERTY AND THE SEAT OF GOVERNMENT</w:t>
      </w:r>
    </w:p>
    <w:p>
      <w:pPr>
        <w:spacing w:after="60" w:before="60"/>
      </w:pPr>
      <w:r>
        <w:rPr>
          <w:rFonts w:ascii="Arial" w:cs="Arial" w:eastAsia="Arial" w:hAnsi="Arial"/>
          <w:color w:val="000000"/>
          <w:sz w:val="22"/>
          <w:szCs w:val="22"/>
        </w:rPr>
        <w:t>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Section 17.1 — The Use Doctrine</w:t>
      </w:r>
    </w:p>
    <w:p>
      <w:pPr>
        <w:spacing w:after="60" w:before="60"/>
      </w:pPr>
      <w:r>
        <w:rPr>
          <w:rFonts w:ascii="Arial" w:cs="Arial" w:eastAsia="Arial" w:hAnsi="Arial"/>
          <w:color w:val="000000"/>
          <w:sz w:val="22"/>
          <w:szCs w:val="22"/>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Section 17.2 — The Federal Seat of Government</w:t>
      </w:r>
    </w:p>
    <w:p>
      <w:pPr>
        <w:spacing w:after="60" w:before="60"/>
      </w:pPr>
      <w:r>
        <w:rPr>
          <w:rFonts w:ascii="Arial" w:cs="Arial" w:eastAsia="Arial" w:hAnsi="Arial"/>
          <w:color w:val="000000"/>
          <w:sz w:val="22"/>
          <w:szCs w:val="22"/>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17.3 — Operational Use Rights</w:t>
      </w:r>
    </w:p>
    <w:p>
      <w:pPr>
        <w:spacing w:after="60" w:before="60"/>
      </w:pPr>
      <w:r>
        <w:rPr>
          <w:rFonts w:ascii="Arial" w:cs="Arial" w:eastAsia="Arial" w:hAnsi="Arial"/>
          <w:color w:val="000000"/>
          <w:sz w:val="22"/>
          <w:szCs w:val="22"/>
        </w:rPr>
        <w:t>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Section 17.4 — The National Trust</w:t>
      </w:r>
    </w:p>
    <w:p>
      <w:pPr>
        <w:spacing w:after="60" w:before="60"/>
      </w:pPr>
      <w:r>
        <w:rPr>
          <w:rFonts w:ascii="Arial" w:cs="Arial" w:eastAsia="Arial" w:hAnsi="Arial"/>
          <w:color w:val="000000"/>
          <w:sz w:val="22"/>
          <w:szCs w:val="22"/>
        </w:rPr>
        <w:t>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17.5 — Federal Property in Territories</w:t>
      </w:r>
    </w:p>
    <w:p>
      <w:pPr>
        <w:spacing w:after="60" w:before="60"/>
      </w:pPr>
      <w:r>
        <w:rPr>
          <w:rFonts w:ascii="Arial" w:cs="Arial" w:eastAsia="Arial" w:hAnsi="Arial"/>
          <w:color w:val="000000"/>
          <w:sz w:val="22"/>
          <w:szCs w:val="22"/>
        </w:rPr>
        <w:t>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XVIII — ELECTORAL FINANCE AND CAMPAIGN INTEGRITY</w:t>
      </w:r>
    </w:p>
    <w:p>
      <w:pPr>
        <w:spacing w:after="60" w:before="60"/>
      </w:pPr>
      <w:r>
        <w:rPr>
          <w:rFonts w:ascii="Arial" w:cs="Arial" w:eastAsia="Arial" w:hAnsi="Arial"/>
          <w:color w:val="000000"/>
          <w:sz w:val="22"/>
          <w:szCs w:val="22"/>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Section 18.2 — Public Campaign Funding</w:t>
      </w:r>
    </w:p>
    <w:p>
      <w:pPr>
        <w:spacing w:after="60" w:before="60"/>
      </w:pPr>
      <w:r>
        <w:rPr>
          <w:rFonts w:ascii="Arial" w:cs="Arial" w:eastAsia="Arial" w:hAnsi="Arial"/>
          <w:color w:val="000000"/>
          <w:sz w:val="22"/>
          <w:szCs w:val="22"/>
        </w:rPr>
        <w:t>the Legislature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18.3 — The Campaign Finance Registry</w:t>
      </w:r>
    </w:p>
    <w:p>
      <w:pPr>
        <w:spacing w:after="60" w:before="60"/>
      </w:pPr>
      <w:r>
        <w:rPr>
          <w:rFonts w:ascii="Arial" w:cs="Arial" w:eastAsia="Arial" w:hAnsi="Arial"/>
          <w:color w:val="000000"/>
          <w:sz w:val="22"/>
          <w:szCs w:val="22"/>
        </w:rPr>
        <w:t>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Section 19.1 — The Activation Threshold</w:t>
      </w:r>
    </w:p>
    <w:p>
      <w:pPr>
        <w:spacing w:after="60" w:before="60"/>
      </w:pPr>
      <w:r>
        <w:rPr>
          <w:rFonts w:ascii="Arial" w:cs="Arial" w:eastAsia="Arial" w:hAnsi="Arial"/>
          <w:color w:val="000000"/>
          <w:sz w:val="22"/>
          <w:szCs w:val="22"/>
        </w:rPr>
        <w:t>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Section 19.3 — The Four-Phase Transition</w:t>
      </w:r>
    </w:p>
    <w:p>
      <w:pPr>
        <w:spacing w:after="60" w:before="60"/>
      </w:pPr>
      <w:r>
        <w:rPr>
          <w:rFonts w:ascii="Arial" w:cs="Arial" w:eastAsia="Arial" w:hAnsi="Arial"/>
          <w:color w:val="000000"/>
          <w:sz w:val="22"/>
          <w:szCs w:val="22"/>
        </w:rPr>
        <w:t>The transition is structured as an 18-month, four-phase process to prevent systemic shock and provide adequate time for institutional construction.</w:t>
      </w:r>
    </w:p>
    <w:p>
      <w:pPr>
        <w:spacing w:after="60" w:before="60"/>
      </w:pPr>
      <w:r>
        <w:t>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19.3.c Phase 2 — Institutional Construction (Days 91–270): 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pPr>
      <w:r>
        <w:t>19.3.d Phase 3 — First Elections (Days 271–450): 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pPr>
      <w:r>
        <w:t>19.3.e Phase 4 — Full Constitutional Operation: 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First National Election Day: all 9 Supreme Court seats, all Senate seats, all House seats, all Electoral Commission seats, the Presidency, and the Monetary Authority Director elected simultaneously. House seats PM within 45 days. President and MA Director take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Section 19.4 — Caretaker Status</w:t>
      </w:r>
    </w:p>
    <w:p>
      <w:pPr>
        <w:spacing w:after="60" w:before="60"/>
      </w:pPr>
      <w:r>
        <w:rPr>
          <w:rFonts w:ascii="Arial" w:cs="Arial" w:eastAsia="Arial" w:hAnsi="Arial"/>
          <w:color w:val="000000"/>
          <w:sz w:val="22"/>
          <w:szCs w:val="22"/>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Section 19.5 — Pre-Constitutional Classified Documents</w:t>
      </w:r>
    </w:p>
    <w:p>
      <w:pPr>
        <w:spacing w:after="60" w:before="60"/>
      </w:pPr>
      <w:r>
        <w:rPr>
          <w:rFonts w:ascii="Arial" w:cs="Arial" w:eastAsia="Arial" w:hAnsi="Arial"/>
          <w:color w:val="000000"/>
          <w:sz w:val="22"/>
          <w:szCs w:val="22"/>
        </w:rPr>
        <w:t>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Section 19.7 — Transition-Period Territorial and Subdivision Elections</w:t>
      </w:r>
    </w:p>
    <w:p>
      <w:pPr>
        <w:spacing w:after="60" w:before="60"/>
      </w:pPr>
      <w:r>
        <w:rPr>
          <w:rFonts w:ascii="Arial" w:cs="Arial" w:eastAsia="Arial" w:hAnsi="Arial"/>
          <w:color w:val="000000"/>
          <w:sz w:val="22"/>
          <w:szCs w:val="22"/>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Heading2"/>
      </w:pPr>
      <w:r>
        <w:rPr>
          <w:b/>
        </w:rPr>
        <w:t>Section 19.9 — Transitional Accountability Mechanism</w:t>
      </w:r>
    </w:p>
    <w:p>
      <w:pPr>
        <w:spacing w:after="60" w:before="60"/>
        <w:ind w:left="720" w:hanging="360"/>
      </w:pPr>
      <w:r>
        <w:rPr>
          <w:rFonts w:ascii="Arial" w:cs="Arial" w:eastAsia="Arial" w:hAnsi="Arial"/>
          <w:b/>
          <w:bCs/>
          <w:color w:val="4A6FA5"/>
          <w:sz w:val="22"/>
          <w:szCs w:val="22"/>
        </w:rPr>
      </w:r>
      <w:r>
        <w:rPr>
          <w:rFonts w:ascii="Arial" w:cs="Arial" w:eastAsia="Arial" w:hAnsi="Arial"/>
          <w:color w:val="000000"/>
          <w:sz w:val="22"/>
          <w:szCs w:val="22"/>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ARTICLE XX — ASSOCIATED COMMUNITY RELATIONSHIPS</w:t>
      </w:r>
    </w:p>
    <w:p>
      <w:pPr>
        <w:spacing w:after="60" w:before="60"/>
      </w:pPr>
      <w:r>
        <w:rPr>
          <w:rFonts w:ascii="Arial" w:cs="Arial" w:eastAsia="Arial" w:hAnsi="Arial"/>
          <w:color w:val="000000"/>
          <w:sz w:val="22"/>
          <w:szCs w:val="22"/>
        </w:rPr>
        <w:t>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SCHEDULE A — AUTHORITY REFERENCE MATRIX</w:t>
      </w:r>
    </w:p>
    <w:p>
      <w:pPr>
        <w:spacing w:after="60" w:before="60"/>
      </w:pPr>
      <w:r>
        <w:rPr>
          <w:rFonts w:ascii="Arial" w:cs="Arial" w:eastAsia="Arial" w:hAnsi="Arial"/>
          <w:color w:val="000000"/>
          <w:sz w:val="22"/>
          <w:szCs w:val="22"/>
        </w:rPr>
        <w:t>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3 — Legislative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or Caretaker PM declares; the Legislature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Proportional to citizen population; one seat per State minimum; the Legislature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Triad (Senate/PM/President) → JI Vetting → Public Election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vets nominees using Registry records; all certified nominees proceed to national RCV election; Senate has 90 days to nominate for mid-term vacancies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Adequate funding — the Legislature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65% national first-preference + 35% regional breadth; number of regions the Legislature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Number defined by the Legislature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Director elected by national RCV; 5 board members PM-nominated, Senate-confirmed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Federal Property (Art. XVII)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 Mid-Term Vacancy (§4.2.b)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Special election within 90 days; President and PM nominate; Senate has 90 days for third nominee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If Senate fails to nominate within 90 days, 2-nominee public election proceeds; replacement serves remainder of original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180-day Legislative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of both chambers simultaneously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veto; §1.2, §1.3, §1.13, §1.17, §1.18, §1.27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