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0" w:before="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200" w:before="0"/>
        <w:jc w:val="center"/>
      </w:pPr>
      <w:r>
        <w:rPr>
          <w:rFonts w:ascii="Garamond" w:cs="Garamond" w:eastAsia="Garamond" w:hAnsi="Garamond"/>
          <w:b/>
          <w:bCs/>
          <w:i w:val="false"/>
          <w:iCs w:val="false"/>
          <w:color w:val="1B2A4A"/>
          <w:sz w:val="44"/>
          <w:szCs w:val="44"/>
        </w:rPr>
        <w:t xml:space="preserve">THE FEDERATED REPUBLIC</w:t>
      </w:r>
    </w:p>
    <w:p>
      <w:pPr>
        <w:spacing w:after="200" w:before="0"/>
        <w:jc w:val="center"/>
      </w:pPr>
      <w:r>
        <w:rPr>
          <w:rFonts w:ascii="Garamond" w:cs="Garamond" w:eastAsia="Garamond" w:hAnsi="Garamond"/>
          <w:b w:val="false"/>
          <w:bCs w:val="false"/>
          <w:i w:val="false"/>
          <w:iCs w:val="false"/>
          <w:color w:val="C9A84C"/>
          <w:sz w:val="32"/>
          <w:szCs w:val="32"/>
        </w:rPr>
        <w:t xml:space="preserve">Constitution</w:t>
      </w:r>
    </w:p>
    <w:p>
      <w:pPr>
        <w:pBdr>
          <w:bottom w:val="single" w:color="C9A84C" w:sz="6" w:space="1"/>
        </w:pBdr>
        <w:spacing w:after="400" w:before="0"/>
        <w:jc w:val="center"/>
      </w:pPr>
      <w:r>
        <w:t xml:space="preserve"/>
      </w:r>
    </w:p>
    <w:p>
      <w:pPr>
        <w:spacing w:after="800" w:before="0"/>
        <w:jc w:val="center"/>
      </w:pPr>
      <w:r>
        <w:rPr>
          <w:rFonts w:ascii="Garamond" w:cs="Garamond" w:eastAsia="Garamond" w:hAnsi="Garamond"/>
          <w:b w:val="false"/>
          <w:bCs w:val="false"/>
          <w:i w:val="false"/>
          <w:iCs w:val="false"/>
          <w:color w:val="7a7060"/>
          <w:sz w:val="22"/>
          <w:szCs w:val="22"/>
        </w:rPr>
        <w:t xml:space="preserve">May 2026</w:t>
      </w:r>
    </w:p>
    <w:p>
      <w:pPr>
        <w:spacing w:after="200" w:before="0"/>
        <w:jc w:val="center"/>
      </w:pPr>
      <w:r>
        <w:rPr>
          <w:rFonts w:ascii="Courier New" w:cs="Courier New" w:eastAsia="Courier New" w:hAnsi="Courier New"/>
          <w:b w:val="false"/>
          <w:bCs w:val="false"/>
          <w:color w:val="7a7060"/>
          <w:sz w:val="18"/>
          <w:szCs w:val="18"/>
        </w:rPr>
        <w:t xml:space="preserve">thefederatedrepublic.org</w:t>
      </w:r>
    </w:p>
    <w:p>
      <w:pPr>
        <w:spacing w:after="0" w:before="0"/>
      </w:pPr>
      <w:r>
        <w:br/>
        <w:t xml:space="preserve"/>
      </w:r>
    </w:p>
    <w:p>
      <w:pPr>
        <w:spacing w:after="240" w:before="480"/>
      </w:pPr>
      <w:r>
        <w:rPr>
          <w:rFonts w:ascii="Garamond" w:cs="Garamond" w:eastAsia="Garamond" w:hAnsi="Garamond"/>
          <w:b/>
          <w:bCs/>
          <w:i w:val="false"/>
          <w:iCs w:val="false"/>
          <w:color w:val="1B2A4A"/>
          <w:sz w:val="32"/>
          <w:szCs w:val="32"/>
        </w:rPr>
        <w:t xml:space="preserve">Preamble</w:t>
      </w:r>
    </w:p>
    <w:p>
      <w:pPr>
        <w:spacing w:after="480" w:before="0"/>
        <w:jc w:val="both"/>
      </w:pPr>
      <w:r>
        <w:rPr>
          <w:rFonts w:ascii="Garamond" w:cs="Garamond" w:eastAsia="Garamond" w:hAnsi="Garamond"/>
          <w:b w:val="false"/>
          <w:bCs w:val="false"/>
          <w:i/>
          <w:iCs/>
          <w:color w:val="2a2520"/>
          <w:sz w:val="24"/>
          <w:szCs w:val="24"/>
        </w:rPr>
        <w:t xml:space="preserve">We, the people of the Federated Republic, recognizing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pPr>
        <w:spacing w:after="60" w:before="200"/>
        <w:jc w:val="left"/>
      </w:pPr>
      <w:r>
        <w:rPr>
          <w:rFonts w:ascii="Garamond" w:cs="Garamond" w:eastAsia="Garamond" w:hAnsi="Garamond"/>
          <w:b/>
          <w:bCs/>
          <w:i w:val="false"/>
          <w:iCs w:val="false"/>
          <w:color w:val="1B2A4A"/>
          <w:sz w:val="34"/>
          <w:szCs w:val="34"/>
        </w:rPr>
        <w:t xml:space="preserve">Article I — Individual Sovereignty and Rights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  </w:t>
      </w:r>
      <w:r>
        <w:rPr>
          <w:rFonts w:ascii="Garamond" w:cs="Garamond" w:eastAsia="Garamond" w:hAnsi="Garamond"/>
          <w:b/>
          <w:bCs/>
          <w:i w:val="false"/>
          <w:iCs w:val="false"/>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may seek legal remedy for any rights violation before an independent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1B2A4A"/>
          <w:sz w:val="18"/>
          <w:szCs w:val="18"/>
        </w:rPr>
        <w:t xml:space="preserve">§1.2  </w:t>
      </w:r>
      <w:r>
        <w:rPr>
          <w:rFonts w:ascii="Garamond" w:cs="Garamond" w:eastAsia="Garamond" w:hAnsi="Garamond"/>
          <w:b/>
          <w:bCs/>
          <w:i w:val="false"/>
          <w:iCs w:val="false"/>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possesses an inviolable sphere of personal sovereignty over their own life, body, and choices. Government authority operates outside this sphere. Where the boundary is disputed, the presumption runs in favour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1B2A4A"/>
          <w:sz w:val="18"/>
          <w:szCs w:val="18"/>
        </w:rPr>
        <w:t xml:space="preserve">§1.3  </w:t>
      </w:r>
      <w:r>
        <w:rPr>
          <w:rFonts w:ascii="Garamond" w:cs="Garamond" w:eastAsia="Garamond" w:hAnsi="Garamond"/>
          <w:b/>
          <w:bCs/>
          <w:i w:val="false"/>
          <w:iCs w:val="false"/>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Torture and cruel, inhuman, or degrading treatment are absolutely prohibited. No person within the Republic's jurisdiction may be subjected to any such treatment under any circumstances. This right is non-derogable under §1.26.b.</w:t>
      </w:r>
    </w:p>
    <w:p>
      <w:pPr>
        <w:spacing w:after="60" w:before="200"/>
        <w:ind w:left="431"/>
        <w:jc w:val="left"/>
      </w:pPr>
      <w:r>
        <w:rPr>
          <w:rFonts w:ascii="Courier New" w:cs="Courier New" w:eastAsia="Courier New" w:hAnsi="Courier New"/>
          <w:b/>
          <w:bCs/>
          <w:color w:val="1B2A4A"/>
          <w:sz w:val="18"/>
          <w:szCs w:val="18"/>
        </w:rPr>
        <w:t xml:space="preserve">§1.4  </w:t>
      </w:r>
      <w:r>
        <w:rPr>
          <w:rFonts w:ascii="Garamond" w:cs="Garamond" w:eastAsia="Garamond" w:hAnsi="Garamond"/>
          <w:b/>
          <w:bCs/>
          <w:i w:val="false"/>
          <w:iCs w:val="false"/>
          <w:color w:val="1B2A4A"/>
          <w:sz w:val="22"/>
          <w:szCs w:val="22"/>
        </w:rPr>
        <w:t xml:space="preserve">Prohibition of Slavery and Forced Labour</w:t>
      </w:r>
    </w:p>
    <w:p>
      <w:pPr>
        <w:spacing w:after="120" w:before="0"/>
        <w:ind w:left="431"/>
        <w:jc w:val="both"/>
      </w:pPr>
      <w:r>
        <w:rPr>
          <w:rFonts w:ascii="Garamond" w:cs="Garamond" w:eastAsia="Garamond" w:hAnsi="Garamond"/>
          <w:b w:val="false"/>
          <w:bCs w:val="false"/>
          <w:i w:val="false"/>
          <w:iCs w:val="false"/>
          <w:color w:val="2a2520"/>
          <w:sz w:val="22"/>
          <w:szCs w:val="22"/>
        </w:rPr>
        <w:t xml:space="preserve">Slavery, involuntary servitude, and forced labour are absolutely prohibited. Lawfully imposed prison labour and compulsory military service under the terms established by statute do not constitute forced labour under this provision. This right is non-derogable under §1.26.b.</w:t>
      </w:r>
    </w:p>
    <w:p>
      <w:pPr>
        <w:spacing w:after="60" w:before="200"/>
        <w:ind w:left="431"/>
        <w:jc w:val="left"/>
      </w:pPr>
      <w:r>
        <w:rPr>
          <w:rFonts w:ascii="Courier New" w:cs="Courier New" w:eastAsia="Courier New" w:hAnsi="Courier New"/>
          <w:b/>
          <w:bCs/>
          <w:color w:val="1B2A4A"/>
          <w:sz w:val="18"/>
          <w:szCs w:val="18"/>
        </w:rPr>
        <w:t xml:space="preserve">§1.5  </w:t>
      </w:r>
      <w:r>
        <w:rPr>
          <w:rFonts w:ascii="Garamond" w:cs="Garamond" w:eastAsia="Garamond" w:hAnsi="Garamond"/>
          <w:b/>
          <w:bCs/>
          <w:i w:val="false"/>
          <w:iCs w:val="false"/>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penalise expression through intermediaries it controls or pressures.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1B2A4A"/>
          <w:sz w:val="18"/>
          <w:szCs w:val="18"/>
        </w:rPr>
        <w:t xml:space="preserve">§1.6  </w:t>
      </w:r>
      <w:r>
        <w:rPr>
          <w:rFonts w:ascii="Garamond" w:cs="Garamond" w:eastAsia="Garamond" w:hAnsi="Garamond"/>
          <w:b/>
          <w:bCs/>
          <w:i w:val="false"/>
          <w:iCs w:val="false"/>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w:t>
      </w:r>
    </w:p>
    <w:p>
      <w:pPr>
        <w:spacing w:after="60" w:before="200"/>
        <w:ind w:left="431"/>
        <w:jc w:val="left"/>
      </w:pPr>
      <w:r>
        <w:rPr>
          <w:rFonts w:ascii="Courier New" w:cs="Courier New" w:eastAsia="Courier New" w:hAnsi="Courier New"/>
          <w:b/>
          <w:bCs/>
          <w:color w:val="1B2A4A"/>
          <w:sz w:val="18"/>
          <w:szCs w:val="18"/>
        </w:rPr>
        <w:t xml:space="preserve">§1.7  </w:t>
      </w:r>
      <w:r>
        <w:rPr>
          <w:rFonts w:ascii="Garamond" w:cs="Garamond" w:eastAsia="Garamond" w:hAnsi="Garamond"/>
          <w:b/>
          <w:bCs/>
          <w:i w:val="false"/>
          <w:iCs w:val="false"/>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sovereign authority over their own body. Medical decisions are the province of the individual and their chosen provider. The state may promote public health through information, licensing, and access; it may not compel medical decisions or penalise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accurate information about medical care that was lawful where received.</w:t>
      </w:r>
    </w:p>
    <w:p>
      <w:pPr>
        <w:spacing w:after="60" w:before="200"/>
        <w:ind w:left="431"/>
        <w:jc w:val="left"/>
      </w:pPr>
      <w:r>
        <w:rPr>
          <w:rFonts w:ascii="Courier New" w:cs="Courier New" w:eastAsia="Courier New" w:hAnsi="Courier New"/>
          <w:b/>
          <w:bCs/>
          <w:color w:val="1B2A4A"/>
          <w:sz w:val="18"/>
          <w:szCs w:val="18"/>
        </w:rPr>
        <w:t xml:space="preserve">§1.8  </w:t>
      </w:r>
      <w:r>
        <w:rPr>
          <w:rFonts w:ascii="Garamond" w:cs="Garamond" w:eastAsia="Garamond" w:hAnsi="Garamond"/>
          <w:b/>
          <w:bCs/>
          <w:i w:val="false"/>
          <w:iCs w:val="false"/>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1B2A4A"/>
          <w:sz w:val="18"/>
          <w:szCs w:val="18"/>
        </w:rPr>
        <w:t xml:space="preserve">§1.9  </w:t>
      </w:r>
      <w:r>
        <w:rPr>
          <w:rFonts w:ascii="Garamond" w:cs="Garamond" w:eastAsia="Garamond" w:hAnsi="Garamond"/>
          <w:b/>
          <w:bCs/>
          <w:i w:val="false"/>
          <w:iCs w:val="false"/>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1B2A4A"/>
          <w:sz w:val="18"/>
          <w:szCs w:val="18"/>
        </w:rPr>
        <w:t xml:space="preserve">§1.10  </w:t>
      </w:r>
      <w:r>
        <w:rPr>
          <w:rFonts w:ascii="Garamond" w:cs="Garamond" w:eastAsia="Garamond" w:hAnsi="Garamond"/>
          <w:b/>
          <w:bCs/>
          <w:i w:val="false"/>
          <w:iCs w:val="false"/>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right to keep and bear arms for lawful purposes including self-defense is recognized.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detained by public authority has the right to challenge that detention before an independent court. The detaining authority must produce the person and justify the detention within the period established by statute. No court may decline to hear a habeas corpus application. This right is non-derogable under §1.26.b.</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offence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penalised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algorithmic systems are used as evidence, the accused has the right to examine the system's methodology.</w:t>
      </w:r>
    </w:p>
    <w:p>
      <w:pPr>
        <w:spacing w:after="60" w:before="200"/>
        <w:ind w:left="431"/>
        <w:jc w:val="left"/>
      </w:pPr>
      <w:r>
        <w:rPr>
          <w:rFonts w:ascii="Courier New" w:cs="Courier New" w:eastAsia="Courier New" w:hAnsi="Courier New"/>
          <w:b/>
          <w:bCs/>
          <w:color w:val="1B2A4A"/>
          <w:sz w:val="18"/>
          <w:szCs w:val="18"/>
        </w:rPr>
        <w:t xml:space="preserve">§1.16  </w:t>
      </w:r>
      <w:r>
        <w:rPr>
          <w:rFonts w:ascii="Garamond" w:cs="Garamond" w:eastAsia="Garamond" w:hAnsi="Garamond"/>
          <w:b/>
          <w:bCs/>
          <w:i w:val="false"/>
          <w:iCs w:val="false"/>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accused of a criminal offence has the right to a public trial before an independent court. Proceedings may be held in camera only to the minimum extent necessary to protect a compelling interest identified in advance by the court; the existence of any proceeding may not be concealed. This right is non-derogable under §1.26.b.</w:t>
      </w:r>
    </w:p>
    <w:p>
      <w:pPr>
        <w:spacing w:after="60" w:before="200"/>
        <w:ind w:left="431"/>
        <w:jc w:val="left"/>
      </w:pPr>
      <w:r>
        <w:rPr>
          <w:rFonts w:ascii="Courier New" w:cs="Courier New" w:eastAsia="Courier New" w:hAnsi="Courier New"/>
          <w:b/>
          <w:bCs/>
          <w:color w:val="1B2A4A"/>
          <w:sz w:val="18"/>
          <w:szCs w:val="18"/>
        </w:rPr>
        <w:t xml:space="preserve">§1.19  </w:t>
      </w:r>
      <w:r>
        <w:rPr>
          <w:rFonts w:ascii="Garamond" w:cs="Garamond" w:eastAsia="Garamond" w:hAnsi="Garamond"/>
          <w:b/>
          <w:bCs/>
          <w:i w:val="false"/>
          <w:iCs w:val="false"/>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convicted of an act that was not a criminal offence when committed, or subjected to a penalty greater than that applicable at the time of the offence. No criminal law may be applied retroactively to the disadvantage of the accused. This right is non-derogable under §1.26.b.</w:t>
      </w:r>
    </w:p>
    <w:p>
      <w:pPr>
        <w:spacing w:after="60" w:before="200"/>
        <w:ind w:left="431"/>
        <w:jc w:val="left"/>
      </w:pPr>
      <w:r>
        <w:rPr>
          <w:rFonts w:ascii="Courier New" w:cs="Courier New" w:eastAsia="Courier New" w:hAnsi="Courier New"/>
          <w:b/>
          <w:bCs/>
          <w:color w:val="1B2A4A"/>
          <w:sz w:val="18"/>
          <w:szCs w:val="18"/>
        </w:rPr>
        <w:t xml:space="preserve">§1.20  </w:t>
      </w:r>
      <w:r>
        <w:rPr>
          <w:rFonts w:ascii="Garamond" w:cs="Garamond" w:eastAsia="Garamond" w:hAnsi="Garamond"/>
          <w:b/>
          <w:bCs/>
          <w:i w:val="false"/>
          <w:iCs w:val="false"/>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may be tried or punished twice for the same offence following a final acquittal or conviction. The Legislature defines by statute the scope of this protection, including its application across jurisdictions.</w:t>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Inhabitant is entitled to access the Republic's social state systems under Article X. No government may exclude any person from social assistance on the basis of the characteristics listed in §1.6. The Legislature establishes by statute the content and administration of social assistance, subject to the adequacy standards certified under §10.1.</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of genuine civic preparation.</w:t>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holds an obligation not to cause environmental harm to persons within its jurisdiction through its own actions or through the actions of those it licences.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1B2A4A"/>
          <w:sz w:val="18"/>
          <w:szCs w:val="18"/>
        </w:rPr>
        <w:t xml:space="preserve">§1.26  </w:t>
      </w:r>
      <w:r>
        <w:rPr>
          <w:rFonts w:ascii="Garamond" w:cs="Garamond" w:eastAsia="Garamond" w:hAnsi="Garamond"/>
          <w:b/>
          <w:bCs/>
          <w:i w:val="false"/>
          <w:iCs w:val="false"/>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 however severe — suspends the Individual Sovereignty Floor in full. Temporary derogation of certain rights is permitted only under the strict conditions of this section; the rights enumerated in §1.26.b may not be derogated under any circumstances.</w:t>
      </w:r>
    </w:p>
    <w:p>
      <w:pPr>
        <w:spacing w:after="60" w:before="200"/>
        <w:ind w:left="431"/>
        <w:jc w:val="left"/>
      </w:pPr>
      <w:r>
        <w:rPr>
          <w:rFonts w:ascii="Courier New" w:cs="Courier New" w:eastAsia="Courier New" w:hAnsi="Courier New"/>
          <w:b/>
          <w:bCs/>
          <w:color w:val="1B2A4A"/>
          <w:sz w:val="18"/>
          <w:szCs w:val="18"/>
        </w:rPr>
        <w:t xml:space="preserve">§1.26.a  </w:t>
      </w:r>
      <w:r>
        <w:rPr>
          <w:rFonts w:ascii="Garamond" w:cs="Garamond" w:eastAsia="Garamond" w:hAnsi="Garamond"/>
          <w:b/>
          <w:bCs/>
          <w:i w:val="false"/>
          <w:iCs w:val="false"/>
          <w:color w:val="1B2A4A"/>
          <w:sz w:val="22"/>
          <w:szCs w:val="22"/>
        </w:rPr>
        <w:t xml:space="preserve">Emergency Derogation — Declaration Requirements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(§1.26.d) without renewal.</w:t>
      </w:r>
    </w:p>
    <w:p>
      <w:pPr>
        <w:spacing w:after="60" w:before="200"/>
        <w:ind w:left="431"/>
        <w:jc w:val="left"/>
      </w:pPr>
      <w:r>
        <w:rPr>
          <w:rFonts w:ascii="Courier New" w:cs="Courier New" w:eastAsia="Courier New" w:hAnsi="Courier New"/>
          <w:b/>
          <w:bCs/>
          <w:color w:val="1B2A4A"/>
          <w:sz w:val="18"/>
          <w:szCs w:val="18"/>
        </w:rPr>
        <w:t xml:space="preserve">§1.26.b  </w:t>
      </w:r>
      <w:r>
        <w:rPr>
          <w:rFonts w:ascii="Garamond" w:cs="Garamond" w:eastAsia="Garamond" w:hAnsi="Garamond"/>
          <w:b/>
          <w:bCs/>
          <w:i w:val="false"/>
          <w:iCs w:val="false"/>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six rights are absolute under any circumstances: the prohibition on torture (§1.3); slavery (§1.4); habeas corpus (§1.12); the right to a public trial (§1.16); no retroactive punishment (§1.19); and non-refoulement (§1.28). No emergency declaration, executive order, or legislative act may derogate any of these rights. They are non-derogable by their nature — their value derives precisely from the fact that they hold under the worst circumstances, not only the ordinary ones.</w:t>
      </w:r>
    </w:p>
    <w:p>
      <w:pPr>
        <w:spacing w:after="60" w:before="200"/>
        <w:ind w:left="431"/>
        <w:jc w:val="left"/>
      </w:pPr>
      <w:r>
        <w:rPr>
          <w:rFonts w:ascii="Courier New" w:cs="Courier New" w:eastAsia="Courier New" w:hAnsi="Courier New"/>
          <w:b/>
          <w:bCs/>
          <w:color w:val="1B2A4A"/>
          <w:sz w:val="18"/>
          <w:szCs w:val="18"/>
        </w:rPr>
        <w:t xml:space="preserve">§1.26.c  </w:t>
      </w:r>
      <w:r>
        <w:rPr>
          <w:rFonts w:ascii="Garamond" w:cs="Garamond" w:eastAsia="Garamond" w:hAnsi="Garamond"/>
          <w:b/>
          <w:bCs/>
          <w:i w:val="false"/>
          <w:iCs w:val="false"/>
          <w:color w:val="1B2A4A"/>
          <w:sz w:val="22"/>
          <w:szCs w:val="22"/>
        </w:rPr>
        <w:t xml:space="preserve">Inspectorate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431"/>
        <w:jc w:val="left"/>
      </w:pPr>
      <w:r>
        <w:rPr>
          <w:rFonts w:ascii="Courier New" w:cs="Courier New" w:eastAsia="Courier New" w:hAnsi="Courier New"/>
          <w:b/>
          <w:bCs/>
          <w:color w:val="1B2A4A"/>
          <w:sz w:val="18"/>
          <w:szCs w:val="18"/>
        </w:rPr>
        <w:t xml:space="preserve">§1.26.d  </w:t>
      </w:r>
      <w:r>
        <w:rPr>
          <w:rFonts w:ascii="Garamond" w:cs="Garamond" w:eastAsia="Garamond" w:hAnsi="Garamond"/>
          <w:b/>
          <w:bCs/>
          <w:i w:val="false"/>
          <w:iCs w:val="false"/>
          <w:color w:val="1B2A4A"/>
          <w:sz w:val="22"/>
          <w:szCs w:val="22"/>
        </w:rPr>
        <w:t xml:space="preserve">Automatic Expiry and Judicial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431"/>
        <w:jc w:val="left"/>
      </w:pPr>
      <w:r>
        <w:rPr>
          <w:rFonts w:ascii="Courier New" w:cs="Courier New" w:eastAsia="Courier New" w:hAnsi="Courier New"/>
          <w:b/>
          <w:bCs/>
          <w:color w:val="1B2A4A"/>
          <w:sz w:val="18"/>
          <w:szCs w:val="18"/>
        </w:rPr>
        <w:t xml:space="preserve">§1.26.e  </w:t>
      </w:r>
      <w:r>
        <w:rPr>
          <w:rFonts w:ascii="Garamond" w:cs="Garamond" w:eastAsia="Garamond" w:hAnsi="Garamond"/>
          <w:b/>
          <w:bCs/>
          <w:i w:val="false"/>
          <w:iCs w:val="false"/>
          <w:color w:val="1B2A4A"/>
          <w:sz w:val="22"/>
          <w:szCs w:val="22"/>
        </w:rPr>
        <w:t xml:space="preserve">No Permanent Emergency</w:t>
      </w:r>
    </w:p>
    <w:p>
      <w:pPr>
        <w:spacing w:after="120" w:before="0"/>
        <w:ind w:left="431"/>
        <w:jc w:val="both"/>
      </w:pPr>
      <w:r>
        <w:rPr>
          <w:rFonts w:ascii="Garamond" w:cs="Garamond" w:eastAsia="Garamond" w:hAnsi="Garamond"/>
          <w:b w:val="false"/>
          <w:bCs w:val="false"/>
          <w:i w:val="false"/>
          <w:iCs w:val="false"/>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jc w:val="left"/>
      </w:pPr>
      <w:r>
        <w:rPr>
          <w:rFonts w:ascii="Courier New" w:cs="Courier New" w:eastAsia="Courier New" w:hAnsi="Courier New"/>
          <w:b/>
          <w:bCs/>
          <w:color w:val="1B2A4A"/>
          <w:sz w:val="18"/>
          <w:szCs w:val="18"/>
        </w:rPr>
        <w:t xml:space="preserve">§1.27  </w:t>
      </w:r>
      <w:r>
        <w:rPr>
          <w:rFonts w:ascii="Garamond" w:cs="Garamond" w:eastAsia="Garamond" w:hAnsi="Garamond"/>
          <w:b/>
          <w:bCs/>
          <w:i w:val="false"/>
          <w:iCs w:val="false"/>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person who reaches the Republic's jurisdiction has the right to claim asylum and have that claim determined by an independent process under §6.4.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1B2A4A"/>
          <w:sz w:val="18"/>
          <w:szCs w:val="18"/>
        </w:rPr>
        <w:t xml:space="preserve">§1.28  </w:t>
      </w:r>
      <w:r>
        <w:rPr>
          <w:rFonts w:ascii="Garamond" w:cs="Garamond" w:eastAsia="Garamond" w:hAnsi="Garamond"/>
          <w:b/>
          <w:bCs/>
          <w:i w:val="false"/>
          <w:iCs w:val="false"/>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§1.26.b.</w:t>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520"/>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failure to do so is a constitutional compliance breach certified by the LI.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60" w:before="200"/>
        <w:jc w:val="left"/>
      </w:pPr>
      <w:r>
        <w:rPr>
          <w:rFonts w:ascii="Garamond" w:cs="Garamond" w:eastAsia="Garamond" w:hAnsi="Garamond"/>
          <w:b/>
          <w:bCs/>
          <w:i w:val="false"/>
          <w:iCs w:val="false"/>
          <w:color w:val="1B2A4A"/>
          <w:sz w:val="34"/>
          <w:szCs w:val="34"/>
        </w:rPr>
        <w:t xml:space="preserve">Article II — The Dual Executive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§2.1  </w:t>
      </w:r>
      <w:r>
        <w:rPr>
          <w:rFonts w:ascii="Garamond" w:cs="Garamond" w:eastAsia="Garamond" w:hAnsi="Garamond"/>
          <w:b/>
          <w:bCs/>
          <w:i w:val="false"/>
          <w:iCs w:val="false"/>
          <w:color w:val="1B2A4A"/>
          <w:sz w:val="22"/>
          <w:szCs w:val="22"/>
        </w:rPr>
        <w:t xml:space="preserve">The President — Domain and Term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holds enumerated authority over: military command and force employment; foreign affairs and treaty negotiation; intelligence; trade agreements subject to §2.4; and appointments within the presidential domain. Presidential authority is enumerated; the PM's authority is residual. The President serves a single non-renewable term of four years. Upon expiration of the term, all authority transfers immediately to the incoming President. The outgoing President retains no access to classified information, government systems, or official functions beyond the day of transfer.</w:t>
      </w:r>
    </w:p>
    <w:p>
      <w:pPr>
        <w:spacing w:after="60" w:before="200"/>
        <w:ind w:left="431"/>
        <w:jc w:val="left"/>
      </w:pPr>
      <w:r>
        <w:rPr>
          <w:rFonts w:ascii="Courier New" w:cs="Courier New" w:eastAsia="Courier New" w:hAnsi="Courier New"/>
          <w:b/>
          <w:bCs/>
          <w:color w:val="1B2A4A"/>
          <w:sz w:val="18"/>
          <w:szCs w:val="18"/>
        </w:rPr>
        <w:t xml:space="preserve">§2.2  </w:t>
      </w:r>
      <w:r>
        <w:rPr>
          <w:rFonts w:ascii="Garamond" w:cs="Garamond" w:eastAsia="Garamond" w:hAnsi="Garamond"/>
          <w:b/>
          <w:bCs/>
          <w:i w:val="false"/>
          <w:iCs w:val="false"/>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use military force in immediate response to an active or imminent attack on Republic territory, citizens abroad, or treaty allies. Beyond immediate response, all use of military force requires legislative authorization. The President must notify both chambers and the PM promptly upon any use of force; the Legislature defines 'promptly' by statute. Legislative authorization expires unless affirmatively renewed at intervals the Legislature defines by statute; the constitutional default on expiry is cessation of all operations — the burden is always on authorization, never on termination. Military expenditure requires PM certification throughout; expenditure without PM certification is void. All military operations must state and be consistent with an authorized purpose under §12.1. All operations are published to the NRS.</w:t>
      </w:r>
    </w:p>
    <w:p>
      <w:pPr>
        <w:spacing w:after="60" w:before="200"/>
        <w:ind w:left="431"/>
        <w:jc w:val="left"/>
      </w:pPr>
      <w:r>
        <w:rPr>
          <w:rFonts w:ascii="Courier New" w:cs="Courier New" w:eastAsia="Courier New" w:hAnsi="Courier New"/>
          <w:b/>
          <w:bCs/>
          <w:color w:val="1B2A4A"/>
          <w:sz w:val="18"/>
          <w:szCs w:val="18"/>
        </w:rPr>
        <w:t xml:space="preserve">§2.3  </w:t>
      </w:r>
      <w:r>
        <w:rPr>
          <w:rFonts w:ascii="Garamond" w:cs="Garamond" w:eastAsia="Garamond" w:hAnsi="Garamond"/>
          <w:b/>
          <w:bCs/>
          <w:i w:val="false"/>
          <w:iCs w:val="false"/>
          <w:color w:val="1B2A4A"/>
          <w:sz w:val="22"/>
          <w:szCs w:val="22"/>
        </w:rPr>
        <w:t xml:space="preserve">Presidential Intelligence and Veto</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directs foreign intelligence. No intelligence operation may be conducted against Republic citizens within Republic territory on the President's authority; such operations require independent judicial authorization. The EI reports any order authorizing domestic intelligence operations without judicial authorization to the NRS. The President may veto legislation that raises a genuine constitutional concern within the President's security domain — military operations, intelligence, treaty obligations, or border security. A general or speculative security connection is insufficient. Either Speaker may request an EI assessment of whether the veto falls within the President's defined domain; the EI publishes its finding to the NRS within 48 hours.</w:t>
      </w:r>
    </w:p>
    <w:p>
      <w:pPr>
        <w:spacing w:after="60" w:before="200"/>
        <w:ind w:left="431"/>
        <w:jc w:val="left"/>
      </w:pPr>
      <w:r>
        <w:rPr>
          <w:rFonts w:ascii="Courier New" w:cs="Courier New" w:eastAsia="Courier New" w:hAnsi="Courier New"/>
          <w:b/>
          <w:bCs/>
          <w:color w:val="1B2A4A"/>
          <w:sz w:val="18"/>
          <w:szCs w:val="18"/>
        </w:rPr>
        <w:t xml:space="preserve">§2.4  </w:t>
      </w:r>
      <w:r>
        <w:rPr>
          <w:rFonts w:ascii="Garamond" w:cs="Garamond" w:eastAsia="Garamond" w:hAnsi="Garamond"/>
          <w:b/>
          <w:bCs/>
          <w:i w:val="false"/>
          <w:iCs w:val="false"/>
          <w:color w:val="1B2A4A"/>
          <w:sz w:val="22"/>
          <w:szCs w:val="22"/>
        </w:rPr>
        <w:t xml:space="preserve">Presidential Domain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negotiates and concludes trade agreements. PM written concurrence is required only for provisions imposing national treatment obligations within Republic territory, provisions requiring new domestic legislation, or provisions creating direct obligations on domestic persons. All other trade terms are within the President's sole authority. Where PM concurrence is withheld on a specific provision, that provision may be transmitted to the House as ordinary legislation while the remaining agreement proceeds to Senate ratification independently. The President nominates senior domain officers — Director of Intelligence, Secretary for Foreign Affairs, Secretary for Defense — from a pool of qualified candidates maintained by the Elections Panel. The Legislature defines qualifications and confirmation procedures for each office by statute; Acting appointments may be made pending confirmation for the period and under the conditions the Legislature defines. Indefinite circumvention of Senate confirmation through Acting appointments is constitutionally prohibited. All nominations and appointments are published to the NRS. Where domain of a proposed action is disputed, the JEC under §2.14 is the first forum. Pending resolution, the PM's residual authority governs except for matters expressly enumerated in §2.1. During active military operations, the President's domain governs operational decisions; either executive may petition the SC for an expedited domain determination.</w:t>
      </w:r>
    </w:p>
    <w:p>
      <w:pPr>
        <w:spacing w:after="60" w:before="200"/>
        <w:ind w:left="431"/>
        <w:jc w:val="left"/>
      </w:pPr>
      <w:r>
        <w:rPr>
          <w:rFonts w:ascii="Courier New" w:cs="Courier New" w:eastAsia="Courier New" w:hAnsi="Courier New"/>
          <w:b/>
          <w:bCs/>
          <w:color w:val="1B2A4A"/>
          <w:sz w:val="18"/>
          <w:szCs w:val="18"/>
        </w:rPr>
        <w:t xml:space="preserve">§2.5  </w:t>
      </w:r>
      <w:r>
        <w:rPr>
          <w:rFonts w:ascii="Garamond" w:cs="Garamond" w:eastAsia="Garamond" w:hAnsi="Garamond"/>
          <w:b/>
          <w:bCs/>
          <w:i w:val="false"/>
          <w:iCs w:val="false"/>
          <w:color w:val="1B2A4A"/>
          <w:sz w:val="22"/>
          <w:szCs w:val="22"/>
        </w:rPr>
        <w:t xml:space="preserve">The Prime Minister — Domestic Executive Domain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holds residual executive authority over all functions not enumerated as Presidential. To be eligible, a person must have held citizenship for the period established by statute. The PM answers to the House through the confidence mechanism and does not require presidential confirmation for the exercise of the domestic domain. The PM's domestic authority includes: all domestic policy and regulatory frameworks; the annual budget, which must originate with the PM and pass the House; certification of military expenditure; the civil service; and administration of the social state under Article X. The PM may declare a domestic emergency in response to natural disaster, public health crisis, or infrastructure failure, subject to the constraints of Article I and renewable House approval at intervals defined by statute. The President has no role in domestic emergencies. The PM has the right to be informed on national security matters that bear on domestic interests; no classification may be used to withhold such information from the PM where it affects the exercise of the domestic domain.</w:t>
      </w:r>
    </w:p>
    <w:p>
      <w:pPr>
        <w:spacing w:after="60" w:before="200"/>
        <w:ind w:left="431"/>
        <w:jc w:val="left"/>
      </w:pPr>
      <w:r>
        <w:rPr>
          <w:rFonts w:ascii="Courier New" w:cs="Courier New" w:eastAsia="Courier New" w:hAnsi="Courier New"/>
          <w:b/>
          <w:bCs/>
          <w:color w:val="1B2A4A"/>
          <w:sz w:val="18"/>
          <w:szCs w:val="18"/>
        </w:rPr>
        <w:t xml:space="preserve">§2.6  </w:t>
      </w:r>
      <w:r>
        <w:rPr>
          <w:rFonts w:ascii="Garamond" w:cs="Garamond" w:eastAsia="Garamond" w:hAnsi="Garamond"/>
          <w:b/>
          <w:bCs/>
          <w:i w:val="false"/>
          <w:iCs w:val="false"/>
          <w:color w:val="1B2A4A"/>
          <w:sz w:val="22"/>
          <w:szCs w:val="22"/>
        </w:rPr>
        <w:t xml:space="preserve">PM Accountability and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is accountable to the House. The House may remove the PM only through a constructive vote of no confidence: a single vote that simultaneously removes the sitting PM and installs a named replacement, by absolute majority of full seated House membership. A confidence vote that does not name and elect a successor has no constitutional effect. No person may serve more than 8 consecutive years as PM, and no more than 12 years in total across all periods of service. Both limits operate simultaneously; the stricter governs at any given moment. the House elects the PM by absolute majority within the period defined by statute following any general election or vacancy. If the House does not elect a PM within that period, the most senior confirmed Cabinet Minister continues as Caretaker PM. The Senate may, by 2/3 supermajority, designate a serving House member as PM if the House has failed to elect one within the statutory period; House election of a PM by absolute majority terminates any Senate designation. Where the PM is temporarily unable to exercise authority, the most senior confirmed Cabinet Minister by continuous length of service — as certified by the JI — serves as Caretaker PM with authority limited to maintaining existing policy and emergency functions; Caretaker status ends when the PM resumes their duties or a new PM is confirmed by the House.</w:t>
      </w:r>
    </w:p>
    <w:p>
      <w:pPr>
        <w:spacing w:after="60" w:before="200"/>
        <w:ind w:left="431"/>
        <w:jc w:val="left"/>
      </w:pPr>
      <w:r>
        <w:rPr>
          <w:rFonts w:ascii="Courier New" w:cs="Courier New" w:eastAsia="Courier New" w:hAnsi="Courier New"/>
          <w:b/>
          <w:bCs/>
          <w:color w:val="1B2A4A"/>
          <w:sz w:val="18"/>
          <w:szCs w:val="18"/>
        </w:rPr>
        <w:t xml:space="preserve">§2.7  </w:t>
      </w:r>
      <w:r>
        <w:rPr>
          <w:rFonts w:ascii="Garamond" w:cs="Garamond" w:eastAsia="Garamond" w:hAnsi="Garamond"/>
          <w:b/>
          <w:bCs/>
          <w:i w:val="false"/>
          <w:iCs w:val="false"/>
          <w:color w:val="1B2A4A"/>
          <w:sz w:val="22"/>
          <w:szCs w:val="22"/>
        </w:rPr>
        <w:t xml:space="preserve">PM Legislative Instruments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may return any bill with a written statement of objection specifying constitutional, fiscal, or operational grounds. The statement is published to the NRS. The Legislature may override by 2/3 of both chambers simultaneously. The suspensive veto may not be used on the annual budget, bills implementing a constitutional obligation, or emergency legislation. If the Legislature does not hold an override vote within the period defined by statute, the bill lapses. The PM may also object on specific solvency grounds — the bill would cause or materially worsen a structural deficit. Requires MA assessment; the House may override by simple majority after receiving the assessment. If the PM neither signs nor objects within the legislative review period, the bill is enacted. Silence is not a veto. Both executives review legislation concurrently from the date of final passage; periods and procedures are defined by statute.</w:t>
      </w:r>
    </w:p>
    <w:p>
      <w:pPr>
        <w:spacing w:after="60" w:before="200"/>
        <w:ind w:left="431"/>
        <w:jc w:val="left"/>
      </w:pPr>
      <w:r>
        <w:rPr>
          <w:rFonts w:ascii="Courier New" w:cs="Courier New" w:eastAsia="Courier New" w:hAnsi="Courier New"/>
          <w:b/>
          <w:bCs/>
          <w:color w:val="1B2A4A"/>
          <w:sz w:val="18"/>
          <w:szCs w:val="18"/>
        </w:rPr>
        <w:t xml:space="preserve">§2.8  </w:t>
      </w:r>
      <w:r>
        <w:rPr>
          <w:rFonts w:ascii="Garamond" w:cs="Garamond" w:eastAsia="Garamond" w:hAnsi="Garamond"/>
          <w:b/>
          <w:bCs/>
          <w:i w:val="false"/>
          <w:iCs w:val="false"/>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520"/>
          <w:sz w:val="22"/>
          <w:szCs w:val="22"/>
        </w:rPr>
        <w:t xml:space="preserve">No civil servant or military member may comply with an order from either executive that would require violation of any constitutional provision or statute. Refusal of such an order creates no civil or criminal liability and is no basis for dismissal or penalty. The refusing person may report the order to the EI,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1B2A4A"/>
          <w:sz w:val="18"/>
          <w:szCs w:val="18"/>
        </w:rPr>
        <w:t xml:space="preserve">§2.9  </w:t>
      </w:r>
      <w:r>
        <w:rPr>
          <w:rFonts w:ascii="Garamond" w:cs="Garamond" w:eastAsia="Garamond" w:hAnsi="Garamond"/>
          <w:b/>
          <w:bCs/>
          <w:i w:val="false"/>
          <w:iCs w:val="false"/>
          <w:color w:val="1B2A4A"/>
          <w:sz w:val="22"/>
          <w:szCs w:val="22"/>
        </w:rPr>
        <w:t xml:space="preserve">Presidential Succession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Full succession activates on Presidential death, resignation, removal, or certified permanent incapacity. Authority transfers first to the Senate Speaker, then to the Senate Deputy Speaker, and then to the most senior member of the Senate Armed Services Committee. A successor serves the remainder of the current presidential term; service by succession does not consume the successor's own eligibility to stand at the next election. Where the President is unable to exercise authority, the EI and LI jointly assess capacity and, on joint certification, Acting Presidential Authority transfers to the Senate Speaker without vacating the Speaker's Senate seat. Acting authority ends when the President publishes a restoration declaration to the NRS. Where Acting Presidential Authority extends beyond the period defined by statute, the Inspectorates reassess; on joint certification of permanent incapacity, full succession activates.</w:t>
      </w:r>
    </w:p>
    <w:p>
      <w:pPr>
        <w:spacing w:after="60" w:before="200"/>
        <w:ind w:left="431"/>
        <w:jc w:val="left"/>
      </w:pPr>
      <w:r>
        <w:rPr>
          <w:rFonts w:ascii="Courier New" w:cs="Courier New" w:eastAsia="Courier New" w:hAnsi="Courier New"/>
          <w:b/>
          <w:bCs/>
          <w:color w:val="1B2A4A"/>
          <w:sz w:val="18"/>
          <w:szCs w:val="18"/>
        </w:rPr>
        <w:t xml:space="preserve">§2.10  </w:t>
      </w:r>
      <w:r>
        <w:rPr>
          <w:rFonts w:ascii="Garamond" w:cs="Garamond" w:eastAsia="Garamond" w:hAnsi="Garamond"/>
          <w:b/>
          <w:bCs/>
          <w:i w:val="false"/>
          <w:iCs w:val="false"/>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520"/>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 certified by the EI.</w:t>
      </w:r>
    </w:p>
    <w:p>
      <w:pPr>
        <w:spacing w:after="60" w:before="200"/>
        <w:ind w:left="431"/>
        <w:jc w:val="left"/>
      </w:pPr>
      <w:r>
        <w:rPr>
          <w:rFonts w:ascii="Courier New" w:cs="Courier New" w:eastAsia="Courier New" w:hAnsi="Courier New"/>
          <w:b/>
          <w:bCs/>
          <w:color w:val="1B2A4A"/>
          <w:sz w:val="18"/>
          <w:szCs w:val="18"/>
        </w:rPr>
        <w:t xml:space="preserve">§2.11  </w:t>
      </w:r>
      <w:r>
        <w:rPr>
          <w:rFonts w:ascii="Garamond" w:cs="Garamond" w:eastAsia="Garamond" w:hAnsi="Garamond"/>
          <w:b/>
          <w:bCs/>
          <w:i w:val="false"/>
          <w:iCs w:val="false"/>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House is unable to function for an extended period — as defined by statute — the Senate may assume joint emergency legislative authority for three functions only: election administration, social state funding continuity, and active national security obligations. All Senate emergency actions require co-signature of the Caretaker PM and are published to the NRS. This authority expires automatically when a new House is seated. In catastrophic circumstances where the Legislature cannot convene, expedited activation is available on joint certification by the Caretaker PM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1B2A4A"/>
          <w:sz w:val="18"/>
          <w:szCs w:val="18"/>
        </w:rPr>
        <w:t xml:space="preserve">§2.12  </w:t>
      </w:r>
      <w:r>
        <w:rPr>
          <w:rFonts w:ascii="Garamond" w:cs="Garamond" w:eastAsia="Garamond" w:hAnsi="Garamond"/>
          <w:b/>
          <w:bCs/>
          <w:i w:val="false"/>
          <w:iCs w:val="false"/>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executive holds clemency authority within their own domain only. Presidential clemency covers military law and national security offenses. PM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EI publishes a factual background report to the NRS. A clemency grant made before the EI report is published is void and of no legal effect. Every petition, report, and grant or decline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1B2A4A"/>
          <w:sz w:val="18"/>
          <w:szCs w:val="18"/>
        </w:rPr>
        <w:t xml:space="preserve">§2.13  </w:t>
      </w:r>
      <w:r>
        <w:rPr>
          <w:rFonts w:ascii="Garamond" w:cs="Garamond" w:eastAsia="Garamond" w:hAnsi="Garamond"/>
          <w:b/>
          <w:bCs/>
          <w:i w:val="false"/>
          <w:iCs w:val="false"/>
          <w:color w:val="1B2A4A"/>
          <w:sz w:val="22"/>
          <w:szCs w:val="22"/>
        </w:rPr>
        <w:t xml:space="preserve">Presidential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may be removed on two independent tracks. Under the legislative track, 2/3 of both chambers simultaneously, following joint LI and EI certification of constitutional breach, demonstrated permanent incapacity, or conviction for a disqualifying offense. Under the popular track, a Senate majority may refer the question to a national recall referendum administered within the period defined by statute. The President is removed if the referendum achieves 60% of votes cast under §11.4 with a minimum 55% citizen participation. A failed referendum may not be re-initiated within the same presidential term. The Senate Speaker holds Acting Presidential Authority from the date of Senate referral until referendum certification, without vacating their Senate seat.</w:t>
      </w:r>
    </w:p>
    <w:p>
      <w:pPr>
        <w:spacing w:after="60" w:before="200"/>
        <w:ind w:left="431"/>
        <w:jc w:val="left"/>
      </w:pPr>
      <w:r>
        <w:rPr>
          <w:rFonts w:ascii="Courier New" w:cs="Courier New" w:eastAsia="Courier New" w:hAnsi="Courier New"/>
          <w:b/>
          <w:bCs/>
          <w:color w:val="1B2A4A"/>
          <w:sz w:val="18"/>
          <w:szCs w:val="18"/>
        </w:rPr>
        <w:t xml:space="preserve">§2.14  </w:t>
      </w:r>
      <w:r>
        <w:rPr>
          <w:rFonts w:ascii="Garamond" w:cs="Garamond" w:eastAsia="Garamond" w:hAnsi="Garamond"/>
          <w:b/>
          <w:bCs/>
          <w:i w:val="false"/>
          <w:iCs w:val="false"/>
          <w:color w:val="1B2A4A"/>
          <w:sz w:val="22"/>
          <w:szCs w:val="22"/>
        </w:rPr>
        <w:t xml:space="preserve">Joint Executive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Executive Council comprises the President's domain officers and the PM's Cabinet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 In a cross-domain emergency — a crisis whose effective management requires unified operational authority across executive domains — either executive may propose a temporary operational lead designation to the JEC; the other executive must respond in writing within twelve hours; concurrence makes the designation effective and it is published to the NRS immediately with both executives' attributed positions; objection refers the dispute to the SC under §2.15 for expedited review. A temporary lead designation does not extinguish the other executive's domain authorities or certification functions — it assigns operational coordination, not constitutional supremacy. Judicial review of any lead designation is conducted after the emergency is stabilized, not during it; courts do not govern active crisis management.</w:t>
      </w:r>
    </w:p>
    <w:p>
      <w:pPr>
        <w:spacing w:after="60" w:before="200"/>
        <w:ind w:left="431"/>
        <w:jc w:val="left"/>
      </w:pPr>
      <w:r>
        <w:rPr>
          <w:rFonts w:ascii="Courier New" w:cs="Courier New" w:eastAsia="Courier New" w:hAnsi="Courier New"/>
          <w:b/>
          <w:bCs/>
          <w:color w:val="1B2A4A"/>
          <w:sz w:val="18"/>
          <w:szCs w:val="18"/>
        </w:rPr>
        <w:t xml:space="preserve">§2.14.a  </w:t>
      </w:r>
      <w:r>
        <w:rPr>
          <w:rFonts w:ascii="Garamond" w:cs="Garamond" w:eastAsia="Garamond" w:hAnsi="Garamond"/>
          <w:b/>
          <w:bCs/>
          <w:color w:val="1B2A4A"/>
          <w:sz w:val="22"/>
          <w:szCs w:val="22"/>
        </w:rPr>
        <w:t xml:space="preserve">Coordination Failure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both executives are acting within their respective domains but their actions are materially incompatible — creating an operational deadlock not resolvable as a domain dispute under §2.4 or an emergency under §2.14 — either executive may declare a coordination failure by written NRS notice. Upon declaration, the matter is transmitted simultaneously to the House Speaker and Senate Speaker jointly, and the JEC has 14 days to produce a joint resolution. The Legislature may resolve the deadlock by concurrent resolution of both chambers at any point within 30 days of the declaration — a concurrent resolution under this provision binds both executives to its terms for the duration of the impasse only and does not alter permanent domain boundaries. A JEC joint resolution published within the 14-day window closes the process; the Legislature takes no further action. Where neither the JEC nor the Legislature acts within 30 days of the declaration, the PM’s residual authority governs until either the executives reach agreement or the Legislature acts.</w:t>
      </w:r>
    </w:p>
    <w:p>
      <w:pPr>
        <w:spacing w:after="60" w:before="200"/>
        <w:ind w:left="431"/>
        <w:jc w:val="left"/>
      </w:pPr>
      <w:r>
        <w:rPr>
          <w:rFonts w:ascii="Courier New" w:cs="Courier New" w:eastAsia="Courier New" w:hAnsi="Courier New"/>
          <w:b/>
          <w:bCs/>
          <w:color w:val="1B2A4A"/>
          <w:sz w:val="18"/>
          <w:szCs w:val="18"/>
        </w:rPr>
        <w:t xml:space="preserve">§2.15  </w:t>
      </w:r>
      <w:r>
        <w:rPr>
          <w:rFonts w:ascii="Garamond" w:cs="Garamond" w:eastAsia="Garamond" w:hAnsi="Garamond"/>
          <w:b/>
          <w:bCs/>
          <w:i w:val="false"/>
          <w:iCs w:val="false"/>
          <w:color w:val="1B2A4A"/>
          <w:sz w:val="22"/>
          <w:szCs w:val="22"/>
        </w:rPr>
        <w:t xml:space="preserve">Constitutional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conflict between constitutional actors creates a risk of suspension of lawful governance or constitutionally mandated essential services, the applicable constitutional default is continuity of lawful governance at existing scope, pending formal resolution. No constitutional actor may use a refusal to certify, approve, or coordinate as a mechanism to achieve the functional suspension of a constitutionally mandated obligation. The burden of justifying a disruption to essential government functions falls on the actor whose conduct creates the risk of disruption — not on the actor seeking to maintain continuity. The SC holds expedited review jurisdiction over any constitutional dispute in which either executive, either chamber, or the JIC certifies that continuity of lawful governance is at immediate risk; the Court must act within seven days of such certification. Continuity protections apply to: military operations with active legislative authorization; social state obligations; Inspectorate operations; NRS availability; and electoral administration.</w:t>
      </w:r>
    </w:p>
    <w:p>
      <w:pPr>
        <w:spacing w:after="60" w:before="200"/>
        <w:jc w:val="left"/>
      </w:pPr>
      <w:r>
        <w:rPr>
          <w:rFonts w:ascii="Garamond" w:cs="Garamond" w:eastAsia="Garamond" w:hAnsi="Garamond"/>
          <w:b/>
          <w:bCs/>
          <w:i w:val="false"/>
          <w:iCs w:val="false"/>
          <w:color w:val="1B2A4A"/>
          <w:sz w:val="34"/>
          <w:szCs w:val="34"/>
        </w:rPr>
        <w:t xml:space="preserve">Article III — The Legislature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§3.1  </w:t>
      </w:r>
      <w:r>
        <w:rPr>
          <w:rFonts w:ascii="Garamond" w:cs="Garamond" w:eastAsia="Garamond" w:hAnsi="Garamond"/>
          <w:b/>
          <w:bCs/>
          <w:i w:val="false"/>
          <w:iCs w:val="false"/>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comprises two chambers: the House of Representatives and the Senate. All legislation originates in the House. The Senate reviews, may amend within the subject matter of the bill, and must act on every House-passed bill within the period defined by statute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1B2A4A"/>
          <w:sz w:val="18"/>
          <w:szCs w:val="18"/>
        </w:rPr>
        <w:t xml:space="preserve">§3.2  </w:t>
      </w:r>
      <w:r>
        <w:rPr>
          <w:rFonts w:ascii="Garamond" w:cs="Garamond" w:eastAsia="Garamond" w:hAnsi="Garamond"/>
          <w:b/>
          <w:bCs/>
          <w:i w:val="false"/>
          <w:iCs w:val="false"/>
          <w:color w:val="1B2A4A"/>
          <w:sz w:val="22"/>
          <w:szCs w:val="22"/>
        </w:rPr>
        <w:t xml:space="preserve">The House of Representatives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is the proportionally elected chamber. Both States and Territories send voting members; there are no second-class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LI audits the census and allocation process. The House Speaker is elected by the House from its own members by absolute majority and does not hold a place in the presidential succession line. Quorum is a majority of full seated membership. The House establishes its own internal procedures. Members serve two-year terms. No member may serve more than six consecutive terms without sitting out one full electoral cycle; no cumulative lifetime restriction applies after the cooling-off period. Legislative compensation is set by independent formula, not by the Legislature itself; all member financial interests are disclosed to the EI and published to the NRS. Mid-term vacancies in House seats are filled by special election administered by the Elections Panel; the Legislature establishes timing and procedures by statute, ensuring no seat remains vacant beyond a reasonable period.</w:t>
      </w:r>
    </w:p>
    <w:p>
      <w:pPr>
        <w:spacing w:after="60" w:before="200"/>
        <w:ind w:left="431"/>
        <w:jc w:val="left"/>
      </w:pPr>
      <w:r>
        <w:rPr>
          <w:rFonts w:ascii="Courier New" w:cs="Courier New" w:eastAsia="Courier New" w:hAnsi="Courier New"/>
          <w:b/>
          <w:bCs/>
          <w:color w:val="1B2A4A"/>
          <w:sz w:val="18"/>
          <w:szCs w:val="18"/>
        </w:rPr>
        <w:t xml:space="preserve">§3.3  </w:t>
      </w:r>
      <w:r>
        <w:rPr>
          <w:rFonts w:ascii="Garamond" w:cs="Garamond" w:eastAsia="Garamond" w:hAnsi="Garamond"/>
          <w:b/>
          <w:bCs/>
          <w:i w:val="false"/>
          <w:iCs w:val="false"/>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520"/>
          <w:sz w:val="22"/>
          <w:szCs w:val="22"/>
        </w:rPr>
        <w:t xml:space="preserve">States draw their own House district maps subject to five criteria: population equality within reasonable tolerance; geographic contiguity; compliance with §1.6 non-discrimination; no intentional dilution of minority voting power; and reasonable compactness. Maps may not be drawn using partisan registration data, voting history data, incumbent residence, or racial composition as a primary criterion. The LI reviews all maps for compliance and publishes findings to the NRS. Where a map fails, the Elections Panel of the Digital Infrastructure Commission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1B2A4A"/>
          <w:sz w:val="18"/>
          <w:szCs w:val="18"/>
        </w:rPr>
        <w:t xml:space="preserve">§3.4  </w:t>
      </w:r>
      <w:r>
        <w:rPr>
          <w:rFonts w:ascii="Garamond" w:cs="Garamond" w:eastAsia="Garamond" w:hAnsi="Garamond"/>
          <w:b/>
          <w:bCs/>
          <w:i w:val="false"/>
          <w:iCs w:val="false"/>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bill must address a single, clearly defined subject. A court finding that a bill addresses multiple unrelated subjects voids the act.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PM or by petition of 1/3 of either chamber. Members must disclose all financial interests to the EI. The Legislature may establish a joint ethics committee with authority to sanction and refer members; removal requires 2/3 of the relevant chamber following a published EI finding.</w:t>
      </w:r>
    </w:p>
    <w:p>
      <w:pPr>
        <w:spacing w:after="60" w:before="200"/>
        <w:ind w:left="431"/>
        <w:jc w:val="left"/>
      </w:pPr>
      <w:r>
        <w:rPr>
          <w:rFonts w:ascii="Courier New" w:cs="Courier New" w:eastAsia="Courier New" w:hAnsi="Courier New"/>
          <w:b/>
          <w:bCs/>
          <w:color w:val="1B2A4A"/>
          <w:sz w:val="18"/>
          <w:szCs w:val="18"/>
        </w:rPr>
        <w:t xml:space="preserve">§3.5  </w:t>
      </w:r>
      <w:r>
        <w:rPr>
          <w:rFonts w:ascii="Garamond" w:cs="Garamond" w:eastAsia="Garamond" w:hAnsi="Garamond"/>
          <w:b/>
          <w:bCs/>
          <w:i w:val="false"/>
          <w:iCs w:val="false"/>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Senate comprises two senators per State regardless of population, elected for six-year staggered terms. No senator may serve more than two consecutive terms without sitting out one full term; no cumulative lifetime restriction applies after the cooling-off period. The Senate Speaker is elected by senators and may not serve more than three consecutive sessions as Speaker without sitting out one session. The Senate defines its own internal procedures. Standing committees must maintain balanced composition; no party may hold all seats on any standing committee. The Senate holds exclusive authority over: judicial confirmation; treaty ratification by 2/3 of full seated membership; and, in the absence of a functioning Elections Panel, administration of the presidential election. The Senate may not initiate legislation; all bills originate in the House.</w:t>
      </w:r>
    </w:p>
    <w:p>
      <w:pPr>
        <w:spacing w:after="60" w:before="200"/>
        <w:ind w:left="431"/>
        <w:jc w:val="left"/>
      </w:pPr>
      <w:r>
        <w:rPr>
          <w:rFonts w:ascii="Courier New" w:cs="Courier New" w:eastAsia="Courier New" w:hAnsi="Courier New"/>
          <w:b/>
          <w:bCs/>
          <w:color w:val="1B2A4A"/>
          <w:sz w:val="18"/>
          <w:szCs w:val="18"/>
        </w:rPr>
        <w:t xml:space="preserve">§3.6  </w:t>
      </w:r>
      <w:r>
        <w:rPr>
          <w:rFonts w:ascii="Garamond" w:cs="Garamond" w:eastAsia="Garamond" w:hAnsi="Garamond"/>
          <w:b/>
          <w:bCs/>
          <w:i w:val="false"/>
          <w:iCs w:val="false"/>
          <w:color w:val="1B2A4A"/>
          <w:sz w:val="22"/>
          <w:szCs w:val="22"/>
        </w:rPr>
        <w:t xml:space="preserve">Treaty Ratification and Withdrawal</w:t>
      </w:r>
    </w:p>
    <w:p>
      <w:pPr>
        <w:spacing w:after="120" w:before="0"/>
        <w:ind w:left="431"/>
        <w:jc w:val="both"/>
      </w:pPr>
      <w:r>
        <w:rPr>
          <w:rFonts w:ascii="Garamond" w:cs="Garamond" w:eastAsia="Garamond" w:hAnsi="Garamond"/>
          <w:b w:val="false"/>
          <w:bCs w:val="false"/>
          <w:i w:val="false"/>
          <w:iCs w:val="false"/>
          <w:color w:val="2a2520"/>
          <w:sz w:val="22"/>
          <w:szCs w:val="22"/>
        </w:rPr>
        <w:t xml:space="preserve">Treaty ratification requires 2/3 of the full seated Senate. Where a treaty fails ratification, standalone domestic provisions may be transmitted to the House as ordinary legislation unless the treaty is bilateral and its obligations are interdependent, in which case it must be renegotiated or abandoned in full. The President initiates treaty withdrawal by published NRS notice. For general treaties, the Senate may block withdrawal by simple majority within the notice period; if the Senate does not act, withdrawal takes effect. For mutual defense treaties, the Senate must affirmatively confirm withdrawal; if the Senate does not confirm, the treaty remains in force. Indigenous treaties under Article XIV may not be unilaterally withdrawn. All withdrawal actions are published to the NRS.</w:t>
      </w:r>
    </w:p>
    <w:p>
      <w:pPr>
        <w:spacing w:after="60" w:before="200"/>
        <w:ind w:left="431"/>
        <w:jc w:val="left"/>
      </w:pPr>
      <w:r>
        <w:rPr>
          <w:rFonts w:ascii="Courier New" w:cs="Courier New" w:eastAsia="Courier New" w:hAnsi="Courier New"/>
          <w:b/>
          <w:bCs/>
          <w:color w:val="1B2A4A"/>
          <w:sz w:val="18"/>
          <w:szCs w:val="18"/>
        </w:rPr>
        <w:t xml:space="preserve">§3.7  </w:t>
      </w:r>
      <w:r>
        <w:rPr>
          <w:rFonts w:ascii="Garamond" w:cs="Garamond" w:eastAsia="Garamond" w:hAnsi="Garamond"/>
          <w:b/>
          <w:bCs/>
          <w:i w:val="false"/>
          <w:iCs w:val="false"/>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520"/>
          <w:sz w:val="22"/>
          <w:szCs w:val="22"/>
        </w:rPr>
        <w:t xml:space="preserve">Bills pass by absolute majority of the full seated membership of both chambers. Higher thresholds apply to constitutional amendments, veto overrides, removal proceedings, and other matters specified in this constitution. The presiding officer of each chamber must publish the final text of every enacted law to the NRS within the period defined by statute. All prior versions, committee reports, Inspectorate findings, and veto records are indexed alongside the enacted text. Where the constitution requires the Legislature to enact specific legislation and the Legislature fails to do so, the LI publishes a non-compliance finding; the mandate becomes justiciable in the SC; and, for mandates tied to constitutional rights, affected parties may bring direct constitutional claims.</w:t>
      </w:r>
    </w:p>
    <w:p>
      <w:pPr>
        <w:spacing w:after="60" w:before="200"/>
        <w:ind w:left="431"/>
        <w:jc w:val="left"/>
      </w:pPr>
      <w:r>
        <w:rPr>
          <w:rFonts w:ascii="Courier New" w:cs="Courier New" w:eastAsia="Courier New" w:hAnsi="Courier New"/>
          <w:b/>
          <w:bCs/>
          <w:color w:val="1B2A4A"/>
          <w:sz w:val="18"/>
          <w:szCs w:val="18"/>
        </w:rPr>
        <w:t xml:space="preserve">§3.8  </w:t>
      </w:r>
      <w:r>
        <w:rPr>
          <w:rFonts w:ascii="Garamond" w:cs="Garamond" w:eastAsia="Garamond" w:hAnsi="Garamond"/>
          <w:b/>
          <w:bCs/>
          <w:i w:val="false"/>
          <w:iCs w:val="false"/>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three Inspectorates have full access to legislative records, committee deliberations, voting records, and draft legislation; the Legislature may not withhold records from the Inspectorates. The LI publishes a constitutional compliance analysis of any enacted law during the legislative review period; members may request LI analysis of any bill at any stage; the LI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EI has certified as constitutional breaches.</w:t>
      </w:r>
    </w:p>
    <w:p>
      <w:pPr>
        <w:spacing w:after="60" w:before="200"/>
        <w:ind w:left="431"/>
        <w:jc w:val="left"/>
      </w:pPr>
      <w:r>
        <w:rPr>
          <w:rFonts w:ascii="Courier New" w:cs="Courier New" w:eastAsia="Courier New" w:hAnsi="Courier New"/>
          <w:b/>
          <w:bCs/>
          <w:color w:val="1B2A4A"/>
          <w:sz w:val="18"/>
          <w:szCs w:val="18"/>
        </w:rPr>
        <w:t xml:space="preserve">§3.9  </w:t>
      </w:r>
      <w:r>
        <w:rPr>
          <w:rFonts w:ascii="Garamond" w:cs="Garamond" w:eastAsia="Garamond" w:hAnsi="Garamond"/>
          <w:b/>
          <w:bCs/>
          <w:i w:val="false"/>
          <w:iCs w:val="false"/>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may establish statutory agencies operating independently of both executives. Where this constitution assigns a function to a statutory agency, the Legislature must establish it; the relevant Inspectorate administers the function on an interim basis until the agency is established. Agency officers hold fixed terms and are nominated from a JI-maintained registry of qualified candidates; the PM nominates from that registry and Senate confirms. Removal requires a for-cause finding published by the JI and a 2/3 vote of both chambers; neither executive may unilaterally remove an independent agency officer.</w:t>
      </w:r>
    </w:p>
    <w:p>
      <w:pPr>
        <w:spacing w:after="60" w:before="200"/>
        <w:ind w:left="431"/>
        <w:jc w:val="left"/>
      </w:pPr>
      <w:r>
        <w:rPr>
          <w:rFonts w:ascii="Courier New" w:cs="Courier New" w:eastAsia="Courier New" w:hAnsi="Courier New"/>
          <w:b/>
          <w:bCs/>
          <w:color w:val="1B2A4A"/>
          <w:sz w:val="18"/>
          <w:szCs w:val="18"/>
        </w:rPr>
        <w:t xml:space="preserve">§3.9.a  </w:t>
      </w:r>
      <w:r>
        <w:rPr>
          <w:rFonts w:ascii="Garamond" w:cs="Garamond" w:eastAsia="Garamond" w:hAnsi="Garamond"/>
          <w:b/>
          <w:bCs/>
          <w:color w:val="1B2A4A"/>
          <w:sz w:val="22"/>
          <w:szCs w:val="22"/>
        </w:rPr>
        <w:t xml:space="preserve">Independent Officer Removal — Judicial Track</w:t>
      </w:r>
    </w:p>
    <w:p>
      <w:pPr>
        <w:spacing w:after="120" w:before="0"/>
        <w:ind w:left="431"/>
        <w:jc w:val="both"/>
      </w:pPr>
      <w:r>
        <w:rPr>
          <w:rFonts w:ascii="Garamond" w:cs="Garamond" w:eastAsia="Garamond" w:hAnsi="Garamond"/>
          <w:b w:val="false"/>
          <w:bCs w:val="false"/>
          <w:i w:val="false"/>
          <w:iCs w:val="false"/>
          <w:color w:val="2a2520"/>
          <w:sz w:val="22"/>
          <w:szCs w:val="22"/>
        </w:rPr>
        <w:t xml:space="preserve">For independent statutory officers, the Judicial Track under §8.15 is available where standard legislative removal appears unreachable due to political gridlock. Two of the three Inspectorates jointly certify for-cause grounds and petition the SC; the process then follows §8.15 Judicial Track in full.</w:t>
      </w:r>
    </w:p>
    <w:p>
      <w:pPr>
        <w:spacing w:after="60" w:before="200"/>
        <w:ind w:left="431"/>
        <w:jc w:val="left"/>
      </w:pPr>
      <w:r>
        <w:rPr>
          <w:rFonts w:ascii="Courier New" w:cs="Courier New" w:eastAsia="Courier New" w:hAnsi="Courier New"/>
          <w:b/>
          <w:bCs/>
          <w:color w:val="1B2A4A"/>
          <w:sz w:val="18"/>
          <w:szCs w:val="18"/>
        </w:rPr>
        <w:t xml:space="preserve">§3.10  </w:t>
      </w:r>
      <w:r>
        <w:rPr>
          <w:rFonts w:ascii="Garamond" w:cs="Garamond" w:eastAsia="Garamond" w:hAnsi="Garamond"/>
          <w:b/>
          <w:bCs/>
          <w:i w:val="false"/>
          <w:iCs w:val="false"/>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House may impeach officers serving in the presidential executive domain and inferior court judges. The President is removed exclusively under §2.13; the PM under §2.6; SC justices under §4.2; legislative members by their own chamber. A 1/3 House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House passage.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jc w:val="left"/>
      </w:pPr>
      <w:r>
        <w:rPr>
          <w:rFonts w:ascii="Garamond" w:cs="Garamond" w:eastAsia="Garamond" w:hAnsi="Garamond"/>
          <w:b/>
          <w:bCs/>
          <w:i w:val="false"/>
          <w:iCs w:val="false"/>
          <w:color w:val="1B2A4A"/>
          <w:sz w:val="34"/>
          <w:szCs w:val="34"/>
        </w:rPr>
        <w:t xml:space="preserve">Article IV — The Judicial Architecture</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§4.1  </w:t>
      </w:r>
      <w:r>
        <w:rPr>
          <w:rFonts w:ascii="Garamond" w:cs="Garamond" w:eastAsia="Garamond" w:hAnsi="Garamond"/>
          <w:b/>
          <w:bCs/>
          <w:i w:val="false"/>
          <w:iCs w:val="false"/>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Republic's judiciary operates at three levels: district courts, appellate courts, and the Supreme Court. The House may establish, abolish, and define the jurisdiction of inferior courts by statute. States may maintain specialised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1B2A4A"/>
          <w:sz w:val="18"/>
          <w:szCs w:val="18"/>
        </w:rPr>
        <w:t xml:space="preserve">§4.2  </w:t>
      </w:r>
      <w:r>
        <w:rPr>
          <w:rFonts w:ascii="Garamond" w:cs="Garamond" w:eastAsia="Garamond" w:hAnsi="Garamond"/>
          <w:b/>
          <w:bCs/>
          <w:i w:val="false"/>
          <w:iCs w:val="false"/>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nominates inferior court judges from a pool of qualified candidates maintained by the Elections Panel. The Legislature defines qualifications for inferior court judges by statute; the JI certifies eligibility of each pool applicant against those qualifications. The PM must nominate within the period defined by statute following a vacancy. The Senate confirms by a supermajority defined by statute. Inferior court judges serve a single non-renewable term of 15 years and may be removed only for cause. The Legislature may establish a mandatory retirement age by statute, not below 70. Judicial removal occurs through three tracks: legislative removal by 2/3 of both chambers following EI certification of constitutional breach or demonstrated incapacity;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1B2A4A"/>
          <w:sz w:val="18"/>
          <w:szCs w:val="18"/>
        </w:rPr>
        <w:t xml:space="preserve">§4.3  </w:t>
      </w:r>
      <w:r>
        <w:rPr>
          <w:rFonts w:ascii="Garamond" w:cs="Garamond" w:eastAsia="Garamond" w:hAnsi="Garamond"/>
          <w:b/>
          <w:bCs/>
          <w:i w:val="false"/>
          <w:iCs w:val="false"/>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w:t>
      </w:r>
    </w:p>
    <w:p>
      <w:pPr>
        <w:spacing w:after="60" w:before="200"/>
        <w:ind w:left="431"/>
        <w:jc w:val="left"/>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Supreme Court Quorum</w:t>
      </w:r>
    </w:p>
    <w:p>
      <w:pPr>
        <w:spacing w:after="120" w:before="0"/>
        <w:ind w:left="431"/>
        <w:jc w:val="both"/>
      </w:pPr>
      <w:r>
        <w:rPr>
          <w:rFonts w:ascii="Garamond" w:cs="Garamond" w:eastAsia="Garamond" w:hAnsi="Garamond"/>
          <w:b w:val="false"/>
          <w:bCs w:val="false"/>
          <w:i w:val="false"/>
          <w:iCs w:val="false"/>
          <w:color w:val="2a2520"/>
          <w:sz w:val="22"/>
          <w:szCs w:val="22"/>
        </w:rPr>
        <w:t xml:space="preserve">A majority of the SC’s seated justices — including any Temporary Associate Justices — constitutes quorum for ordinary decisions. Constitutional questions require a minimum of five justices regardless of total seated membership. Where insufficient Appellate Court judges are available for Temporary Associate Justice designation, the most senior federal District Court judges by continuous service fill remaining positions in order on the same temporary basis.</w:t>
      </w:r>
    </w:p>
    <w:p>
      <w:pPr>
        <w:spacing w:after="60" w:before="200"/>
        <w:ind w:left="431"/>
        <w:jc w:val="left"/>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A Supreme Court justice may be removed only for cause. Three grounds constitute sufficient cause: a published EI finding of constitutional breach in the exercise of judicial authority; certified permanent incapacity jointly certified by the EI and LI; or conviction for a disqualifying offense. Removal requires a 2/3 vote of both chambers simultaneously following publication of the relevant ground. No removal vote may be held within 180 days of a major national election without prior SC review within 48 hours. Judicial disagreement — however profound — does not constitute grounds for removal; the independence of SC judicial judgment is absolute within the scope of Article I.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1B2A4A"/>
          <w:sz w:val="18"/>
          <w:szCs w:val="18"/>
        </w:rPr>
        <w:t xml:space="preserve">§4.4  </w:t>
      </w:r>
      <w:r>
        <w:rPr>
          <w:rFonts w:ascii="Garamond" w:cs="Garamond" w:eastAsia="Garamond" w:hAnsi="Garamond"/>
          <w:b/>
          <w:bCs/>
          <w:i w:val="false"/>
          <w:iCs w:val="false"/>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SC justices are nominated by the PM from the open SC Candidate Registry maintained by the Elections Panel under §8.4.e — any eligible citizen who applies and meets the qualification criteria is entered. The PM nominates within the period defined by statute following a vacancy (not to exceed 90 days for scheduled vacancies, 60 days for mid-term vacancies). The JI confirms registry status and publishes the nominee's full record. The Senate must vote within the period defined by statute following JI publication of the nominee's record (not to exceed 120 days); no deemed confirmation applies, but failure to vote within that period is certified by the LI as a constitutional compliance breach. If the Senate declines, the PM nominates again within the period defined by statute.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The Legislature must by statute establish a recusal framework; in the absence of statute, a justice must recuse where impartiality could reasonably be questioned. Upon any SC vacancy, the most senior Appellate Court judge by continuous service is automatically designated Temporary Associate Justice within 5 days — without nomination or confirmation — holding full voting rights until the vacancy is filled. A Temporary Associate Justice may not stand as a candidate for the seat they are temporarily filling.</w:t>
      </w:r>
    </w:p>
    <w:p>
      <w:pPr>
        <w:spacing w:after="60" w:before="200"/>
        <w:ind w:left="431"/>
        <w:jc w:val="left"/>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the LI has certified a Senate breach under §4.4, the PM may — with 2/3 House consent — place the serving Temporary Associate Justice on the next federal electoral period ballot for public confirmation. Confirmation requires 60% of votes cast;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registry nominee before the public vote is certified ends the bypass immediately.</w:t>
      </w:r>
    </w:p>
    <w:p>
      <w:pPr>
        <w:spacing w:after="60" w:before="200"/>
        <w:ind w:left="431"/>
        <w:jc w:val="left"/>
      </w:pPr>
      <w:r>
        <w:rPr>
          <w:rFonts w:ascii="Courier New" w:cs="Courier New" w:eastAsia="Courier New" w:hAnsi="Courier New"/>
          <w:b/>
          <w:bCs/>
          <w:color w:val="1B2A4A"/>
          <w:sz w:val="18"/>
          <w:szCs w:val="18"/>
        </w:rPr>
        <w:t xml:space="preserve">§4.5  </w:t>
      </w:r>
      <w:r>
        <w:rPr>
          <w:rFonts w:ascii="Garamond" w:cs="Garamond" w:eastAsia="Garamond" w:hAnsi="Garamond"/>
          <w:b/>
          <w:bCs/>
          <w:i w:val="false"/>
          <w:iCs w:val="false"/>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520"/>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a statute that is constitutionally permissible but poor policy is not the court's concern. Where a statute is ambiguous, courts apply the interpretation most consistent with this constitution. Courts may not rewrite clear statutory language. Inspectorate findings published to the NRS are admissible and must be given due consideration; where a court's conclusions differ from a prior finding, the court must address the inconsistency in its written decision. The SC has original jurisdiction over constitutional disputes between States, between a State and the federal government, and over constitutional challenges to federal statutes. A four-justice emergency panel drawn by rotation holds jurisdiction over constitutional challenges to immediate defensive military authority under §2.2 during active operations and must rule within the period defined by statute.</w:t>
      </w:r>
    </w:p>
    <w:p>
      <w:pPr>
        <w:spacing w:after="60" w:before="200"/>
        <w:ind w:left="431"/>
        <w:jc w:val="left"/>
      </w:pPr>
      <w:r>
        <w:rPr>
          <w:rFonts w:ascii="Courier New" w:cs="Courier New" w:eastAsia="Courier New" w:hAnsi="Courier New"/>
          <w:b/>
          <w:bCs/>
          <w:color w:val="1B2A4A"/>
          <w:sz w:val="18"/>
          <w:szCs w:val="18"/>
        </w:rPr>
        <w:t xml:space="preserve">§4.6  </w:t>
      </w:r>
      <w:r>
        <w:rPr>
          <w:rFonts w:ascii="Garamond" w:cs="Garamond" w:eastAsia="Garamond" w:hAnsi="Garamond"/>
          <w:b/>
          <w:bCs/>
          <w:i w:val="false"/>
          <w:iCs w:val="false"/>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§15.6.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spacing w:after="60" w:before="200"/>
        <w:ind w:left="431"/>
        <w:jc w:val="left"/>
      </w:pPr>
      <w:r>
        <w:rPr>
          <w:rFonts w:ascii="Courier New" w:cs="Courier New" w:eastAsia="Courier New" w:hAnsi="Courier New"/>
          <w:b/>
          <w:bCs/>
          <w:color w:val="1B2A4A"/>
          <w:sz w:val="18"/>
          <w:szCs w:val="18"/>
        </w:rPr>
        <w:t xml:space="preserve">§4.7  </w:t>
      </w:r>
      <w:r>
        <w:rPr>
          <w:rFonts w:ascii="Garamond" w:cs="Garamond" w:eastAsia="Garamond" w:hAnsi="Garamond"/>
          <w:b/>
          <w:bCs/>
          <w:i w:val="false"/>
          <w:iCs w:val="false"/>
          <w:color w:val="1B2A4A"/>
          <w:sz w:val="22"/>
          <w:szCs w:val="22"/>
        </w:rPr>
        <w:t xml:space="preserve">Jury Service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are required to serve on juries when called. Jury service is compensated at a rate the Legislature defines by statute. Unexcused refusal is subject to civil consequences the Legislature defines. Jury service does not constitute forced labour under §1.4.</w:t>
      </w:r>
    </w:p>
    <w:p>
      <w:pPr>
        <w:spacing w:after="60" w:before="200"/>
        <w:jc w:val="left"/>
      </w:pPr>
      <w:r>
        <w:rPr>
          <w:rFonts w:ascii="Garamond" w:cs="Garamond" w:eastAsia="Garamond" w:hAnsi="Garamond"/>
          <w:b/>
          <w:bCs/>
          <w:i w:val="false"/>
          <w:iCs w:val="false"/>
          <w:color w:val="1B2A4A"/>
          <w:sz w:val="34"/>
          <w:szCs w:val="34"/>
        </w:rPr>
        <w:t xml:space="preserve">Article V — Citizenship and National Identity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§5.1  </w:t>
      </w:r>
      <w:r>
        <w:rPr>
          <w:rFonts w:ascii="Garamond" w:cs="Garamond" w:eastAsia="Garamond" w:hAnsi="Garamond"/>
          <w:b/>
          <w:bCs/>
          <w:i w:val="false"/>
          <w:iCs w:val="false"/>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Citizenship is acquired by birth, by parentage, or by naturalization. A child is automatically a citizen if at least one parent is a citizen or legal resident at birth. Children of citizens are Inhabitants from birth with full Article I protections; full citizenship rights activate at 18. Where a child would otherwise be stateless, citizenship is granted regardless of parental status. No citizenship may be stripped from a natural-born citizen. Where a child born on Republic territory would hold no other citizenship, they are eligible for legal residency from birth, with all Inhabitant years counting toward the naturalization residency requirement.</w:t>
      </w:r>
    </w:p>
    <w:p>
      <w:pPr>
        <w:spacing w:after="60" w:before="200"/>
        <w:ind w:left="431"/>
        <w:jc w:val="left"/>
      </w:pPr>
      <w:r>
        <w:rPr>
          <w:rFonts w:ascii="Courier New" w:cs="Courier New" w:eastAsia="Courier New" w:hAnsi="Courier New"/>
          <w:b/>
          <w:bCs/>
          <w:color w:val="1B2A4A"/>
          <w:sz w:val="18"/>
          <w:szCs w:val="18"/>
        </w:rPr>
        <w:t xml:space="preserve">§5.1.c  </w:t>
      </w:r>
      <w:r>
        <w:rPr>
          <w:rFonts w:ascii="Garamond" w:cs="Garamond" w:eastAsia="Garamond" w:hAnsi="Garamond"/>
          <w:b/>
          <w:bCs/>
          <w:i w:val="false"/>
          <w:iCs w:val="false"/>
          <w:color w:val="1B2A4A"/>
          <w:sz w:val="22"/>
          <w:szCs w:val="22"/>
        </w:rPr>
        <w:t xml:space="preserve">Naturalization and Service Path</w:t>
      </w:r>
    </w:p>
    <w:p>
      <w:pPr>
        <w:spacing w:after="120" w:before="0"/>
        <w:ind w:left="431"/>
        <w:jc w:val="both"/>
      </w:pPr>
      <w:r>
        <w:rPr>
          <w:rFonts w:ascii="Garamond" w:cs="Garamond" w:eastAsia="Garamond" w:hAnsi="Garamond"/>
          <w:b w:val="false"/>
          <w:bCs w:val="false"/>
          <w:i w:val="false"/>
          <w:iCs w:val="false"/>
          <w:color w:val="2a2520"/>
          <w:sz w:val="22"/>
          <w:szCs w:val="22"/>
        </w:rPr>
        <w:t xml:space="preserve">A legal resident may earn citizenship after the continuous residency period and clean legal record established by statute, upon passing the Constitutional Logic Test (CLT). A legal resident may alternatively earn citizenship through honorable completion of military or national service. The CLT tests knowledge of constitutional principles and civic structure — not political opinions or cultural loyalty. The CLT is administered by a statutory independent agency under §3.9. No citizenship may be revoked as punishment once granted; the Republic may not manufacture statelessness as a punitive tool.</w:t>
      </w:r>
    </w:p>
    <w:p>
      <w:pPr>
        <w:spacing w:after="60" w:before="200"/>
        <w:ind w:left="431"/>
        <w:jc w:val="left"/>
      </w:pPr>
      <w:r>
        <w:rPr>
          <w:rFonts w:ascii="Courier New" w:cs="Courier New" w:eastAsia="Courier New" w:hAnsi="Courier New"/>
          <w:b/>
          <w:bCs/>
          <w:color w:val="1B2A4A"/>
          <w:sz w:val="18"/>
          <w:szCs w:val="18"/>
        </w:rPr>
        <w:t xml:space="preserve">§5.1.f  </w:t>
      </w:r>
      <w:r>
        <w:rPr>
          <w:rFonts w:ascii="Garamond" w:cs="Garamond" w:eastAsia="Garamond" w:hAnsi="Garamond"/>
          <w:b/>
          <w:bCs/>
          <w:i w:val="false"/>
          <w:iCs w:val="false"/>
          <w:color w:val="1B2A4A"/>
          <w:sz w:val="22"/>
          <w:szCs w:val="22"/>
        </w:rPr>
        <w:t xml:space="preserve">Derivative and Founding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 child born before a parent acquired legal residency or citizenship, who accompanies that parent to the Republic within a Legislature-defined window, receives derivative status. All individuals holding voting rights on Day Zero of ratification are automatically granted full citizenship as founding members of the Republic without testing or application.</w:t>
      </w:r>
    </w:p>
    <w:p>
      <w:pPr>
        <w:spacing w:after="60" w:before="200"/>
        <w:ind w:left="431"/>
        <w:jc w:val="left"/>
      </w:pPr>
      <w:r>
        <w:rPr>
          <w:rFonts w:ascii="Courier New" w:cs="Courier New" w:eastAsia="Courier New" w:hAnsi="Courier New"/>
          <w:b/>
          <w:bCs/>
          <w:color w:val="1B2A4A"/>
          <w:sz w:val="18"/>
          <w:szCs w:val="18"/>
        </w:rPr>
        <w:t xml:space="preserve">§5.2  </w:t>
      </w:r>
      <w:r>
        <w:rPr>
          <w:rFonts w:ascii="Garamond" w:cs="Garamond" w:eastAsia="Garamond" w:hAnsi="Garamond"/>
          <w:b/>
          <w:bCs/>
          <w:i w:val="false"/>
          <w:iCs w:val="false"/>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Legal residents hold a Residency Credential allowing them to work, enter contracts, own property, and access social state systems under Article X.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1B2A4A"/>
          <w:sz w:val="18"/>
          <w:szCs w:val="18"/>
        </w:rPr>
        <w:t xml:space="preserve">§5.3  </w:t>
      </w:r>
      <w:r>
        <w:rPr>
          <w:rFonts w:ascii="Garamond" w:cs="Garamond" w:eastAsia="Garamond" w:hAnsi="Garamond"/>
          <w:b/>
          <w:bCs/>
          <w:i w:val="false"/>
          <w:iCs w:val="false"/>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spacing w:after="60" w:before="200"/>
        <w:jc w:val="left"/>
      </w:pPr>
      <w:r>
        <w:rPr>
          <w:rFonts w:ascii="Garamond" w:cs="Garamond" w:eastAsia="Garamond" w:hAnsi="Garamond"/>
          <w:b/>
          <w:bCs/>
          <w:i w:val="false"/>
          <w:iCs w:val="false"/>
          <w:color w:val="1B2A4A"/>
          <w:sz w:val="34"/>
          <w:szCs w:val="34"/>
        </w:rPr>
        <w:t xml:space="preserve">Article VI — Immigration and Residency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§6.1  </w:t>
      </w:r>
      <w:r>
        <w:rPr>
          <w:rFonts w:ascii="Garamond" w:cs="Garamond" w:eastAsia="Garamond" w:hAnsi="Garamond"/>
          <w:b/>
          <w:bCs/>
          <w:i w:val="false"/>
          <w:iCs w:val="false"/>
          <w:color w:val="1B2A4A"/>
          <w:sz w:val="22"/>
          <w:szCs w:val="22"/>
        </w:rPr>
        <w:t xml:space="preserve">The Dual-Gate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immigration application must clear two sequential gates: Gate 1 (State sponsorship) and Gate 2 (federal certification). Legal residency requires passing both gates. States retain discretion over whom they sponsor but may not apply sponsorship criteria that violate §1.6. Federal certification covers four statutory categories only: identity verification, criminal history, national security assessment, and self-sufficiency or support guarantee — no ideological screening or nationality-based quotas. Any denial must specify the precise ground in writing. Once an applicant clears both gates, the President must ministerially issue residency credentials; Presidential interference with credential issuance is constitutionally prohibited. The Legislature may establish a Federal Sponsorship Category where federal agencies serve as Gate 1 sponsors for applicants serving a defined federal interest; this does not bypass Gate 2. The Legislature may set aggregate limits on total applications received and processed in any period, provided limits are applied without §1.6 discrimination. Asylum proceedings under §6.4 are exempt from Gate 1 — no State's refusal to sponsor can extinguish a §1.28 asylum claim.</w:t>
      </w:r>
    </w:p>
    <w:p>
      <w:pPr>
        <w:spacing w:after="60" w:before="200"/>
        <w:ind w:left="431"/>
        <w:jc w:val="left"/>
      </w:pPr>
      <w:r>
        <w:rPr>
          <w:rFonts w:ascii="Courier New" w:cs="Courier New" w:eastAsia="Courier New" w:hAnsi="Courier New"/>
          <w:b/>
          <w:bCs/>
          <w:color w:val="1B2A4A"/>
          <w:sz w:val="18"/>
          <w:szCs w:val="18"/>
        </w:rPr>
        <w:t xml:space="preserve">§6.2  </w:t>
      </w:r>
      <w:r>
        <w:rPr>
          <w:rFonts w:ascii="Garamond" w:cs="Garamond" w:eastAsia="Garamond" w:hAnsi="Garamond"/>
          <w:b/>
          <w:bCs/>
          <w:i w:val="false"/>
          <w:iCs w:val="false"/>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520"/>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Gate 2 denials are judicially challengeable on three grounds: criterion outside the four certified categories; discriminatory grounds contrary to §1.6; or procedural violation affecting the outcome. Gate 1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Where Gate 2 is denied on national security grounds, a reviewing court may examine the classified assessment in camera to determine whether it constitutes a credible, specific, and documented security concern.</w:t>
      </w:r>
    </w:p>
    <w:p>
      <w:pPr>
        <w:spacing w:after="60" w:before="200"/>
        <w:ind w:left="431"/>
        <w:jc w:val="left"/>
      </w:pPr>
      <w:r>
        <w:rPr>
          <w:rFonts w:ascii="Courier New" w:cs="Courier New" w:eastAsia="Courier New" w:hAnsi="Courier New"/>
          <w:b/>
          <w:bCs/>
          <w:color w:val="1B2A4A"/>
          <w:sz w:val="18"/>
          <w:szCs w:val="18"/>
        </w:rPr>
        <w:t xml:space="preserve">§6.4  </w:t>
      </w:r>
      <w:r>
        <w:rPr>
          <w:rFonts w:ascii="Garamond" w:cs="Garamond" w:eastAsia="Garamond" w:hAnsi="Garamond"/>
          <w:b/>
          <w:bCs/>
          <w:i w:val="false"/>
          <w:iCs w:val="false"/>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Asylum proceedings operate on a separate constitutional track from the dual-gate system. Any person who files an asylum claim under §1.28 is an Inhabitant from the date of filing — entitled to Article I protections and social state access. Claims must be determined before any removal order takes effect. Where the Asylum Court grants protection, the person receives federal residency credentials by operation of that grant; Gate 1 and Gate 2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a written decision with grounds, and a right of appeal — regardless of point of entry. The asylum proceedings statute must ensure accessibility to persons in Territories and geographically remote areas.</w:t>
      </w:r>
    </w:p>
    <w:p>
      <w:pPr>
        <w:spacing w:after="60" w:before="200"/>
        <w:ind w:left="431"/>
        <w:jc w:val="left"/>
      </w:pPr>
      <w:r>
        <w:rPr>
          <w:rFonts w:ascii="Courier New" w:cs="Courier New" w:eastAsia="Courier New" w:hAnsi="Courier New"/>
          <w:b/>
          <w:bCs/>
          <w:color w:val="1B2A4A"/>
          <w:sz w:val="18"/>
          <w:szCs w:val="18"/>
        </w:rPr>
        <w:t xml:space="preserve">§6.4.c  </w:t>
      </w:r>
      <w:r>
        <w:rPr>
          <w:rFonts w:ascii="Garamond" w:cs="Garamond" w:eastAsia="Garamond" w:hAnsi="Garamond"/>
          <w:b/>
          <w:bCs/>
          <w:i w:val="false"/>
          <w:iCs w:val="false"/>
          <w:color w:val="1B2A4A"/>
          <w:sz w:val="22"/>
          <w:szCs w:val="22"/>
        </w:rPr>
        <w:t xml:space="preserve">Asylum Court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60" w:before="200"/>
        <w:ind w:left="431"/>
        <w:jc w:val="left"/>
      </w:pPr>
      <w:r>
        <w:rPr>
          <w:rFonts w:ascii="Courier New" w:cs="Courier New" w:eastAsia="Courier New" w:hAnsi="Courier New"/>
          <w:b/>
          <w:bCs/>
          <w:color w:val="1B2A4A"/>
          <w:sz w:val="18"/>
          <w:szCs w:val="18"/>
        </w:rPr>
        <w:t xml:space="preserve">§6.4.e  </w:t>
      </w:r>
      <w:r>
        <w:rPr>
          <w:rFonts w:ascii="Garamond" w:cs="Garamond" w:eastAsia="Garamond" w:hAnsi="Garamond"/>
          <w:b/>
          <w:bCs/>
          <w:i w:val="false"/>
          <w:iCs w:val="false"/>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§1.28. Indefinite stateless detention is constitutionally prohibited. Where the Asylum Court grants §1.28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SC review.</w:t>
      </w:r>
    </w:p>
    <w:p>
      <w:pPr>
        <w:spacing w:after="60" w:before="200"/>
        <w:ind w:left="431"/>
        <w:jc w:val="left"/>
      </w:pPr>
      <w:r>
        <w:rPr>
          <w:rFonts w:ascii="Courier New" w:cs="Courier New" w:eastAsia="Courier New" w:hAnsi="Courier New"/>
          <w:b/>
          <w:bCs/>
          <w:color w:val="1B2A4A"/>
          <w:sz w:val="18"/>
          <w:szCs w:val="18"/>
        </w:rPr>
        <w:t xml:space="preserve">§6.4.h  </w:t>
      </w:r>
      <w:r>
        <w:rPr>
          <w:rFonts w:ascii="Garamond" w:cs="Garamond" w:eastAsia="Garamond" w:hAnsi="Garamond"/>
          <w:b/>
          <w:bCs/>
          <w:i w:val="false"/>
          <w:iCs w:val="false"/>
          <w:color w:val="1B2A4A"/>
          <w:sz w:val="22"/>
          <w:szCs w:val="22"/>
        </w:rPr>
        <w:t xml:space="preserve">Unaccompanied Minors</w:t>
      </w:r>
    </w:p>
    <w:p>
      <w:pPr>
        <w:spacing w:after="120" w:before="0"/>
        <w:ind w:left="431"/>
        <w:jc w:val="both"/>
      </w:pPr>
      <w:r>
        <w:rPr>
          <w:rFonts w:ascii="Garamond" w:cs="Garamond" w:eastAsia="Garamond" w:hAnsi="Garamond"/>
          <w:b w:val="false"/>
          <w:bCs w:val="false"/>
          <w:i w:val="false"/>
          <w:iCs w:val="false"/>
          <w:color w:val="2a2520"/>
          <w:sz w:val="22"/>
          <w:szCs w:val="22"/>
        </w:rPr>
        <w:t xml:space="preserve">An unaccompanied minor arriving in the Republic is an Inhabitant from the moment of contact and holds full §1.28 protection. A federal legal guardian must be appointed within 24 hours. No unaccompanied minor may be detained in a facility not specifically designated and resourced for children.</w:t>
      </w:r>
    </w:p>
    <w:p>
      <w:pPr>
        <w:spacing w:after="60" w:before="200"/>
        <w:jc w:val="left"/>
      </w:pPr>
      <w:r>
        <w:rPr>
          <w:rFonts w:ascii="Garamond" w:cs="Garamond" w:eastAsia="Garamond" w:hAnsi="Garamond"/>
          <w:b/>
          <w:bCs/>
          <w:i w:val="false"/>
          <w:iCs w:val="false"/>
          <w:color w:val="1B2A4A"/>
          <w:sz w:val="34"/>
          <w:szCs w:val="34"/>
        </w:rPr>
        <w:t xml:space="preserve">Article VII — Elections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§7.1  </w:t>
      </w:r>
      <w:r>
        <w:rPr>
          <w:rFonts w:ascii="Garamond" w:cs="Garamond" w:eastAsia="Garamond" w:hAnsi="Garamond"/>
          <w:b/>
          <w:bCs/>
          <w:i w:val="false"/>
          <w:iCs w:val="false"/>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520"/>
          <w:sz w:val="22"/>
          <w:szCs w:val="22"/>
        </w:rPr>
        <w:t xml:space="preserve">Every eligible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state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1B2A4A"/>
          <w:sz w:val="18"/>
          <w:szCs w:val="18"/>
        </w:rPr>
        <w:t xml:space="preserve">§7.2  </w:t>
      </w:r>
      <w:r>
        <w:rPr>
          <w:rFonts w:ascii="Garamond" w:cs="Garamond" w:eastAsia="Garamond" w:hAnsi="Garamond"/>
          <w:b/>
          <w:bCs/>
          <w:i w:val="false"/>
          <w:iCs w:val="false"/>
          <w:color w:val="1B2A4A"/>
          <w:sz w:val="22"/>
          <w:szCs w:val="22"/>
        </w:rPr>
        <w:t xml:space="preserve">Presidential Election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President is elected through two concurrent requirements: a national RCV majority and a State plurality qualification. A candidate wins outright by satisfying both. Where a candidate's national RCV majority reaches or exceeds 60% of active ballots, the State plurality requirement is waived. Where no candidate wins outright, a runoff is conducted between the two candidates with the highest national first-preference totals, determined by national RCV only with no State plurality requirement. The Elections Panel of the Digital Infrastructure Commission administers and certifies all presidential elections. Territory citizens vote in presidential elections and their votes count in the national RCV total; Territories are not included in the State plurality calculation.</w:t>
      </w:r>
    </w:p>
    <w:p>
      <w:pPr>
        <w:spacing w:after="60" w:before="200"/>
        <w:ind w:left="431"/>
        <w:jc w:val="left"/>
      </w:pPr>
      <w:r>
        <w:rPr>
          <w:rFonts w:ascii="Courier New" w:cs="Courier New" w:eastAsia="Courier New" w:hAnsi="Courier New"/>
          <w:b/>
          <w:bCs/>
          <w:color w:val="1B2A4A"/>
          <w:sz w:val="18"/>
          <w:szCs w:val="18"/>
        </w:rPr>
        <w:t xml:space="preserve">§7.2.b  </w:t>
      </w:r>
      <w:r>
        <w:rPr>
          <w:rFonts w:ascii="Garamond" w:cs="Garamond" w:eastAsia="Garamond" w:hAnsi="Garamond"/>
          <w:b/>
          <w:bCs/>
          <w:i w:val="false"/>
          <w:iCs w:val="false"/>
          <w:color w:val="1B2A4A"/>
          <w:sz w:val="22"/>
          <w:szCs w:val="22"/>
        </w:rPr>
        <w:t xml:space="preserve">State Plurality Requirement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No transfer of presidential authority may be delayed beyond the constitutional transition provisions.</w:t>
      </w:r>
    </w:p>
    <w:p>
      <w:pPr>
        <w:spacing w:after="60" w:before="200"/>
        <w:ind w:left="431"/>
        <w:jc w:val="left"/>
      </w:pPr>
      <w:r>
        <w:rPr>
          <w:rFonts w:ascii="Courier New" w:cs="Courier New" w:eastAsia="Courier New" w:hAnsi="Courier New"/>
          <w:b/>
          <w:bCs/>
          <w:color w:val="1B2A4A"/>
          <w:sz w:val="18"/>
          <w:szCs w:val="18"/>
        </w:rPr>
        <w:t xml:space="preserve">§7.3  </w:t>
      </w:r>
      <w:r>
        <w:rPr>
          <w:rFonts w:ascii="Garamond" w:cs="Garamond" w:eastAsia="Garamond" w:hAnsi="Garamond"/>
          <w:b/>
          <w:bCs/>
          <w:i w:val="false"/>
          <w:iCs w:val="false"/>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elections are held at regular intervals: House elections every two years; Senate elections on the staggered six-year cycle; presidential elections every four years. All federal elections use Ranked Choice Voting — majority required, not plurality — except the presidential election which follows §7.2. The Legislature defines by statute the specific timing, duration, and structure of the federal electoral period within these constitutional floors. All federal elections, referenda, and confirmation votes are administered by the Elections Panel of the Digital Infrastructure Commission using the National Voting System, free from executive interference. The President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its constitutional standards. Special elections for vacancies are administered by the Elections Panel under procedures established by statute.</w:t>
      </w:r>
    </w:p>
    <w:p>
      <w:pPr>
        <w:spacing w:after="60" w:before="200"/>
        <w:jc w:val="left"/>
      </w:pPr>
      <w:r>
        <w:rPr>
          <w:rFonts w:ascii="Garamond" w:cs="Garamond" w:eastAsia="Garamond" w:hAnsi="Garamond"/>
          <w:b/>
          <w:bCs/>
          <w:i w:val="false"/>
          <w:iCs w:val="false"/>
          <w:color w:val="1B2A4A"/>
          <w:sz w:val="34"/>
          <w:szCs w:val="34"/>
        </w:rPr>
        <w:t xml:space="preserve">Article VIII — Inspectorates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  </w:t>
      </w:r>
      <w:r>
        <w:rPr>
          <w:rFonts w:ascii="Garamond" w:cs="Garamond" w:eastAsia="Garamond" w:hAnsi="Garamond"/>
          <w:b/>
          <w:bCs/>
          <w:i w:val="false"/>
          <w:iCs w:val="false"/>
          <w:color w:val="1B2A4A"/>
          <w:sz w:val="22"/>
          <w:szCs w:val="22"/>
        </w:rPr>
        <w:t xml:space="preserve">Three Inspectorates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three constitutionally independent Inspectorates — Legislative (LI), Executive (EI), and Judicial (JI) — each selected by bodies other than those it oversees. The Inspectorates hold an information-only mandate: they publish findings but do not issue binding orders. Each Inspector General serves a 10-year non-renewable term with a constitutionally protected funding floor.</w:t>
      </w:r>
    </w:p>
    <w:p>
      <w:pPr>
        <w:spacing w:after="60" w:before="200"/>
        <w:ind w:left="431"/>
        <w:jc w:val="left"/>
      </w:pPr>
      <w:r>
        <w:rPr>
          <w:rFonts w:ascii="Courier New" w:cs="Courier New" w:eastAsia="Courier New" w:hAnsi="Courier New"/>
          <w:b/>
          <w:bCs/>
          <w:color w:val="1B2A4A"/>
          <w:sz w:val="18"/>
          <w:szCs w:val="18"/>
        </w:rPr>
        <w:t xml:space="preserve">§8.1.a  </w:t>
      </w:r>
      <w:r>
        <w:rPr>
          <w:rFonts w:ascii="Garamond" w:cs="Garamond" w:eastAsia="Garamond" w:hAnsi="Garamond"/>
          <w:b/>
          <w:bCs/>
          <w:i w:val="false"/>
          <w:iCs w:val="false"/>
          <w:color w:val="1B2A4A"/>
          <w:sz w:val="22"/>
          <w:szCs w:val="22"/>
        </w:rPr>
        <w:t xml:space="preserve">The Legislative Inspectorate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audits the Legislature for fiscal accuracy and constitutional compliance. Responsibilities include auditing the population census for constitutional compliance; reviewing House district maps against §3.3 criteria and publishing germaneness analyses; determining referendum eligibility; certifying legislative mandate compliance; and publishing an annual compliance report to the NRS.</w:t>
      </w:r>
    </w:p>
    <w:p>
      <w:pPr>
        <w:spacing w:after="60" w:before="200"/>
        <w:ind w:left="431"/>
        <w:jc w:val="left"/>
      </w:pPr>
      <w:r>
        <w:rPr>
          <w:rFonts w:ascii="Courier New" w:cs="Courier New" w:eastAsia="Courier New" w:hAnsi="Courier New"/>
          <w:b/>
          <w:bCs/>
          <w:color w:val="1B2A4A"/>
          <w:sz w:val="18"/>
          <w:szCs w:val="18"/>
        </w:rPr>
        <w:t xml:space="preserve">§8.1.b  </w:t>
      </w:r>
      <w:r>
        <w:rPr>
          <w:rFonts w:ascii="Garamond" w:cs="Garamond" w:eastAsia="Garamond" w:hAnsi="Garamond"/>
          <w:b/>
          <w:bCs/>
          <w:i w:val="false"/>
          <w:iCs w:val="false"/>
          <w:color w:val="1B2A4A"/>
          <w:sz w:val="22"/>
          <w:szCs w:val="22"/>
        </w:rPr>
        <w:t xml:space="preserve">The Executive Inspectorate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audits both executives and the Monetary Authority. Annual responsibilities include: military compliance assessment covering whether tier authorizations were followed, whether the §2.3 intelligence warrant requirement was maintained, and whether fund certifications were observed; publishing clemency background reports before any executive act; reviewing disclosure records for constitutional appointments; and auditing electoral finance within the period defined by statute following any election.</w:t>
      </w:r>
    </w:p>
    <w:p>
      <w:pPr>
        <w:spacing w:after="60" w:before="200"/>
        <w:ind w:left="431"/>
        <w:jc w:val="left"/>
      </w:pPr>
      <w:r>
        <w:rPr>
          <w:rFonts w:ascii="Courier New" w:cs="Courier New" w:eastAsia="Courier New" w:hAnsi="Courier New"/>
          <w:b/>
          <w:bCs/>
          <w:color w:val="1B2A4A"/>
          <w:sz w:val="18"/>
          <w:szCs w:val="18"/>
        </w:rPr>
        <w:t xml:space="preserve">§8.1.c  </w:t>
      </w:r>
      <w:r>
        <w:rPr>
          <w:rFonts w:ascii="Garamond" w:cs="Garamond" w:eastAsia="Garamond" w:hAnsi="Garamond"/>
          <w:b/>
          <w:bCs/>
          <w:i w:val="false"/>
          <w:iCs w:val="false"/>
          <w:color w:val="1B2A4A"/>
          <w:sz w:val="22"/>
          <w:szCs w:val="22"/>
        </w:rPr>
        <w:t xml:space="preserve">The Judicial Inspectorate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audits the courts for judicial scope and independence. The JI certifies eligibility for the SC Candidate Registry under §8.4.e and confirms registry status for SC nominees, and conducts annual audits of the Elections Panel for electoral integrity compliance. The JI reviews accommodation compact compliance, Associated Community compact compliance under Article XX, and Article XIV indigenous compact obligations. The JI's lottery-based selection makes it the appropriate body to administer all constitutional lottery draws and candidate certification functions throughout the Republic.</w:t>
      </w:r>
    </w:p>
    <w:p>
      <w:pPr>
        <w:spacing w:after="60" w:before="200"/>
        <w:ind w:left="431"/>
        <w:jc w:val="left"/>
      </w:pPr>
      <w:r>
        <w:rPr>
          <w:rFonts w:ascii="Courier New" w:cs="Courier New" w:eastAsia="Courier New" w:hAnsi="Courier New"/>
          <w:b/>
          <w:bCs/>
          <w:color w:val="1B2A4A"/>
          <w:sz w:val="18"/>
          <w:szCs w:val="18"/>
        </w:rPr>
        <w:t xml:space="preserve">§8.1.d  </w:t>
      </w:r>
      <w:r>
        <w:rPr>
          <w:rFonts w:ascii="Garamond" w:cs="Garamond" w:eastAsia="Garamond" w:hAnsi="Garamond"/>
          <w:b/>
          <w:bCs/>
          <w:color w:val="1B2A4A"/>
          <w:sz w:val="22"/>
          <w:szCs w:val="22"/>
        </w:rPr>
        <w:t xml:space="preserve">IG Term Expiry and Incapacity</w:t>
      </w:r>
    </w:p>
    <w:p>
      <w:pPr>
        <w:spacing w:after="120" w:before="0"/>
        <w:ind w:left="431"/>
        <w:jc w:val="both"/>
      </w:pPr>
      <w:r>
        <w:rPr>
          <w:rFonts w:ascii="Garamond" w:cs="Garamond" w:eastAsia="Garamond" w:hAnsi="Garamond"/>
          <w:b w:val="false"/>
          <w:bCs w:val="false"/>
          <w:i w:val="false"/>
          <w:iCs w:val="false"/>
          <w:color w:val="2a2520"/>
          <w:sz w:val="22"/>
          <w:szCs w:val="22"/>
        </w:rPr>
        <w:t xml:space="preserve">An IG’s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Inspectorate’s candidate pool by continuous pool tenure who accepts designation serves as Acting Inspector General until a successor is confirmed under §8.3. The Acting IG holds full constitutional authority of the office. The Acting IG is not eligible for permanent appointment to the position in which they serve; upon conclusion of acting service they return to the candidate pool. The JIC certifies the designation and both executives are notified immediately; notice does not condition the designation’s effectiveness. Pool membership satisfies the eligibility requirement of §1.31. Where an IG is certified incapacitated by the other two Inspectorates jointly, the incapacitated IG’s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1B2A4A"/>
          <w:sz w:val="18"/>
          <w:szCs w:val="18"/>
        </w:rPr>
        <w:t xml:space="preserve">§8.2  </w:t>
      </w:r>
      <w:r>
        <w:rPr>
          <w:rFonts w:ascii="Garamond" w:cs="Garamond" w:eastAsia="Garamond" w:hAnsi="Garamond"/>
          <w:b/>
          <w:bCs/>
          <w:i w:val="false"/>
          <w:iCs w:val="false"/>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520"/>
          <w:sz w:val="22"/>
          <w:szCs w:val="22"/>
        </w:rPr>
        <w:t xml:space="preserve">Each Inspectorate is constituted through a process that structurally excludes the body being watched from selecting its watchers. The SC nominates the LI Inspector General, confirmed by Senate 2/3 supermajority — the Legislature is entirely excluded. The House nominates the EI Inspector General, confirmed by Senate 2/3 supermajority with JI vetting — the executives are excluded, and the 2/3 threshold prevents confirmation without cross-party Senate support. The JI Inspector General is selected by public lottery from a pool of former judges certified by the LI and EI — the JI has no role in constituting or certifying its own candidate pool.</w:t>
      </w:r>
    </w:p>
    <w:p>
      <w:pPr>
        <w:spacing w:after="60" w:before="200"/>
        <w:ind w:left="431"/>
        <w:jc w:val="left"/>
      </w:pPr>
      <w:r>
        <w:rPr>
          <w:rFonts w:ascii="Courier New" w:cs="Courier New" w:eastAsia="Courier New" w:hAnsi="Courier New"/>
          <w:b/>
          <w:bCs/>
          <w:color w:val="1B2A4A"/>
          <w:sz w:val="18"/>
          <w:szCs w:val="18"/>
        </w:rPr>
        <w:t xml:space="preserve">§8.3  </w:t>
      </w:r>
      <w:r>
        <w:rPr>
          <w:rFonts w:ascii="Garamond" w:cs="Garamond" w:eastAsia="Garamond" w:hAnsi="Garamond"/>
          <w:b/>
          <w:bCs/>
          <w:i w:val="false"/>
          <w:iCs w:val="false"/>
          <w:color w:val="1B2A4A"/>
          <w:sz w:val="22"/>
          <w:szCs w:val="22"/>
        </w:rPr>
        <w:t xml:space="preserve">Inspector General Selection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LI IG is nominated by the SC from a pool of qualified candidates maintained by the Elections Panel, sufficiently in advance under the timeline defined by statute to ensure confirmation is complete before the transition under §1.31; confirmed by national popular vote at the next federal electoral period following nomination, by simple majority of votes cast. The confirmed successor assumes full IG authority at the precise moment the incumbent’s term concludes under §1.31. If the confirmation vote fails, the §8.1.d acting mechanism activates and the SC initiates a new nomination from the pool within 60 days. The EI IG is nominated by the House from a pool of qualified candidates maintained by the Elections Panel, sufficiently in advance under the timeline defined by statute under §1.31; confirmed by national popular vote at the next federal electoral period following nomination, by simple majority of votes cast, with JI vetting of the nominee’s disclosure record published before the vote. The same timing and failed-vote provisions apply. The JI IG is selected by public lottery under §8.13 from the JI Candidate Pool under §8.4.a maintained by the Elections Panel, conducted at the statutory timeline under §1.31, sufficiently in advance to ensure seamless succession; no separate confirmation required — the lottery result is the selection and the selected person assumes office at the precise moment the incumbent’s term concludes. All IGs serve 10-year non-renewable terms. No two IG terms may begin within 18 months of each other, ensuring continuous institutional knowledge across offices. The Elections Panel administers all IG confirmation votes as part of the regular federal electoral period ballot.</w:t>
      </w:r>
    </w:p>
    <w:p>
      <w:pPr>
        <w:spacing w:after="60" w:before="200"/>
        <w:ind w:left="431"/>
        <w:jc w:val="left"/>
      </w:pPr>
      <w:r>
        <w:rPr>
          <w:rFonts w:ascii="Courier New" w:cs="Courier New" w:eastAsia="Courier New" w:hAnsi="Courier New"/>
          <w:b/>
          <w:bCs/>
          <w:color w:val="1B2A4A"/>
          <w:sz w:val="18"/>
          <w:szCs w:val="18"/>
        </w:rPr>
        <w:t xml:space="preserve">§8.4  </w:t>
      </w:r>
      <w:r>
        <w:rPr>
          <w:rFonts w:ascii="Garamond" w:cs="Garamond" w:eastAsia="Garamond" w:hAnsi="Garamond"/>
          <w:b/>
          <w:bCs/>
          <w:i w:val="false"/>
          <w:iCs w:val="false"/>
          <w:color w:val="1B2A4A"/>
          <w:sz w:val="22"/>
          <w:szCs w:val="22"/>
        </w:rPr>
        <w:t xml:space="preserve">JI Audit and Certification Mandate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JI holds two constitutional mandates: as auditor, it monitors the court system, certifies eligibility for the SC Candidate Registry maintained by the Elections Panel, and conducts compliance audits across compact obligations; as certification administrator, it certifies lottery draws and panel selections throughout the constitution. Both mandates are information-only.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JI certification may appeal to the Appellate Court within 14 days; the Court reviews only whether eligibility criteria were correctly applied and must rule within 21 days.</w:t>
      </w:r>
    </w:p>
    <w:p>
      <w:pPr>
        <w:spacing w:after="60" w:before="200"/>
        <w:ind w:left="431"/>
        <w:jc w:val="left"/>
      </w:pPr>
      <w:r>
        <w:rPr>
          <w:rFonts w:ascii="Courier New" w:cs="Courier New" w:eastAsia="Courier New" w:hAnsi="Courier New"/>
          <w:b/>
          <w:bCs/>
          <w:color w:val="1B2A4A"/>
          <w:sz w:val="18"/>
          <w:szCs w:val="18"/>
        </w:rPr>
        <w:t xml:space="preserve">§8.4.a  </w:t>
      </w:r>
      <w:r>
        <w:rPr>
          <w:rFonts w:ascii="Garamond" w:cs="Garamond" w:eastAsia="Garamond" w:hAnsi="Garamond"/>
          <w:b/>
          <w:bCs/>
          <w:i w:val="false"/>
          <w:iCs w:val="false"/>
          <w:color w:val="1B2A4A"/>
          <w:sz w:val="22"/>
          <w:szCs w:val="22"/>
        </w:rPr>
        <w:t xml:space="preserve">Judicial IG Candidate Pool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of the Digital Infrastructure Commission maintains the JI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JI holds no role in constituting or certifying its own candidate pool. The LI certifies each applicant's judicial service record for accuracy; the EI reviews financial disclosure; both certifications are published to the NRS as the pool entry record. The Elections Panel enters an applicant into the pool upon LI and EI certification; it may not exclude a certified applicant. The Joint Inspectorate Council conducts the lottery from the pool in a public session; the outgoing JI IG does not participate. The pool is publicly accessible at all times.</w:t>
      </w:r>
    </w:p>
    <w:p>
      <w:pPr>
        <w:spacing w:after="60" w:before="200"/>
        <w:ind w:left="431"/>
        <w:jc w:val="left"/>
      </w:pPr>
      <w:r>
        <w:rPr>
          <w:rFonts w:ascii="Courier New" w:cs="Courier New" w:eastAsia="Courier New" w:hAnsi="Courier New"/>
          <w:b/>
          <w:bCs/>
          <w:color w:val="1B2A4A"/>
          <w:sz w:val="18"/>
          <w:szCs w:val="18"/>
        </w:rPr>
        <w:t xml:space="preserve">§8.4.e  </w:t>
      </w:r>
      <w:r>
        <w:rPr>
          <w:rFonts w:ascii="Garamond" w:cs="Garamond" w:eastAsia="Garamond" w:hAnsi="Garamond"/>
          <w:b/>
          <w:bCs/>
          <w:i w:val="false"/>
          <w:iCs w:val="false"/>
          <w:color w:val="1B2A4A"/>
          <w:sz w:val="22"/>
          <w:szCs w:val="22"/>
        </w:rPr>
        <w:t xml:space="preserve">Supreme Court Candidate Registry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of the Digital Infrastructure Commission maintains the standing SC Candidate Registry. Any citizen meeting the eligibility criteria — at least 15 years of legal practice or 10 years of judicial service, no current government position, no disqualifying financial interest — may apply directly to the Elections Panel. The JI certifies the eligibility of each applicant against the stated criteria and publishes its certification to the NRS as part of the registry entry. The EI reviews each applicant's financial disclosure for factual accuracy and publishes findings to the NRS alongside the JI certification. The Elections Panel includes an applicant in the registry upon JI certification; it may not exclude a JI-certified applicant. Registry inclusion does not expire unless the JI identifies a disqualifying change in eligibility status. The Registry is publicly accessible on the NRS at all times.</w:t>
      </w:r>
    </w:p>
    <w:p>
      <w:pPr>
        <w:spacing w:after="60" w:before="200"/>
        <w:ind w:left="431"/>
        <w:jc w:val="left"/>
      </w:pPr>
      <w:r>
        <w:rPr>
          <w:rFonts w:ascii="Courier New" w:cs="Courier New" w:eastAsia="Courier New" w:hAnsi="Courier New"/>
          <w:b/>
          <w:bCs/>
          <w:color w:val="1B2A4A"/>
          <w:sz w:val="18"/>
          <w:szCs w:val="18"/>
        </w:rPr>
        <w:t xml:space="preserve">§8.5  </w:t>
      </w:r>
      <w:r>
        <w:rPr>
          <w:rFonts w:ascii="Garamond" w:cs="Garamond" w:eastAsia="Garamond" w:hAnsi="Garamond"/>
          <w:b/>
          <w:bCs/>
          <w:i w:val="false"/>
          <w:iCs w:val="false"/>
          <w:color w:val="1B2A4A"/>
          <w:sz w:val="22"/>
          <w:szCs w:val="22"/>
        </w:rPr>
        <w:t xml:space="preserve">Inspector General Removal</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IG follows §8.15 Standard Track. The Judicial Track under §8.15 is additionally available where two of the three Inspectorates jointly certify for-cause grounds.</w:t>
      </w:r>
    </w:p>
    <w:p>
      <w:pPr>
        <w:spacing w:after="60" w:before="200"/>
        <w:ind w:left="431"/>
        <w:jc w:val="left"/>
      </w:pPr>
      <w:r>
        <w:rPr>
          <w:rFonts w:ascii="Courier New" w:cs="Courier New" w:eastAsia="Courier New" w:hAnsi="Courier New"/>
          <w:b/>
          <w:bCs/>
          <w:color w:val="1B2A4A"/>
          <w:sz w:val="18"/>
          <w:szCs w:val="18"/>
        </w:rPr>
        <w:t xml:space="preserve">§8.6  </w:t>
      </w:r>
      <w:r>
        <w:rPr>
          <w:rFonts w:ascii="Garamond" w:cs="Garamond" w:eastAsia="Garamond" w:hAnsi="Garamond"/>
          <w:b/>
          <w:bCs/>
          <w:i w:val="false"/>
          <w:iCs w:val="false"/>
          <w:color w:val="1B2A4A"/>
          <w:sz w:val="22"/>
          <w:szCs w:val="22"/>
        </w:rPr>
        <w:t xml:space="preserve">Inspectorate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Inspectorates publish findings; they do not issue binding orders or legal determinations. Every finding, report, and discrepancy notice must be published to the NRS permanently and free of charge; no official may suppress, delay, classify, or alter an Inspectorate report before publication. Inspectorate reports are permanently exempt from classification. Where any Inspectorate publishes a Critical Failure finding, the Legislature must publish a remediation plan with actions and timelines within the period defined by statute; failure to publish a remediation plan is a constitutional compliance breach certified by the LI. Any staff member may publish a minority report directly to the NRS if they believe a finding has been improperly omitted or suppressed — staff cannot be disciplined for doing so. All three Inspectorates jointly publish an annual State of the Republic report on a fixed date regardless of whether any political actor requests it. Where a compliance question spans multiple Inspectorate mandates, the Inspectorates may conduct a joint investigation; neither IG may veto the other's contribution. All three Inspectorates have unrestricted access to records, personnel, facilities, and systems within their audit mandate; obstruction is a constitutional breach.</w:t>
      </w:r>
    </w:p>
    <w:p>
      <w:pPr>
        <w:spacing w:after="60" w:before="200"/>
        <w:ind w:left="431"/>
        <w:jc w:val="left"/>
      </w:pPr>
      <w:r>
        <w:rPr>
          <w:rFonts w:ascii="Courier New" w:cs="Courier New" w:eastAsia="Courier New" w:hAnsi="Courier New"/>
          <w:b/>
          <w:bCs/>
          <w:color w:val="1B2A4A"/>
          <w:sz w:val="18"/>
          <w:szCs w:val="18"/>
        </w:rPr>
        <w:t xml:space="preserve">§8.7  </w:t>
      </w:r>
      <w:r>
        <w:rPr>
          <w:rFonts w:ascii="Garamond" w:cs="Garamond" w:eastAsia="Garamond" w:hAnsi="Garamond"/>
          <w:b/>
          <w:bCs/>
          <w:i w:val="false"/>
          <w:iCs w:val="false"/>
          <w:color w:val="1B2A4A"/>
          <w:sz w:val="22"/>
          <w:szCs w:val="22"/>
        </w:rPr>
        <w:t xml:space="preserve">Triggered Investigations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EI may investigate a constitutional officer for dereliction — failure to perform a constitutionally mandated function within the required period where that failure was not caused by circumstances genuinely beyond the officer's control. Political disagreement with a constitutional requirement is not a defence. Dereliction findings are published to the NRS.</w:t>
      </w:r>
    </w:p>
    <w:p>
      <w:pPr>
        <w:spacing w:after="60" w:before="200"/>
        <w:ind w:left="431"/>
        <w:jc w:val="left"/>
      </w:pPr>
      <w:r>
        <w:rPr>
          <w:rFonts w:ascii="Courier New" w:cs="Courier New" w:eastAsia="Courier New" w:hAnsi="Courier New"/>
          <w:b/>
          <w:bCs/>
          <w:color w:val="1B2A4A"/>
          <w:sz w:val="18"/>
          <w:szCs w:val="18"/>
        </w:rPr>
        <w:t xml:space="preserve">§8.8  </w:t>
      </w:r>
      <w:r>
        <w:rPr>
          <w:rFonts w:ascii="Garamond" w:cs="Garamond" w:eastAsia="Garamond" w:hAnsi="Garamond"/>
          <w:b/>
          <w:bCs/>
          <w:i w:val="false"/>
          <w:iCs w:val="false"/>
          <w:color w:val="1B2A4A"/>
          <w:sz w:val="22"/>
          <w:szCs w:val="22"/>
        </w:rPr>
        <w:t xml:space="preserve">EI Annual Military Assessment</w:t>
      </w:r>
    </w:p>
    <w:p>
      <w:pPr>
        <w:spacing w:after="120" w:before="0"/>
        <w:ind w:left="431"/>
        <w:jc w:val="both"/>
      </w:pPr>
      <w:r>
        <w:rPr>
          <w:rFonts w:ascii="Garamond" w:cs="Garamond" w:eastAsia="Garamond" w:hAnsi="Garamond"/>
          <w:b w:val="false"/>
          <w:bCs w:val="false"/>
          <w:i w:val="false"/>
          <w:iCs w:val="false"/>
          <w:color w:val="2a2520"/>
          <w:sz w:val="22"/>
          <w:szCs w:val="22"/>
        </w:rPr>
        <w:t xml:space="preserve">A dedicated section within the EI's annual report covers: whether military operations in the prior year were authorized through the correct tier; whether the §2.3 intelligence warrant requirement was maintained throughout all operations; whether PM fund certifications were obtained and observed; and whether all military orders were published to the NRS within the required period.</w:t>
      </w:r>
    </w:p>
    <w:p>
      <w:pPr>
        <w:spacing w:after="60" w:before="200"/>
        <w:ind w:left="431"/>
        <w:jc w:val="left"/>
      </w:pPr>
      <w:r>
        <w:rPr>
          <w:rFonts w:ascii="Courier New" w:cs="Courier New" w:eastAsia="Courier New" w:hAnsi="Courier New"/>
          <w:b/>
          <w:bCs/>
          <w:color w:val="1B2A4A"/>
          <w:sz w:val="18"/>
          <w:szCs w:val="18"/>
        </w:rPr>
        <w:t xml:space="preserve">§8.9  </w:t>
      </w:r>
      <w:r>
        <w:rPr>
          <w:rFonts w:ascii="Garamond" w:cs="Garamond" w:eastAsia="Garamond" w:hAnsi="Garamond"/>
          <w:b/>
          <w:bCs/>
          <w:i w:val="false"/>
          <w:iCs w:val="false"/>
          <w:color w:val="1B2A4A"/>
          <w:sz w:val="22"/>
          <w:szCs w:val="22"/>
        </w:rPr>
        <w:t xml:space="preserve">Removal Grounds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To initiate a standard track removal vote under §8.15, the charging party — a concurrent resolution of 1/3 of either chamber, or two of the three Inspectorates jointly — must file stated grounds with the SC. The SC determines within 14 days whether the stated grounds constitute at least one statutory removal category for the subject office as defined by the Legislature. If grounds are confirmed, duty suspension activates immediately and the Legislature may proceed to a removal vote. If grounds are not confirmed: the process closes and may not be reinitiated on the same grounds within six months. The SC reviews constitutional category only — it does not assess the factual merits or credibility of the underlying allegations. No per-proceeding panel is required; the SC performs this function directly. The Legislature defines the enumerated removal categories for each constitutionally confirmed office by statute; no removal vote may proceed without the SC’s categorical confirmation under this section.</w:t>
      </w:r>
    </w:p>
    <w:p>
      <w:pPr>
        <w:spacing w:after="60" w:before="200"/>
        <w:ind w:left="431"/>
        <w:jc w:val="left"/>
      </w:pPr>
      <w:r>
        <w:rPr>
          <w:rFonts w:ascii="Courier New" w:cs="Courier New" w:eastAsia="Courier New" w:hAnsi="Courier New"/>
          <w:b/>
          <w:bCs/>
          <w:color w:val="1B2A4A"/>
          <w:sz w:val="18"/>
          <w:szCs w:val="18"/>
        </w:rPr>
        <w:t xml:space="preserve">§8.10  </w:t>
      </w:r>
      <w:r>
        <w:rPr>
          <w:rFonts w:ascii="Garamond" w:cs="Garamond" w:eastAsia="Garamond" w:hAnsi="Garamond"/>
          <w:b/>
          <w:bCs/>
          <w:i w:val="false"/>
          <w:iCs w:val="false"/>
          <w:color w:val="1B2A4A"/>
          <w:sz w:val="22"/>
          <w:szCs w:val="22"/>
        </w:rPr>
        <w:t xml:space="preserve">Inspectorate Minimum Funding Guarantee</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annual appropriation for each Inspectorate may not fall below the prior fiscal year's funding level without a 2/3 vote of both chambers simultaneously. The Monetary Authority certifies each Inspectorate's prior-year funding level annually and publishes the certified floor to the NRS before the Legislature begins its annual budget process.</w:t>
      </w:r>
    </w:p>
    <w:p>
      <w:pPr>
        <w:spacing w:after="60" w:before="200"/>
        <w:ind w:left="431"/>
        <w:jc w:val="left"/>
      </w:pPr>
      <w:r>
        <w:rPr>
          <w:rFonts w:ascii="Courier New" w:cs="Courier New" w:eastAsia="Courier New" w:hAnsi="Courier New"/>
          <w:b/>
          <w:bCs/>
          <w:color w:val="1B2A4A"/>
          <w:sz w:val="18"/>
          <w:szCs w:val="18"/>
        </w:rPr>
        <w:t xml:space="preserve">§8.12  </w:t>
      </w:r>
      <w:r>
        <w:rPr>
          <w:rFonts w:ascii="Garamond" w:cs="Garamond" w:eastAsia="Garamond" w:hAnsi="Garamond"/>
          <w:b/>
          <w:bCs/>
          <w:i w:val="false"/>
          <w:iCs w:val="false"/>
          <w:color w:val="1B2A4A"/>
          <w:sz w:val="22"/>
          <w:szCs w:val="22"/>
        </w:rPr>
        <w:t xml:space="preserve">Joint Inspectorate Council</w:t>
      </w:r>
    </w:p>
    <w:p>
      <w:pPr>
        <w:spacing w:after="120" w:before="0"/>
        <w:ind w:left="431"/>
        <w:jc w:val="both"/>
      </w:pPr>
      <w:r>
        <w:rPr>
          <w:rFonts w:ascii="Garamond" w:cs="Garamond" w:eastAsia="Garamond" w:hAnsi="Garamond"/>
          <w:b w:val="false"/>
          <w:bCs w:val="false"/>
          <w:i w:val="false"/>
          <w:iCs w:val="false"/>
          <w:color w:val="2a2520"/>
          <w:sz w:val="22"/>
          <w:szCs w:val="22"/>
        </w:rPr>
        <w:t xml:space="preserve">The three Inspectors General jointly constitute the JIC as the standing coordination body for matters crossing Inspectorate jurisdictions. The JIC formally houses all jointly certified constitutional functions — including lottery draws and selection processes throughout the constitution. The chair of any joint session is the IG whose domain covers the primary subject matter; where all domains are equally engaged, the chair rotates annually. Where the IGs cannot reach consensus on a joint matter, each publishes their individual assessment and the disagreement is noted in the permanent NRS record. The JIC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For the DIC Administrator Pool specifically, the JIC exercises enhanced oversight given the Elections Panel's administrative interest in its own membership pool: the JIC conducts quarterly review of pool health and certification accuracy; any JIC member may challenge the exclusion of any applicant and the Elections Panel must respond in writing within 14 days; and each pool entry requires joint certification published by the JIC alongside the relevant Inspectorate certification. The JIC has no authority to override the individual mandate of any Inspectorate.</w:t>
      </w:r>
    </w:p>
    <w:p>
      <w:pPr>
        <w:spacing w:after="60" w:before="200"/>
        <w:ind w:left="431"/>
        <w:jc w:val="left"/>
      </w:pPr>
      <w:r>
        <w:rPr>
          <w:rFonts w:ascii="Courier New" w:cs="Courier New" w:eastAsia="Courier New" w:hAnsi="Courier New"/>
          <w:b/>
          <w:bCs/>
          <w:color w:val="1B2A4A"/>
          <w:sz w:val="18"/>
          <w:szCs w:val="18"/>
        </w:rPr>
        <w:t xml:space="preserve">§8.12.a  </w:t>
      </w:r>
      <w:r>
        <w:rPr>
          <w:rFonts w:ascii="Garamond" w:cs="Garamond" w:eastAsia="Garamond" w:hAnsi="Garamond"/>
          <w:b/>
          <w:b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two of the three Inspectorates jointly certify that the third is operating in demonstrable bad faith, they petition the SC directly for confirmation of the finding; the SC rules within 14 days. Upon filing the petition, the two petitioning Inspectorates jointly designate an Acting Inspector General as the longest-tenured member of the affected Inspectorate’s candidate pool who accepts the designation; both executives are notified immediately. The Acting IG assumes all constitutional functions of the compromised Inspectorate from the moment of designation. If the SC does not confirm the finding, the Acting IG stands down and all functions return immediately to the original IG. If confirmed, the Acting IG serves until either the original IG is restored to full function or a new permanent IG is confirmed under §8.3 — whichever occurs first. The Acting IG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1B2A4A"/>
          <w:sz w:val="18"/>
          <w:szCs w:val="18"/>
        </w:rPr>
        <w:t xml:space="preserve">§8.13  </w:t>
      </w:r>
      <w:r>
        <w:rPr>
          <w:rFonts w:ascii="Garamond" w:cs="Garamond" w:eastAsia="Garamond" w:hAnsi="Garamond"/>
          <w:b/>
          <w:bCs/>
          <w:i w:val="false"/>
          <w:iCs w:val="false"/>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The Elections Panel of the Digital Infrastructure Commission maintains all constitutional candidate registries and pools as the administrative keeper of record. The Elections Panel receives applications, stores records, provides public access via the NRS, and enters certified applicants into the relevant registry or pool. The Elections Panel may not exclude any applicant who has been certified as eligible by the appropriate Inspectorate. The appropriate Inspectorate reviews each applicant against the qualification requirements for that registry or pool and publishes a certification to the NRS. Where an office involves significant financial authority, the EI reviews financial disclosure concurrently. Pool records and certifications are public NRS records at all times. The Joint Inspectorate Council conducts the draw in a public session, certifies the result jointly, and publishes it to the NRS. Selection by deliberate nomination: the named officer nominates from certified pool members. Confirmation where required: the Senate must act within the period defined by the establishing provision; failure to confirm within that period is a constitutional compliance breach certified by the LI. The JI monitors all constitutional pools annually and publishes a status report; where a pool falls below its constitutional minimum, the relevant nominating bodies must respond within 30 days.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§8.14  </w:t>
      </w:r>
      <w:r>
        <w:rPr>
          <w:rFonts w:ascii="Garamond" w:cs="Garamond" w:eastAsia="Garamond" w:hAnsi="Garamond"/>
          <w:b/>
          <w:bCs/>
          <w:color w:val="1B2A4A"/>
          <w:sz w:val="22"/>
          <w:szCs w:val="22"/>
        </w:rPr>
        <w:t xml:space="preserve">Registry Integrity Standards</w:t>
      </w:r>
    </w:p>
    <w:p>
      <w:pPr>
        <w:spacing w:after="120" w:before="0"/>
        <w:ind w:left="431"/>
        <w:jc w:val="both"/>
      </w:pPr>
      <w:r>
        <w:rPr>
          <w:rFonts w:ascii="Garamond" w:cs="Garamond" w:eastAsia="Garamond" w:hAnsi="Garamond"/>
          <w:b w:val="false"/>
          <w:bCs w:val="false"/>
          <w:i w:val="false"/>
          <w:iCs w:val="false"/>
          <w:color w:val="2a2520"/>
          <w:sz w:val="22"/>
          <w:szCs w:val="22"/>
        </w:rPr>
        <w:t xml:space="preserve">These standards apply to all registries and candidate pools maintained under constitutional mandate. Eligibility criteria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or removed applicant may petition the SC within 30 days of NRS publication; the SC reviews only whether the stated grounds correspond to an established eligibility criterion — it does not review the factual merits of the determination. The JIC annual audit must evaluate each registry for pool depth, distribution, and patterns in exclusion decisions.</w:t>
      </w:r>
    </w:p>
    <w:p>
      <w:pPr>
        <w:spacing w:after="60" w:before="200"/>
        <w:ind w:left="431"/>
        <w:jc w:val="left"/>
      </w:pPr>
      <w:r>
        <w:rPr>
          <w:rFonts w:ascii="Courier New" w:cs="Courier New" w:eastAsia="Courier New" w:hAnsi="Courier New"/>
          <w:b/>
          <w:bCs/>
          <w:color w:val="1B2A4A"/>
          <w:sz w:val="18"/>
          <w:szCs w:val="18"/>
        </w:rPr>
        <w:t xml:space="preserve">§8.15  </w:t>
      </w:r>
      <w:r>
        <w:rPr>
          <w:rFonts w:ascii="Garamond" w:cs="Garamond" w:eastAsia="Garamond" w:hAnsi="Garamond"/>
          <w:b/>
          <w:bCs/>
          <w:color w:val="1B2A4A"/>
          <w:sz w:val="22"/>
          <w:szCs w:val="22"/>
        </w:rPr>
        <w:t xml:space="preserve">Constitutional Officer Removal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section governs for-cause removal of all constitutionally confirmed independent officers except Supreme Court justices (§4.3.b) and elected executives. Two removal tracks are available. Under the Standard Track, the charging party files stated grounds with the SC under §8.9; the SC confirms grounds within 14 days; duty suspension activates immediately on confirmation; removal requires a 2/3 vote of both chambers simultaneously; no removal vote may be held within 180 days of a major national election without prior SC review within 48 hours. Under the Judicial Track, where two of the three Inspectorates jointly certify for-cause grounds and petition the SC, the SC determines within 30 days whether the certified grounds constitute sufficient cause for suspension; if cause is found, the officer is suspended and the most senior deputy acts in the interim; the Senate has 60 days to hold a removal vote, with 3/5 required for permanent removal; a vote failing 3/5 reinstates the officer and closes the process; where the Senate fails to vote within 60 days, the matter is placed before the next federal electoral period ballot or a Legislature-set special election with a minimum 90-day notice period; removal by election requires 60% of votes cast. The Judicial Track is available where the Standard Track’s legislative threshold appears unreachable due to demonstrated political gridlock. Officers subject to this framework include Inspectors General, DIC administrators, MA board members, and all other constitutionally confirmed independent officers. Provisions governing specific offices may cross-reference this section without restating its terms.</w:t>
      </w:r>
    </w:p>
    <w:p>
      <w:pPr>
        <w:spacing w:after="60" w:before="200"/>
        <w:jc w:val="left"/>
      </w:pPr>
      <w:r>
        <w:rPr>
          <w:rFonts w:ascii="Garamond" w:cs="Garamond" w:eastAsia="Garamond" w:hAnsi="Garamond"/>
          <w:b/>
          <w:bCs/>
          <w:i w:val="false"/>
          <w:iCs w:val="false"/>
          <w:color w:val="1B2A4A"/>
          <w:sz w:val="34"/>
          <w:szCs w:val="34"/>
        </w:rPr>
        <w:t xml:space="preserve">Article IX — The National Record System</w:t>
      </w:r>
    </w:p>
    <w:p>
      <w:pPr>
        <w:spacing w:after="60" w:before="200"/>
        <w:ind w:left="431"/>
        <w:jc w:val="left"/>
      </w:pPr>
      <w:r>
        <w:rPr>
          <w:rFonts w:ascii="Courier New" w:cs="Courier New" w:eastAsia="Courier New" w:hAnsi="Courier New"/>
          <w:b/>
          <w:bCs/>
          <w:color w:val="1B2A4A"/>
          <w:sz w:val="18"/>
          <w:szCs w:val="18"/>
        </w:rPr>
        <w:t xml:space="preserve">§9.1  </w:t>
      </w:r>
      <w:r>
        <w:rPr>
          <w:rFonts w:ascii="Garamond" w:cs="Garamond" w:eastAsia="Garamond" w:hAnsi="Garamond"/>
          <w:b/>
          <w:bCs/>
          <w:i w:val="false"/>
          <w:iCs w:val="false"/>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authority of this Constitution is published to the NRS as a permanent record. No provision of this Constitution need state this obligation individually; it applies universally by operation of this section. Where this Constitution specifies a publication timeline, that timeline governs; in all other cases, publication occurs at or before the effective moment of the act. Every government act required to be published must appear on the NRS before it takes legal effect. Records may not be deleted, altered, or reclassified after publication; corrections are published as new entries alongside the original. The NRS must remain fully functional in the event of localized technical failure — no single point of failure is constitutionally acceptable. The Legislature defines technical standards by statute. The NRS includes a permanent historical archive of all prior legislative acts, executive orders, judicial decisions, and government documents dating to the Republic's founding. Records published to the NRS by any jurisdiction within the Republic are recognized as authentic by all other jurisdictions without re-certification. Inspectorate reports are permanently exempt from classification. Citizens may submit corrections or context to any NRS record through a public mechanism maintained by the LI; submissions are published alongside the original after accuracy review. The NRS is the record of government, not a condition of it. Government acts take legal effect from the moment of issuance regardless of NRS status; the publication obligation applies from the moment the NRS is restored. The JI maintains a continuously operating parallel authentication system, physically and logistically independent of the NRS, capable of authenticating and preserving all constitutional acts without NRS connectivity. This system operates in parallel at all times — not merely as a contingency — and records all authenticated acts with full constitutional effect from the moment of their issuance. Upon NRS restoration, all parallel system records migrate to the NRS as permanent records with their original issuance timestamps. Where the NRS has not been restored within 180 days, the parallel system becomes the constitutional record of the Republic; the Legislature must by statute establish permanent restoration obligations and timelines within 90 days of that threshold. The Legislature defines the technical specifications, security standards, and operational parameters of the parallel system by statute; the constitutional obligation to maintain it is absolute and its funding floor follows the NRS funding floor in this section. Funding for the NRS may not be reduced below the prior year’s level without a 2/3 vote of both chambers. Classification used to conceal a constitutional violation or illegal order is itself a constitutional offense.</w:t>
      </w:r>
    </w:p>
    <w:p>
      <w:pPr>
        <w:spacing w:after="60" w:before="200"/>
        <w:ind w:left="431"/>
        <w:jc w:val="left"/>
      </w:pPr>
      <w:r>
        <w:rPr>
          <w:rFonts w:ascii="Courier New" w:cs="Courier New" w:eastAsia="Courier New" w:hAnsi="Courier New"/>
          <w:b/>
          <w:bCs/>
          <w:color w:val="1B2A4A"/>
          <w:sz w:val="18"/>
          <w:szCs w:val="18"/>
        </w:rPr>
        <w:t xml:space="preserve">§9.4  </w:t>
      </w:r>
      <w:r>
        <w:rPr>
          <w:rFonts w:ascii="Garamond" w:cs="Garamond" w:eastAsia="Garamond" w:hAnsi="Garamond"/>
          <w:b/>
          <w:bCs/>
          <w:i w:val="false"/>
          <w:iCs w:val="false"/>
          <w:color w:val="1B2A4A"/>
          <w:sz w:val="22"/>
          <w:szCs w:val="22"/>
        </w:rPr>
        <w:t xml:space="preserve">NRS and Electoral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electoral records — voter registration, ballot counts, audit trails, certification documents — must be published to the NRS within the timeframes specified by the Elections Panel's constitutional mandate under Article XVI. No classification exception applies to electoral records.</w:t>
      </w:r>
    </w:p>
    <w:p>
      <w:pPr>
        <w:spacing w:after="60" w:before="200"/>
        <w:ind w:left="431"/>
        <w:jc w:val="left"/>
      </w:pPr>
      <w:r>
        <w:rPr>
          <w:rFonts w:ascii="Courier New" w:cs="Courier New" w:eastAsia="Courier New" w:hAnsi="Courier New"/>
          <w:b/>
          <w:bCs/>
          <w:color w:val="1B2A4A"/>
          <w:sz w:val="18"/>
          <w:szCs w:val="18"/>
        </w:rPr>
        <w:t xml:space="preserve">§9.5  </w:t>
      </w:r>
      <w:r>
        <w:rPr>
          <w:rFonts w:ascii="Garamond" w:cs="Garamond" w:eastAsia="Garamond" w:hAnsi="Garamond"/>
          <w:b/>
          <w:b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520"/>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w:t>
      </w:r>
    </w:p>
    <w:p>
      <w:pPr>
        <w:spacing w:after="60" w:before="200"/>
        <w:ind w:left="431"/>
        <w:jc w:val="left"/>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Duration Framework</w:t>
      </w:r>
    </w:p>
    <w:p>
      <w:pPr>
        <w:spacing w:after="120" w:before="0"/>
        <w:ind w:left="431"/>
        <w:jc w:val="both"/>
      </w:pPr>
      <w:r>
        <w:rPr>
          <w:rFonts w:ascii="Garamond" w:cs="Garamond" w:eastAsia="Garamond" w:hAnsi="Garamond"/>
          <w:b w:val="false"/>
          <w:bCs w:val="false"/>
          <w:i w:val="false"/>
          <w:iCs w:val="false"/>
          <w:color w:val="2a2520"/>
          <w:sz w:val="22"/>
          <w:szCs w:val="22"/>
        </w:rPr>
        <w:t xml:space="preserve">No record may remain classified beyond 25 years from the date of original classification. A single 5-year extension may be granted where the responsible executive publishes a justification to the EI; the EI certifies whether the justification meets the statutory standard and publishes its finding to the NRS. No material may remain classified beyond 30 years under any circumstances. On expiry, automatic declassification and NRS publication applies within 30 days. All other classification periods, procedures, and review mechanisms are defined by statute within this ceiling.</w:t>
      </w:r>
    </w:p>
    <w:p>
      <w:pPr>
        <w:spacing w:after="60" w:before="200"/>
        <w:jc w:val="left"/>
      </w:pPr>
      <w:r>
        <w:rPr>
          <w:rFonts w:ascii="Garamond" w:cs="Garamond" w:eastAsia="Garamond" w:hAnsi="Garamond"/>
          <w:b/>
          <w:bCs/>
          <w:i w:val="false"/>
          <w:iCs w:val="false"/>
          <w:color w:val="1B2A4A"/>
          <w:sz w:val="34"/>
          <w:szCs w:val="34"/>
        </w:rPr>
        <w:t xml:space="preserve">Article X — Economic Provisions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§10.1  </w:t>
      </w:r>
      <w:r>
        <w:rPr>
          <w:rFonts w:ascii="Garamond" w:cs="Garamond" w:eastAsia="Garamond" w:hAnsi="Garamond"/>
          <w:b/>
          <w:bCs/>
          <w:i w:val="false"/>
          <w:iCs w:val="false"/>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is a social state. Every Inhabitant is entitled to conditions of life consistent with human dignity, which the Republic fulfils through three mandatory systems: universally accessible healthcare insurance; social assistance sufficient to maintain basic material conditions; and free compulsory education for every child. The Legislature establishes the framework for each by statute. The Legislature must establish by statute an independent Monetary Authority responsible for monetary policy and fiscal integrity certification; the EI audits its operations annually and publishes findings to the NRS.</w:t>
      </w:r>
    </w:p>
    <w:p>
      <w:pPr>
        <w:spacing w:after="60" w:before="200"/>
        <w:ind w:left="431"/>
        <w:jc w:val="left"/>
      </w:pPr>
      <w:r>
        <w:rPr>
          <w:rFonts w:ascii="Courier New" w:cs="Courier New" w:eastAsia="Courier New" w:hAnsi="Courier New"/>
          <w:b/>
          <w:bCs/>
          <w:color w:val="1B2A4A"/>
          <w:sz w:val="18"/>
          <w:szCs w:val="18"/>
        </w:rPr>
        <w:t xml:space="preserve">§10.2  </w:t>
      </w:r>
      <w:r>
        <w:rPr>
          <w:rFonts w:ascii="Garamond" w:cs="Garamond" w:eastAsia="Garamond" w:hAnsi="Garamond"/>
          <w:b/>
          <w:bCs/>
          <w:i w:val="false"/>
          <w:iCs w:val="false"/>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establish or adequately fund the Endowment is a compliance breach certified by the LI.</w:t>
      </w:r>
    </w:p>
    <w:p>
      <w:pPr>
        <w:spacing w:after="60" w:before="200"/>
        <w:ind w:left="431"/>
        <w:jc w:val="left"/>
      </w:pPr>
      <w:r>
        <w:rPr>
          <w:rFonts w:ascii="Courier New" w:cs="Courier New" w:eastAsia="Courier New" w:hAnsi="Courier New"/>
          <w:b/>
          <w:bCs/>
          <w:color w:val="1B2A4A"/>
          <w:sz w:val="18"/>
          <w:szCs w:val="18"/>
        </w:rPr>
        <w:t xml:space="preserve">§10.3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public campaign financing system within the period defined by statute following the first Legislature convening; failure to do so is a constitutional compliance breach certified by the LI. The system must provide all registered candidates with equal access to public funds with no incumbent advantage in the allocation formula. Private contributions are capped at the de minimis threshold established by statute. Administered by the Elections Panel — not by either executive or the Legislature.</w:t>
      </w:r>
    </w:p>
    <w:p>
      <w:pPr>
        <w:spacing w:after="60" w:before="200"/>
        <w:ind w:left="431"/>
        <w:jc w:val="left"/>
      </w:pPr>
      <w:r>
        <w:rPr>
          <w:rFonts w:ascii="Courier New" w:cs="Courier New" w:eastAsia="Courier New" w:hAnsi="Courier New"/>
          <w:b/>
          <w:bCs/>
          <w:color w:val="1B2A4A"/>
          <w:sz w:val="18"/>
          <w:szCs w:val="18"/>
        </w:rPr>
        <w:t xml:space="preserve">§10.5  </w:t>
      </w:r>
      <w:r>
        <w:rPr>
          <w:rFonts w:ascii="Garamond" w:cs="Garamond" w:eastAsia="Garamond" w:hAnsi="Garamond"/>
          <w:b/>
          <w:bCs/>
          <w:i w:val="false"/>
          <w:iCs w:val="false"/>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520"/>
          <w:sz w:val="22"/>
          <w:szCs w:val="22"/>
        </w:rPr>
        <w:t xml:space="preserve">All constitutional officers must disclose all financial interests, holdings, income sources, and liabilities to the EI within the period defined by statute of taking office and annually thereafter; disclosure records are published to the NRS. Any officer with a direct financial interest in a decision within their authority must recuse themselves; recusal is self-executing. Constitutional officers may not, for a period defined by statute after leaving office — which may not be less than two years — engage in any activity that monetizes or draws on non-public information, relationships, or access accumulated during service; the EI determines whether a post-service engagement falls within this restriction and the officer bears the burden of demonstrating it does not. Officers may not accept gifts above a de minimis threshold; all gifts above the threshold must be disclosed to the EI and deposited with the relevant treasury. All records created in the exercise of official functions are public records and may not be retained, destroyed, or removed by departing officers. The EI investigates alleged violations and publishes findings to the NRS; where findings warrant further action, the EI refers to the appropriate authority.</w:t>
      </w:r>
    </w:p>
    <w:p>
      <w:pPr>
        <w:spacing w:after="60" w:before="200"/>
        <w:ind w:left="431"/>
        <w:jc w:val="left"/>
      </w:pPr>
      <w:r>
        <w:rPr>
          <w:rFonts w:ascii="Courier New" w:cs="Courier New" w:eastAsia="Courier New" w:hAnsi="Courier New"/>
          <w:b/>
          <w:bCs/>
          <w:color w:val="1B2A4A"/>
          <w:sz w:val="18"/>
          <w:szCs w:val="18"/>
        </w:rPr>
        <w:t xml:space="preserve">§10.6  </w:t>
      </w:r>
      <w:r>
        <w:rPr>
          <w:rFonts w:ascii="Garamond" w:cs="Garamond" w:eastAsia="Garamond" w:hAnsi="Garamond"/>
          <w:b/>
          <w:bCs/>
          <w:i w:val="false"/>
          <w:iCs w:val="false"/>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Endowment is a constitutionally established reserve fund that backstops the Republic's social state obligations under §10.1 during periods of Severe Revenue Contraction, as certified by the independent Monetary Authority established under §10.1. It operates independently of the annual budget process. The Endowment is governed by a board of five trustees selected by public lottery from the National Endowment Trustee Pool. Each executive nominates qualified persons to the pool annually; pool entry and certification follow §8.13; the JIC conducts the trustee lottery under §8.13. Disbursements are activated on Monetary Authority certification of Severe Revenue Contraction and continue until the Monetary Authority certifies the contraction has ended. Trustees serve staggered 6-year non-renewable terms and may be removed only for cause. The board's sole mandate is to preserve and grow the Endowment for social state backstop purposes; it may not be directed to any other goal. All board decisions and performance reports are published to the NRS; the EI audits the board annually.</w:t>
      </w:r>
    </w:p>
    <w:p>
      <w:pPr>
        <w:spacing w:after="60" w:before="200"/>
        <w:ind w:left="431"/>
        <w:jc w:val="left"/>
      </w:pPr>
      <w:r>
        <w:rPr>
          <w:rFonts w:ascii="Courier New" w:cs="Courier New" w:eastAsia="Courier New" w:hAnsi="Courier New"/>
          <w:b/>
          <w:bCs/>
          <w:color w:val="1B2A4A"/>
          <w:sz w:val="18"/>
          <w:szCs w:val="18"/>
        </w:rPr>
        <w:t xml:space="preserve">§10.7  </w:t>
      </w:r>
      <w:r>
        <w:rPr>
          <w:rFonts w:ascii="Garamond" w:cs="Garamond" w:eastAsia="Garamond" w:hAnsi="Garamond"/>
          <w:b/>
          <w:bCs/>
          <w:i w:val="false"/>
          <w:iCs w:val="false"/>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520"/>
          <w:sz w:val="22"/>
          <w:szCs w:val="22"/>
        </w:rPr>
        <w:t xml:space="preserve">No government official may set their own compensation or the compensation of their direct supervisors. All official compensation is set by House statute and is a public record on the NRS. Official benefits and accommodations beyond compensation reflect the functional requirements of the office, not the status of the officeholder. No benefit may exceed what the function genuinely requires. Departures from ordinary professional standards require a demonstrable operational need certified by the EI and are limited to the minimum extent that need requires.</w:t>
      </w:r>
    </w:p>
    <w:p>
      <w:pPr>
        <w:spacing w:after="60" w:before="200"/>
        <w:jc w:val="left"/>
      </w:pPr>
      <w:r>
        <w:rPr>
          <w:rFonts w:ascii="Garamond" w:cs="Garamond" w:eastAsia="Garamond" w:hAnsi="Garamond"/>
          <w:b/>
          <w:bCs/>
          <w:i w:val="false"/>
          <w:iCs w:val="false"/>
          <w:color w:val="1B2A4A"/>
          <w:sz w:val="34"/>
          <w:szCs w:val="34"/>
        </w:rPr>
        <w:t xml:space="preserve">Article XI — Direct Democracy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§11.1  </w:t>
      </w:r>
      <w:r>
        <w:rPr>
          <w:rFonts w:ascii="Garamond" w:cs="Garamond" w:eastAsia="Garamond" w:hAnsi="Garamond"/>
          <w:b/>
          <w:bCs/>
          <w:i w:val="false"/>
          <w:iCs w:val="false"/>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initiate a national referendum to repeal enacted legislation by petition of 5% of eligible voters within 90 days of enactment. Laws that solely or primarily expand an Article I right, budget laws, and laws implementing a constitutionally mandated obligation are ineligible — the LI publishes an eligibility determination within 14 days of petition submission, challengeable in the Appellate Court within 7 days. If the threshold is met, the Elections Panel administers the referendum within 90 days of verification. A simple majority of votes cast, subject to the Legislature-defined turnout threshold, repeals the law immediately upon certification. A failed referendum cannot be re-initiated on the same grounds for 5 years; the Legislature may re-enact a repealed law, which is again subject to referendum.</w:t>
      </w:r>
    </w:p>
    <w:p>
      <w:pPr>
        <w:spacing w:after="60" w:before="200"/>
        <w:ind w:left="431"/>
        <w:jc w:val="left"/>
      </w:pPr>
      <w:r>
        <w:rPr>
          <w:rFonts w:ascii="Courier New" w:cs="Courier New" w:eastAsia="Courier New" w:hAnsi="Courier New"/>
          <w:b/>
          <w:bCs/>
          <w:color w:val="1B2A4A"/>
          <w:sz w:val="18"/>
          <w:szCs w:val="18"/>
        </w:rPr>
        <w:t xml:space="preserve">§11.2  </w:t>
      </w:r>
      <w:r>
        <w:rPr>
          <w:rFonts w:ascii="Garamond" w:cs="Garamond" w:eastAsia="Garamond" w:hAnsi="Garamond"/>
          <w:b/>
          <w:bCs/>
          <w:i w:val="false"/>
          <w:iCs w:val="false"/>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520"/>
          <w:sz w:val="22"/>
          <w:szCs w:val="22"/>
        </w:rPr>
        <w:t xml:space="preserve">Citizens may propose legislation directly to the Legislature by petition of 10% of eligible voters. The Legislature must vote on the proposal within 90 days; if it fails or is not voted on, the proposal proceeds to a national citizen initiative referendum at the thresholds defined in §15.1. Citizen-initiated legislation that bypasses the Legislature requires the higher democratic mandate of the citizen-led amendment threshold.</w:t>
      </w:r>
    </w:p>
    <w:p>
      <w:pPr>
        <w:spacing w:after="60" w:before="200"/>
        <w:ind w:left="431"/>
        <w:jc w:val="left"/>
      </w:pPr>
      <w:r>
        <w:rPr>
          <w:rFonts w:ascii="Courier New" w:cs="Courier New" w:eastAsia="Courier New" w:hAnsi="Courier New"/>
          <w:b/>
          <w:bCs/>
          <w:color w:val="1B2A4A"/>
          <w:sz w:val="18"/>
          <w:szCs w:val="18"/>
        </w:rPr>
        <w:t xml:space="preserve">§11.3  </w:t>
      </w:r>
      <w:r>
        <w:rPr>
          <w:rFonts w:ascii="Garamond" w:cs="Garamond" w:eastAsia="Garamond" w:hAnsi="Garamond"/>
          <w:b/>
          <w:bCs/>
          <w:i w:val="false"/>
          <w:iCs w:val="false"/>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starve local governments to achieve de facto state centralization.</w:t>
      </w:r>
    </w:p>
    <w:p>
      <w:pPr>
        <w:spacing w:after="60" w:before="200"/>
        <w:ind w:left="431"/>
        <w:jc w:val="left"/>
      </w:pPr>
      <w:r>
        <w:rPr>
          <w:rFonts w:ascii="Courier New" w:cs="Courier New" w:eastAsia="Courier New" w:hAnsi="Courier New"/>
          <w:b/>
          <w:bCs/>
          <w:color w:val="1B2A4A"/>
          <w:sz w:val="18"/>
          <w:szCs w:val="18"/>
        </w:rPr>
        <w:t xml:space="preserve">§11.4  </w:t>
      </w:r>
      <w:r>
        <w:rPr>
          <w:rFonts w:ascii="Garamond" w:cs="Garamond" w:eastAsia="Garamond" w:hAnsi="Garamond"/>
          <w:b/>
          <w:b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520"/>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presidential first-round threshold at which the State plurality requirement is waived (§7.2); public confirmation of a Supreme Court justice under the Senate bypass mechanism (§4.4.a); and public election removal of a constitutional officer under the Judicial Track (§8.15). The Legislature may not set a higher or lower threshold for any direct electoral supermajority determination without a constitutional amendment. This provision does not govern the optional referendum or citizen initiative under §11.1–§11.2, which require only a simple majority of votes cast; it governs determinations that require constitutional supermajority democratic consent.</w:t>
      </w:r>
    </w:p>
    <w:p>
      <w:pPr>
        <w:spacing w:after="60" w:before="200"/>
        <w:jc w:val="left"/>
      </w:pPr>
      <w:r>
        <w:rPr>
          <w:rFonts w:ascii="Garamond" w:cs="Garamond" w:eastAsia="Garamond" w:hAnsi="Garamond"/>
          <w:b/>
          <w:bCs/>
          <w:i w:val="false"/>
          <w:iCs w:val="false"/>
          <w:color w:val="1B2A4A"/>
          <w:sz w:val="34"/>
          <w:szCs w:val="34"/>
        </w:rPr>
        <w:t xml:space="preserve">Article XII — Military Authorization and Accountability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§12.1  </w:t>
      </w:r>
      <w:r>
        <w:rPr>
          <w:rFonts w:ascii="Garamond" w:cs="Garamond" w:eastAsia="Garamond" w:hAnsi="Garamond"/>
          <w:b/>
          <w:bCs/>
          <w:i w:val="false"/>
          <w:iCs w:val="false"/>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force serves two authorized purposes: protection of the Republic's territory, citizens, and treaty allies; and, with legislative authorization stating the specific grounds, response to genocide. Three purposes are explicitly prohibited regardless of legislative authorization: nation-building, resource extraction, and ideological imposition. Legislative authorization must state which authorized purpose it serves; authorization that cannot be linked to an authorized purpose is constitutionally void.</w:t>
      </w:r>
    </w:p>
    <w:p>
      <w:pPr>
        <w:spacing w:after="60" w:before="200"/>
        <w:ind w:left="431"/>
        <w:jc w:val="left"/>
      </w:pPr>
      <w:r>
        <w:rPr>
          <w:rFonts w:ascii="Courier New" w:cs="Courier New" w:eastAsia="Courier New" w:hAnsi="Courier New"/>
          <w:b/>
          <w:bCs/>
          <w:color w:val="1B2A4A"/>
          <w:sz w:val="18"/>
          <w:szCs w:val="18"/>
        </w:rPr>
        <w:t xml:space="preserve">§12.2  </w:t>
      </w:r>
      <w:r>
        <w:rPr>
          <w:rFonts w:ascii="Garamond" w:cs="Garamond" w:eastAsia="Garamond" w:hAnsi="Garamond"/>
          <w:b/>
          <w:bCs/>
          <w:i w:val="false"/>
          <w:iCs w:val="false"/>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Military expenditure is authorized through PM certification concurrent with legislative authorization. No military operation may be funded without PM certification; the PM may certify, condition, or decline certification on any operation. Expenditure in categories not covered by the certification requires supplementary PM certification. When legislative authorization expires or is not renewed, all military expenditure ceases; ongoing contracts may continue to wind down for the period the Legislature defines by statute; no new commitments may be entered after authorization expires. The EI audits all military expenditure during active operations and publishes findings to the NRS. Within the period the Legislature defines by statute following the conclusion of any military operation, the EI publishes a comprehensive expenditure accountability report. Where the PM declines certification for ongoing military operations that have been legislatively authorized, previously certified operational expenditure continues at maintenance-only levels for the period the Legislature defines by statute — covering only operations explicitly within the prior authorization, with no escalations, expansions, or new commitments permitted; the President must publish notice of the certification refusal to the NRS within 24 hours with stated grounds; both chambers must be notified simultaneously; if the Legislature does not act within the maintenance period, all expenditure ceases. A PM who declines certification bears the same constitutional attribution for the consequences of that decision as a President who orders an operation.</w:t>
      </w:r>
    </w:p>
    <w:p>
      <w:pPr>
        <w:spacing w:after="60" w:before="200"/>
        <w:ind w:left="431"/>
        <w:jc w:val="left"/>
      </w:pPr>
      <w:r>
        <w:rPr>
          <w:rFonts w:ascii="Courier New" w:cs="Courier New" w:eastAsia="Courier New" w:hAnsi="Courier New"/>
          <w:b/>
          <w:bCs/>
          <w:color w:val="1B2A4A"/>
          <w:sz w:val="18"/>
          <w:szCs w:val="18"/>
        </w:rPr>
        <w:t xml:space="preserve">§12.3  </w:t>
      </w:r>
      <w:r>
        <w:rPr>
          <w:rFonts w:ascii="Garamond" w:cs="Garamond" w:eastAsia="Garamond" w:hAnsi="Garamond"/>
          <w:b/>
          <w:bCs/>
          <w:i w:val="false"/>
          <w:iCs w:val="false"/>
          <w:color w:val="1B2A4A"/>
          <w:sz w:val="22"/>
          <w:szCs w:val="22"/>
        </w:rPr>
        <w:t xml:space="preserve">Military Intelligence Operations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Intelligence capabilities used in support of authorized military operations are subject to the §2.3 warrant requirement at all times — no military operation authorizes domestic intelligence collection against citizens without independent judicial authorization. Intelligence activities must be published to the NRS in classified summary form within the period defined by statute following military operations being fully concluded.</w:t>
      </w:r>
    </w:p>
    <w:p>
      <w:pPr>
        <w:spacing w:after="60" w:before="200"/>
        <w:ind w:left="431"/>
        <w:jc w:val="left"/>
      </w:pPr>
      <w:r>
        <w:rPr>
          <w:rFonts w:ascii="Courier New" w:cs="Courier New" w:eastAsia="Courier New" w:hAnsi="Courier New"/>
          <w:b/>
          <w:bCs/>
          <w:color w:val="1B2A4A"/>
          <w:sz w:val="18"/>
          <w:szCs w:val="18"/>
        </w:rPr>
        <w:t xml:space="preserve">§12.4  </w:t>
      </w:r>
      <w:r>
        <w:rPr>
          <w:rFonts w:ascii="Garamond" w:cs="Garamond" w:eastAsia="Garamond" w:hAnsi="Garamond"/>
          <w:b/>
          <w:bCs/>
          <w:i w:val="false"/>
          <w:iCs w:val="false"/>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Within 90 days of legislative military authorization being renewed for a second time,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 If the Senate fails to approve a Plan within the required period, the LI certifies a constitutional compliance breach; the PM may provisionally authorize continued operations for up to 60 days total in two 30-day extensions, each requiring PM notification to the Senate Armed Services Committee and certification that operations remain within the Declaration's scope. Once the two extensions are exhausted, no further authorization renewals are permitted until the Senate approves a Plan.</w:t>
      </w:r>
    </w:p>
    <w:p>
      <w:pPr>
        <w:spacing w:after="60" w:before="200"/>
        <w:ind w:left="431"/>
        <w:jc w:val="left"/>
      </w:pPr>
      <w:r>
        <w:rPr>
          <w:rFonts w:ascii="Courier New" w:cs="Courier New" w:eastAsia="Courier New" w:hAnsi="Courier New"/>
          <w:b/>
          <w:bCs/>
          <w:color w:val="1B2A4A"/>
          <w:sz w:val="18"/>
          <w:szCs w:val="18"/>
        </w:rPr>
        <w:t xml:space="preserve">§12.5  </w:t>
      </w:r>
      <w:r>
        <w:rPr>
          <w:rFonts w:ascii="Garamond" w:cs="Garamond" w:eastAsia="Garamond" w:hAnsi="Garamond"/>
          <w:b/>
          <w:bCs/>
          <w:i w:val="false"/>
          <w:iCs w:val="false"/>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an existing treaty requires emergency military action, the President may act immediately and must notify both chambers and the PM within 12 hours, citing the specific treaty obligation triggered. The legislature must then authorize continuation within the period defined by statute; absent authorization, operations cease. Treaties cannot substitute for legislative authorization of sustained engagement — each continued operation requires authorization regardless of what the treaty requires. PM certification of expenditure applies from the moment of action under §12.2.</w:t>
      </w:r>
    </w:p>
    <w:p>
      <w:pPr>
        <w:spacing w:after="60" w:before="200"/>
        <w:jc w:val="left"/>
      </w:pPr>
      <w:r>
        <w:rPr>
          <w:rFonts w:ascii="Garamond" w:cs="Garamond" w:eastAsia="Garamond" w:hAnsi="Garamond"/>
          <w:b/>
          <w:bCs/>
          <w:i w:val="false"/>
          <w:iCs w:val="false"/>
          <w:color w:val="1B2A4A"/>
          <w:sz w:val="34"/>
          <w:szCs w:val="34"/>
        </w:rPr>
        <w:t xml:space="preserve">Article XIII — Territorial Structure and Statehood</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§13.1  </w:t>
      </w:r>
      <w:r>
        <w:rPr>
          <w:rFonts w:ascii="Garamond" w:cs="Garamond" w:eastAsia="Garamond" w:hAnsi="Garamond"/>
          <w:b/>
          <w:bCs/>
          <w:i w:val="false"/>
          <w:iCs w:val="false"/>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operates under a Territorial Compact, has federal protections under Article I, accesses social state systems under §10.1, and may begin the Statehood pathway under §13.2. Territories hold House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1B2A4A"/>
          <w:sz w:val="18"/>
          <w:szCs w:val="18"/>
        </w:rPr>
        <w:t xml:space="preserve">§13.2  </w:t>
      </w:r>
      <w:r>
        <w:rPr>
          <w:rFonts w:ascii="Garamond" w:cs="Garamond" w:eastAsia="Garamond" w:hAnsi="Garamond"/>
          <w:b/>
          <w:bCs/>
          <w:i w:val="false"/>
          <w:iCs w:val="false"/>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pathway from Territory to State is automatic upon passing the Statehood Audit and Provisional Membership Period — no political vote is required once the audit is passed. The audit has two components: the LI audits fiscal integrity; the JI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LI may grant provisional audit status for that cycle on joint Inspectorate certification;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1B2A4A"/>
          <w:sz w:val="18"/>
          <w:szCs w:val="18"/>
        </w:rPr>
        <w:t xml:space="preserve">§13.3  </w:t>
      </w:r>
      <w:r>
        <w:rPr>
          <w:rFonts w:ascii="Garamond" w:cs="Garamond" w:eastAsia="Garamond" w:hAnsi="Garamond"/>
          <w:b/>
          <w:bCs/>
          <w:i w:val="false"/>
          <w:iCs w:val="false"/>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enters Mandatory Devolution if it fails three consecutive annual Statehood Audits, certified by the LI and confirmed by both the EI and JI. After each failing audit, the LI publishes an Early Warning specifying compliance requirements; the State must publish a Remediation Plan within 60 days. After three consecutive failures, citizens vote on whether to accept a two-year federal remediation commission or proceed to devolution; either path is published to the NRS. A devolved State returns to Territory status. Sitting senators complete their current elected terms — Senate seats are not vacated — but no new Senate elections may be held until Statehood is restored; existing House members complete their current terms; Article I rights and social state protections continue without interruption. Restoration to Statehood is automatic upon passing the Statehood Audit and completing the Provisional Membership Period. Within 30 days of devolution taking effect, the affected State may petition the SC on the sole ground that the audit findings are factually insufficient to establish three consecutive failures; the Court reviews only the factual basis and must rule within 14 days.</w:t>
      </w:r>
    </w:p>
    <w:p>
      <w:pPr>
        <w:spacing w:after="60" w:before="200"/>
        <w:ind w:left="431"/>
        <w:jc w:val="left"/>
      </w:pPr>
      <w:r>
        <w:rPr>
          <w:rFonts w:ascii="Courier New" w:cs="Courier New" w:eastAsia="Courier New" w:hAnsi="Courier New"/>
          <w:b/>
          <w:bCs/>
          <w:color w:val="1B2A4A"/>
          <w:sz w:val="18"/>
          <w:szCs w:val="18"/>
        </w:rPr>
        <w:t xml:space="preserve">§13.4  </w:t>
      </w:r>
      <w:r>
        <w:rPr>
          <w:rFonts w:ascii="Garamond" w:cs="Garamond" w:eastAsia="Garamond" w:hAnsi="Garamond"/>
          <w:b/>
          <w:bCs/>
          <w:i w:val="false"/>
          <w:iCs w:val="false"/>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 may voluntarily restructure its relationship with the Republic. The process requires a State referendum achieving 60% approval of eligible voters on the specific proposed restructuring; and Senate approval of a negotiated restructuring agreement by 2/3 majority. The agreement specifies asset and liability allocation, transition timeline, constitutional status of successor jurisdictions, and continuing obligations; it is published to the NRS and legally binding. Social state protections and Article I rights continue through the transition. A Territory resulting from voluntary devolution enters the Statehood re-qualification pathway immediately. A Territory or defined portion of a Territory may merge with a geographically contiguous existing State, requiring a 60% referendum with at least 50% participation, approval by the existing State through its own constitutional process, a joint LI-JI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1B2A4A"/>
          <w:sz w:val="18"/>
          <w:szCs w:val="18"/>
        </w:rPr>
        <w:t xml:space="preserve">§13.5  </w:t>
      </w:r>
      <w:r>
        <w:rPr>
          <w:rFonts w:ascii="Garamond" w:cs="Garamond" w:eastAsia="Garamond" w:hAnsi="Garamond"/>
          <w:b/>
          <w:bCs/>
          <w:i w:val="false"/>
          <w:iCs w:val="false"/>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520"/>
          <w:sz w:val="22"/>
          <w:szCs w:val="22"/>
        </w:rPr>
        <w:t xml:space="preserve">A Territory resulting from mandatory or voluntary devolution enters the Statehood re-qualification pathway under §13.2 immediately upon the effective date of devolution. No additional political vote is required to begin the pathway.</w:t>
      </w:r>
    </w:p>
    <w:p>
      <w:pPr>
        <w:spacing w:after="60" w:before="200"/>
        <w:ind w:left="431"/>
        <w:jc w:val="left"/>
      </w:pPr>
      <w:r>
        <w:rPr>
          <w:rFonts w:ascii="Courier New" w:cs="Courier New" w:eastAsia="Courier New" w:hAnsi="Courier New"/>
          <w:b/>
          <w:bCs/>
          <w:color w:val="1B2A4A"/>
          <w:sz w:val="18"/>
          <w:szCs w:val="18"/>
        </w:rPr>
        <w:t xml:space="preserve">§13.6  </w:t>
      </w:r>
      <w:r>
        <w:rPr>
          <w:rFonts w:ascii="Garamond" w:cs="Garamond" w:eastAsia="Garamond" w:hAnsi="Garamond"/>
          <w:b/>
          <w:bCs/>
          <w:i w:val="false"/>
          <w:iCs w:val="false"/>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the JI's published assessment of whether the entity systematically violates any non-derogable right listed in §1.26.b; and acceptance by the Legislature by 2/3 of both chambers. An accepted petition produces an incorporation agreement specifying a transition period not exceeding 48 months. The Republic may not pressure any entity to initiate this process. An indigenous nation recognized under Article XIV must make a status election under §14.7 before this provision applies.</w:t>
      </w:r>
    </w:p>
    <w:p>
      <w:pPr>
        <w:spacing w:after="60" w:before="200"/>
        <w:ind w:left="431"/>
        <w:jc w:val="left"/>
      </w:pPr>
      <w:r>
        <w:rPr>
          <w:rFonts w:ascii="Courier New" w:cs="Courier New" w:eastAsia="Courier New" w:hAnsi="Courier New"/>
          <w:b/>
          <w:bCs/>
          <w:color w:val="1B2A4A"/>
          <w:sz w:val="18"/>
          <w:szCs w:val="18"/>
        </w:rPr>
        <w:t xml:space="preserve">§13.7  </w:t>
      </w:r>
      <w:r>
        <w:rPr>
          <w:rFonts w:ascii="Garamond" w:cs="Garamond" w:eastAsia="Garamond" w:hAnsi="Garamond"/>
          <w:b/>
          <w:bCs/>
          <w:i w:val="false"/>
          <w:iCs w:val="false"/>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w:t>
      </w:r>
    </w:p>
    <w:p>
      <w:pPr>
        <w:spacing w:after="60" w:before="200"/>
        <w:jc w:val="left"/>
      </w:pPr>
      <w:r>
        <w:rPr>
          <w:rFonts w:ascii="Garamond" w:cs="Garamond" w:eastAsia="Garamond" w:hAnsi="Garamond"/>
          <w:b/>
          <w:bCs/>
          <w:i w:val="false"/>
          <w:iCs w:val="false"/>
          <w:color w:val="1B2A4A"/>
          <w:sz w:val="34"/>
          <w:szCs w:val="34"/>
        </w:rPr>
        <w:t xml:space="preserve">Article XIV — Indigenous Sovereignty</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§14.1  </w:t>
      </w:r>
      <w:r>
        <w:rPr>
          <w:rFonts w:ascii="Garamond" w:cs="Garamond" w:eastAsia="Garamond" w:hAnsi="Garamond"/>
          <w:b/>
          <w:bCs/>
          <w:i w:val="false"/>
          <w:iCs w:val="false"/>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jc w:val="left"/>
      </w:pPr>
      <w:r>
        <w:rPr>
          <w:rFonts w:ascii="Courier New" w:cs="Courier New" w:eastAsia="Courier New" w:hAnsi="Courier New"/>
          <w:b/>
          <w:bCs/>
          <w:color w:val="1B2A4A"/>
          <w:sz w:val="18"/>
          <w:szCs w:val="18"/>
        </w:rPr>
        <w:t xml:space="preserve">§14.2  </w:t>
      </w:r>
      <w:r>
        <w:rPr>
          <w:rFonts w:ascii="Garamond" w:cs="Garamond" w:eastAsia="Garamond" w:hAnsi="Garamond"/>
          <w:b/>
          <w:bCs/>
          <w:i w:val="false"/>
          <w:iCs w:val="false"/>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PM's domestic affairs office, with JI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1B2A4A"/>
          <w:sz w:val="18"/>
          <w:szCs w:val="18"/>
        </w:rPr>
        <w:t xml:space="preserve">§14.3  </w:t>
      </w:r>
      <w:r>
        <w:rPr>
          <w:rFonts w:ascii="Garamond" w:cs="Garamond" w:eastAsia="Garamond" w:hAnsi="Garamond"/>
          <w:b/>
          <w:bCs/>
          <w:i w:val="false"/>
          <w:iCs w:val="false"/>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1B2A4A"/>
          <w:sz w:val="18"/>
          <w:szCs w:val="18"/>
        </w:rPr>
        <w:t xml:space="preserve">§14.4  </w:t>
      </w:r>
      <w:r>
        <w:rPr>
          <w:rFonts w:ascii="Garamond" w:cs="Garamond" w:eastAsia="Garamond" w:hAnsi="Garamond"/>
          <w:b/>
          <w:bCs/>
          <w:i w:val="false"/>
          <w:iCs w:val="false"/>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are living agreements administered through joint mechanisms. Disputes are resolved through a Joint Compact Review Council with equal representation of the Nation and the Republic. The Republic is represented on the Council by the PM's designated Compact Officer for domestic and governance matters; the President's designated representative participates for any matter within the presidential domain under §2.1. Council decisions are binding on both parties within the scope of the compact; neither party may unilaterally declare a compact dispute resolved. Constitutional questions are appealed to the SC, which must rule within 90 days of petition. Compacts are reviewed on a schedule defined in the compact terms, minimum every 20 years; either party may request a review outside the schedule. The review may result in compact amendment by mutual agreement — neither party can impose amendments. A compact may be terminated by mutual agreement only; neither party may unilaterally terminate; only the Nation may initiate termination, and the Republic must negotiate exit terms within 2 years; if no agreement is reached the compact continues and the dispute is referred to the SC.</w:t>
      </w:r>
    </w:p>
    <w:p>
      <w:pPr>
        <w:spacing w:after="60" w:before="200"/>
        <w:ind w:left="431"/>
        <w:jc w:val="left"/>
      </w:pPr>
      <w:r>
        <w:rPr>
          <w:rFonts w:ascii="Courier New" w:cs="Courier New" w:eastAsia="Courier New" w:hAnsi="Courier New"/>
          <w:b/>
          <w:bCs/>
          <w:color w:val="1B2A4A"/>
          <w:sz w:val="18"/>
          <w:szCs w:val="18"/>
        </w:rPr>
        <w:t xml:space="preserve">§14.5  </w:t>
      </w:r>
      <w:r>
        <w:rPr>
          <w:rFonts w:ascii="Garamond" w:cs="Garamond" w:eastAsia="Garamond" w:hAnsi="Garamond"/>
          <w:b/>
          <w:bCs/>
          <w:i w:val="false"/>
          <w:iCs w:val="false"/>
          <w:color w:val="1B2A4A"/>
          <w:sz w:val="22"/>
          <w:szCs w:val="22"/>
        </w:rPr>
        <w:t xml:space="preserve">Federal Obligations and New Compact Petitions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affirmative obligations to compact territories: federal education funding, healthcare access, infrastructure investment, and emergency response. These obligations are enforceable by the Nation through the compact dispute resolution process. Any resident of compact territory who believes an Article I right has been violated may bring an Emergency Rights Writ directly to the SC, bypassing all lower courts and the compact dispute resolution process; the SC must respond within 7 days. Indigenous communities that do not currently hold a compact may petition the Senate for compact recognition; the Senate must consider the petition within 90 days and either begin negotiations or publish written reasons for declining.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1B2A4A"/>
          <w:sz w:val="18"/>
          <w:szCs w:val="18"/>
        </w:rPr>
        <w:t xml:space="preserve">§14.6  </w:t>
      </w:r>
      <w:r>
        <w:rPr>
          <w:rFonts w:ascii="Garamond" w:cs="Garamond" w:eastAsia="Garamond" w:hAnsi="Garamond"/>
          <w:b/>
          <w:bCs/>
          <w:i w:val="false"/>
          <w:iCs w:val="false"/>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§14.2 and §14.4.</w:t>
      </w:r>
    </w:p>
    <w:p>
      <w:pPr>
        <w:spacing w:after="60" w:before="200"/>
        <w:ind w:left="431"/>
        <w:jc w:val="left"/>
      </w:pPr>
      <w:r>
        <w:rPr>
          <w:rFonts w:ascii="Courier New" w:cs="Courier New" w:eastAsia="Courier New" w:hAnsi="Courier New"/>
          <w:b/>
          <w:bCs/>
          <w:color w:val="1B2A4A"/>
          <w:sz w:val="18"/>
          <w:szCs w:val="18"/>
        </w:rPr>
        <w:t xml:space="preserve">§14.7  </w:t>
      </w:r>
      <w:r>
        <w:rPr>
          <w:rFonts w:ascii="Garamond" w:cs="Garamond" w:eastAsia="Garamond" w:hAnsi="Garamond"/>
          <w:b/>
          <w:bCs/>
          <w:i w:val="false"/>
          <w:iCs w:val="false"/>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An indigenous nation with an established compact under Article XIV holds the constitutional right to initiate a status transition through its own democratic or traditional governance process. Three status options are available: (a) Compact Status — continued Article XIV compact relationship (default; no election required to remain); (b) Territorial Integration — election to pursue territorial incorporation through §13.6, entering as a Territory with the standard §13.2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JEC under §2.14, with the President holding primary authority on border and defense terms under §2.1 and the PM holding primary authority on domestic implementation terms under §2.5;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1B2A4A"/>
          <w:sz w:val="18"/>
          <w:szCs w:val="18"/>
        </w:rPr>
        <w:t xml:space="preserve">§14.7.a  </w:t>
      </w:r>
      <w:r>
        <w:rPr>
          <w:rFonts w:ascii="Garamond" w:cs="Garamond" w:eastAsia="Garamond" w:hAnsi="Garamond"/>
          <w:b/>
          <w:bCs/>
          <w:i w:val="false"/>
          <w:iCs w:val="false"/>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520"/>
          <w:sz w:val="22"/>
          <w:szCs w:val="22"/>
        </w:rPr>
        <w:t xml:space="preserve">A status election under §14.7 requires: (1) a decision by the nation's own governance process, meeting the standards the nation itself defines for major governance decisions; and (2) publication of the election to the NRS within 30 days of the governance decision. A status election is irrevocable — a Nation that elects Territorial Integration or Full Sovereign Independence may not subsequently return to Article XIV compact status. Once a Nation has transitioned to Territory or State status, any further changes follow the standard constitutional processes applicable to that status under Articles XIII and XIX — including mandatory devolution under §13.3 if three consecutive Statehood Audits are failed. A Territory or State that formerly held Article XIV compact status has no special pathway back to compact status;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compact status. At ratification, the Republic must formally notify all recognized indigenous compact nations of their rights under §14.7.</w:t>
      </w:r>
    </w:p>
    <w:p>
      <w:pPr>
        <w:spacing w:after="60" w:before="200"/>
        <w:jc w:val="left"/>
      </w:pPr>
      <w:r>
        <w:rPr>
          <w:rFonts w:ascii="Garamond" w:cs="Garamond" w:eastAsia="Garamond" w:hAnsi="Garamond"/>
          <w:b/>
          <w:bCs/>
          <w:i w:val="false"/>
          <w:iCs w:val="false"/>
          <w:color w:val="1B2A4A"/>
          <w:sz w:val="34"/>
          <w:szCs w:val="34"/>
        </w:rPr>
        <w:t xml:space="preserve">Article XV — Constitutional Amendments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§15.1  </w:t>
      </w:r>
      <w:r>
        <w:rPr>
          <w:rFonts w:ascii="Garamond" w:cs="Garamond" w:eastAsia="Garamond" w:hAnsi="Garamond"/>
          <w:b/>
          <w:bCs/>
          <w:i w:val="false"/>
          <w:iCs w:val="false"/>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A proposed amendment may be withdrawn at any point before ratification is certified. Citizen Initiative Amendment (Path C): Any proposed constitutional amendment supported by a petition of at least 15% of eligible voters, as verified by the LI, proceeds directly to a national referendum. Passage requires 70% of votes cast with a minimum 65% citizen participation; where the participation floor is not met the initiative fails and may not be resubmitted on the same or substantially similar grounds for five years. No legislative or executive action is required to place the initiative on the ballot; the Elections Panel administers the referendum within 180 days of LI petition verification. Path C amendments are subject to §15.5 consistency analysis by the LI, advisory only.</w:t>
      </w:r>
    </w:p>
    <w:p>
      <w:pPr>
        <w:spacing w:after="60" w:before="200"/>
        <w:ind w:left="431"/>
        <w:jc w:val="left"/>
      </w:pPr>
      <w:r>
        <w:rPr>
          <w:rFonts w:ascii="Courier New" w:cs="Courier New" w:eastAsia="Courier New" w:hAnsi="Courier New"/>
          <w:b/>
          <w:bCs/>
          <w:color w:val="1B2A4A"/>
          <w:sz w:val="18"/>
          <w:szCs w:val="18"/>
        </w:rPr>
        <w:t xml:space="preserve">§15.2  </w:t>
      </w:r>
      <w:r>
        <w:rPr>
          <w:rFonts w:ascii="Garamond" w:cs="Garamond" w:eastAsia="Garamond" w:hAnsi="Garamond"/>
          <w:b/>
          <w:bCs/>
          <w:i w:val="false"/>
          <w:iCs w:val="false"/>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520"/>
          <w:sz w:val="22"/>
          <w:szCs w:val="22"/>
        </w:rPr>
        <w:t xml:space="preserve">Neither the President nor the PM has any role in the constitutional amendment process. No signature required. No veto available. An amendment takes effect immediately upon LI certification (State Ratification) or Elections Panel certification (Popular Ratification) and NRS publication — no implementation delay, no executive discretion over timing.</w:t>
      </w:r>
    </w:p>
    <w:p>
      <w:pPr>
        <w:spacing w:after="60" w:before="200"/>
        <w:ind w:left="431"/>
        <w:jc w:val="left"/>
      </w:pPr>
      <w:r>
        <w:rPr>
          <w:rFonts w:ascii="Courier New" w:cs="Courier New" w:eastAsia="Courier New" w:hAnsi="Courier New"/>
          <w:b/>
          <w:bCs/>
          <w:color w:val="1B2A4A"/>
          <w:sz w:val="18"/>
          <w:szCs w:val="18"/>
        </w:rPr>
        <w:t xml:space="preserve">§15.5  </w:t>
      </w:r>
      <w:r>
        <w:rPr>
          <w:rFonts w:ascii="Garamond" w:cs="Garamond" w:eastAsia="Garamond" w:hAnsi="Garamond"/>
          <w:b/>
          <w:bCs/>
          <w:i w:val="false"/>
          <w:iCs w:val="false"/>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520"/>
          <w:sz w:val="22"/>
          <w:szCs w:val="22"/>
        </w:rPr>
        <w:t xml:space="preserve">An amendment that is logically inconsistent with an existing provision must either explicitly repeal the inconsistent provision or the inconsistency is treated as void. The LI publishes a consistency analysis of any proposed amendment within 30 days of its official proposal — advisory, but a permanent public record of what the amendment changes. If a ratified amendment's consistency with existing provisions is disputed, the SC resolves the dispute on expedited review; the SC may not refuse to apply an amendment that has met its procedural thresholds.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LI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1B2A4A"/>
          <w:sz w:val="18"/>
          <w:szCs w:val="18"/>
        </w:rPr>
        <w:t xml:space="preserve">§15.6  </w:t>
      </w:r>
      <w:r>
        <w:rPr>
          <w:rFonts w:ascii="Garamond" w:cs="Garamond" w:eastAsia="Garamond" w:hAnsi="Garamond"/>
          <w:b/>
          <w:bCs/>
          <w:i w:val="false"/>
          <w:iCs w:val="false"/>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spacing w:after="60" w:before="200"/>
        <w:jc w:val="left"/>
      </w:pPr>
      <w:r>
        <w:rPr>
          <w:rFonts w:ascii="Garamond" w:cs="Garamond" w:eastAsia="Garamond" w:hAnsi="Garamond"/>
          <w:b/>
          <w:bCs/>
          <w:i w:val="false"/>
          <w:iCs w:val="false"/>
          <w:color w:val="1B2A4A"/>
          <w:sz w:val="34"/>
          <w:szCs w:val="34"/>
        </w:rPr>
        <w:t xml:space="preserve">Article XVI — The Electoral Commission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§16.1  </w:t>
      </w:r>
      <w:r>
        <w:rPr>
          <w:rFonts w:ascii="Garamond" w:cs="Garamond" w:eastAsia="Garamond" w:hAnsi="Garamond"/>
          <w:b/>
          <w:bCs/>
          <w:i w:val="false"/>
          <w:iCs w:val="false"/>
          <w:color w:val="1B2A4A"/>
          <w:sz w:val="22"/>
          <w:szCs w:val="22"/>
        </w:rPr>
        <w:t xml:space="preserve">Digital Infrastructure Commission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The Digital Infrastructure Commission comprises two constitutionally independent panels — the NRS Panel and the Elections Panel — each responsible for the day-to-day operation of its respective system and for maintaining all constitutional candidate registries and pools within its mandate. The NRS Panel operates the National Record System. The Elections Panel operates the National Voting System and administers all federal elections, referenda, and confirmation votes. Each panel is operationally independent; neither panel may direct the other. The Legislature defines by statute the technical standards, interface requirements, budget, and operational parameters for each system; the panels implement within those statutory parameters. The Chair of each panel is its most senior administrator by continuous service within that panel; where two or more administrators have equal continuous service, the Chair is determined by lot conducted by the JIC. Each panel is independent of both executives and the Legislature in the exercise of its operational functions.</w:t>
      </w:r>
    </w:p>
    <w:p>
      <w:pPr>
        <w:spacing w:after="60" w:before="200"/>
        <w:ind w:left="431"/>
        <w:jc w:val="left"/>
      </w:pPr>
      <w:r>
        <w:rPr>
          <w:rFonts w:ascii="Courier New" w:cs="Courier New" w:eastAsia="Courier New" w:hAnsi="Courier New"/>
          <w:b/>
          <w:bCs/>
          <w:color w:val="1B2A4A"/>
          <w:sz w:val="18"/>
          <w:szCs w:val="18"/>
        </w:rPr>
        <w:t xml:space="preserve">§16.1.a  </w:t>
      </w:r>
      <w:r>
        <w:rPr>
          <w:rFonts w:ascii="Garamond" w:cs="Garamond" w:eastAsia="Garamond" w:hAnsi="Garamond"/>
          <w:b/>
          <w:bCs/>
          <w:i w:val="false"/>
          <w:iCs w:val="false"/>
          <w:color w:val="1B2A4A"/>
          <w:sz w:val="22"/>
          <w:szCs w:val="22"/>
        </w:rPr>
        <w:t xml:space="preserve">DIC Administrator Appointment and Terms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PM nominates DIC administrators from the DIC Administrator Pool maintained by the Elections Panel. The Senate confirms by 2/3 supermajority. Administrators serve a primary 8-year non-renewable term. The PM may grant a single 2-year extension to any administrator before their term expires where a genuine ongoing operational matter requires continuity — the extension and stated reasons must be published to the NRS; the JIC assesses the stated justification and publishes its assessment within 30 days. Extensions are not the constitutional norm; no administrator may serve more than 10 years in total. Within each panel, terms are staggered so that no more than one seat expires in any calendar year, ensuring a continuous seniority hierarchy for the Chair function. At establishment, initial terms within each panel are assigned by lot across three offset starting points — one full 8-year term, one initial term of approximately 5 years, and one initial term of approximately 3 years — creating an immediate seniority hierarchy within each panel from day one. NRS Panel administrators must hold at least 12 years of professional expertise in cryptography, distributed systems, or public records management. Elections Panel administrators must hold at least 12 years of professional expertise in elections administration or electoral technology. All administrators must hold no current or recent partisan affiliation.</w:t>
      </w:r>
    </w:p>
    <w:p>
      <w:pPr>
        <w:spacing w:after="60" w:before="200"/>
        <w:ind w:left="431"/>
        <w:jc w:val="left"/>
      </w:pPr>
      <w:r>
        <w:rPr>
          <w:rFonts w:ascii="Courier New" w:cs="Courier New" w:eastAsia="Courier New" w:hAnsi="Courier New"/>
          <w:b/>
          <w:bCs/>
          <w:color w:val="1B2A4A"/>
          <w:sz w:val="18"/>
          <w:szCs w:val="18"/>
        </w:rPr>
        <w:t xml:space="preserve">§16.1.c  </w:t>
      </w:r>
      <w:r>
        <w:rPr>
          <w:rFonts w:ascii="Garamond" w:cs="Garamond" w:eastAsia="Garamond" w:hAnsi="Garamond"/>
          <w:b/>
          <w:bCs/>
          <w:i w:val="false"/>
          <w:iCs w:val="false"/>
          <w:color w:val="1B2A4A"/>
          <w:sz w:val="22"/>
          <w:szCs w:val="22"/>
        </w:rPr>
        <w:t xml:space="preserve">Removal and Accountability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For-cause removal of any DIC administrator follows §8.15 Standard Track. The EI oversees each panel for executive accountability purposes. The JIC audits NRS operation and integrity compliance annually under §8.12; the JI audits Elections Panel operations and electoral integrity annually.</w:t>
      </w:r>
    </w:p>
    <w:p>
      <w:pPr>
        <w:spacing w:after="60" w:before="200"/>
        <w:ind w:left="431"/>
        <w:jc w:val="left"/>
      </w:pPr>
      <w:r>
        <w:rPr>
          <w:rFonts w:ascii="Courier New" w:cs="Courier New" w:eastAsia="Courier New" w:hAnsi="Courier New"/>
          <w:b/>
          <w:bCs/>
          <w:color w:val="1B2A4A"/>
          <w:sz w:val="18"/>
          <w:szCs w:val="18"/>
        </w:rPr>
        <w:t xml:space="preserve">§16.3  </w:t>
      </w:r>
      <w:r>
        <w:rPr>
          <w:rFonts w:ascii="Garamond" w:cs="Garamond" w:eastAsia="Garamond" w:hAnsi="Garamond"/>
          <w:b/>
          <w:bCs/>
          <w:i w:val="false"/>
          <w:iCs w:val="false"/>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Every citizen holds the right to vote in federal elections. The Elections Panel issues and manages the Citizen Voting Credential, storing only cryptographic identifiers — not names or biometric data. States may offer early voting, mail-in ballots, and alternative participation methods provided all methods connect to the NVS and meet its constitutional standards. No State may reduce NVS access, functionality, or availability within its territory.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1B2A4A"/>
          <w:sz w:val="18"/>
          <w:szCs w:val="18"/>
        </w:rPr>
        <w:t xml:space="preserve">§16.5  </w:t>
      </w:r>
      <w:r>
        <w:rPr>
          <w:rFonts w:ascii="Garamond" w:cs="Garamond" w:eastAsia="Garamond" w:hAnsi="Garamond"/>
          <w:b/>
          <w:bCs/>
          <w:i w:val="false"/>
          <w:iCs w:val="false"/>
          <w:color w:val="1B2A4A"/>
          <w:sz w:val="22"/>
          <w:szCs w:val="22"/>
        </w:rPr>
        <w:t xml:space="preserve">DIC Accountability and Emergency Authority</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panel administrator seat becomes vacant mid-term, the PM nominates a replacement within 60 days and the Senate confirms within 90 days of the vacancy opening; failure to confirm within that period is a constitutional compliance breach. The replacement serves the remainder of the vacated term only. The Legislature must establish by statute a procedure for each panel to adopt temporary technical measures in response to imminent security threats or system failures within its domain; emergency measures may not change electoral rules, timelines, or NRS record permanence; they expire within 72 hours unless the full panel ratifies them by majority vote. The Legislature must by statute establish the transition from any predecessor voting infrastructure to the constitutionally required NVS, ensuring no gap in democratic participation.</w:t>
      </w:r>
    </w:p>
    <w:p>
      <w:pPr>
        <w:spacing w:after="60" w:before="200"/>
        <w:jc w:val="left"/>
      </w:pPr>
      <w:r>
        <w:rPr>
          <w:rFonts w:ascii="Garamond" w:cs="Garamond" w:eastAsia="Garamond" w:hAnsi="Garamond"/>
          <w:b/>
          <w:bCs/>
          <w:i w:val="false"/>
          <w:iCs w:val="false"/>
          <w:color w:val="1B2A4A"/>
          <w:sz w:val="34"/>
          <w:szCs w:val="34"/>
        </w:rPr>
        <w:t xml:space="preserve">Article XVII — Federal Property and National Trust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§17.1  </w:t>
      </w:r>
      <w:r>
        <w:rPr>
          <w:rFonts w:ascii="Garamond" w:cs="Garamond" w:eastAsia="Garamond" w:hAnsi="Garamond"/>
          <w:b/>
          <w:bCs/>
          <w:i w:val="false"/>
          <w:iCs w:val="false"/>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w:t>
      </w:r>
    </w:p>
    <w:p>
      <w:pPr>
        <w:spacing w:after="60" w:before="200"/>
        <w:ind w:left="431"/>
        <w:jc w:val="left"/>
      </w:pPr>
      <w:r>
        <w:rPr>
          <w:rFonts w:ascii="Courier New" w:cs="Courier New" w:eastAsia="Courier New" w:hAnsi="Courier New"/>
          <w:b/>
          <w:bCs/>
          <w:color w:val="1B2A4A"/>
          <w:sz w:val="18"/>
          <w:szCs w:val="18"/>
        </w:rPr>
        <w:t xml:space="preserve">§17.2  </w:t>
      </w:r>
      <w:r>
        <w:rPr>
          <w:rFonts w:ascii="Garamond" w:cs="Garamond" w:eastAsia="Garamond" w:hAnsi="Garamond"/>
          <w:b/>
          <w:bCs/>
          <w:i w:val="false"/>
          <w:iCs w:val="false"/>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holds no territorial sovereignty at its Seat of Government. The Seat is hosted by a State or Territory selected through a competitive bid process. The PM publishes a Requirements Specification to the NRS defining minimum functional, security, physical, and operational requirements; the Legislature establishes specific standards by statute. Any State or Territory may submit a bid; the House selects one by ordinary statute. The hosting arrangement grants the federal government Operational Use Rights over the designated footprint;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federal government must issue a new call for bids every twenty years; if no bids are submitted, the existing arrangement continues. When the Seat moves to a new host, a two-year transition window begins; prior improvements revert to the departing host with the land unless a retention agreement is reached within the statutory window.</w:t>
      </w:r>
    </w:p>
    <w:p>
      <w:pPr>
        <w:spacing w:after="60" w:before="200"/>
        <w:ind w:left="431"/>
        <w:jc w:val="left"/>
      </w:pPr>
      <w:r>
        <w:rPr>
          <w:rFonts w:ascii="Courier New" w:cs="Courier New" w:eastAsia="Courier New" w:hAnsi="Courier New"/>
          <w:b/>
          <w:bCs/>
          <w:color w:val="1B2A4A"/>
          <w:sz w:val="18"/>
          <w:szCs w:val="18"/>
        </w:rPr>
        <w:t xml:space="preserve">§17.3  </w:t>
      </w:r>
      <w:r>
        <w:rPr>
          <w:rFonts w:ascii="Garamond" w:cs="Garamond" w:eastAsia="Garamond" w:hAnsi="Garamond"/>
          <w:b/>
          <w:bCs/>
          <w:i w:val="false"/>
          <w:iCs w:val="false"/>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520"/>
          <w:sz w:val="22"/>
          <w:szCs w:val="22"/>
        </w:rPr>
        <w:t xml:space="preserve">When a federal function ends, the Operational Use Right terminates automatically; the federal government must publish notice of termination to the NRS within the period defined by statute. The land and all improvements revert to the host State automatically unless the federal government and host State negotiate a retention agreement within the statutory reversion window. Disputes over use right boundaries, termination,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1B2A4A"/>
          <w:sz w:val="18"/>
          <w:szCs w:val="18"/>
        </w:rPr>
        <w:t xml:space="preserve">§17.4  </w:t>
      </w:r>
      <w:r>
        <w:rPr>
          <w:rFonts w:ascii="Garamond" w:cs="Garamond" w:eastAsia="Garamond" w:hAnsi="Garamond"/>
          <w:b/>
          <w:bCs/>
          <w:i w:val="false"/>
          <w:iCs w:val="false"/>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threshold plus SC review within 60 days confirming compliance with any applicable international obligations. International conservation agreements require a 2/3 Senate vote to withdraw before the national removal process begins. Land designated National Trust carries an active stewardship obligation: the federal government must maintain ecological integrity and public accessibility; the EI monitors compliance annually cross-referenced with §1.23. States and indigenous nations may enter co-management agreements with the Domestic Affairs Council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EI's annual monitoring authority.</w:t>
      </w:r>
    </w:p>
    <w:p>
      <w:pPr>
        <w:spacing w:after="60" w:before="200"/>
        <w:ind w:left="431"/>
        <w:jc w:val="left"/>
      </w:pPr>
      <w:r>
        <w:rPr>
          <w:rFonts w:ascii="Courier New" w:cs="Courier New" w:eastAsia="Courier New" w:hAnsi="Courier New"/>
          <w:b/>
          <w:bCs/>
          <w:color w:val="1B2A4A"/>
          <w:sz w:val="18"/>
          <w:szCs w:val="18"/>
        </w:rPr>
        <w:t xml:space="preserve">§17.5  </w:t>
      </w:r>
      <w:r>
        <w:rPr>
          <w:rFonts w:ascii="Garamond" w:cs="Garamond" w:eastAsia="Garamond" w:hAnsi="Garamond"/>
          <w:b/>
          <w:bCs/>
          <w:i w:val="false"/>
          <w:iCs w:val="false"/>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Federal operational use rights in Territories follow the same framework as in States under §17.3 and §17.4. Host State legislative consent is not required because Territories have no State legislature; the Territory's representative body and the LI are consulted before any use right is registered.</w:t>
      </w:r>
    </w:p>
    <w:p>
      <w:pPr>
        <w:spacing w:after="60" w:before="200"/>
        <w:jc w:val="left"/>
      </w:pPr>
      <w:r>
        <w:rPr>
          <w:rFonts w:ascii="Garamond" w:cs="Garamond" w:eastAsia="Garamond" w:hAnsi="Garamond"/>
          <w:b/>
          <w:bCs/>
          <w:i w:val="false"/>
          <w:iCs w:val="false"/>
          <w:color w:val="1B2A4A"/>
          <w:sz w:val="34"/>
          <w:szCs w:val="34"/>
        </w:rPr>
        <w:t xml:space="preserve">Article XVIII — Electoral Finance and Campaign Conduct</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§18.1  </w:t>
      </w:r>
      <w:r>
        <w:rPr>
          <w:rFonts w:ascii="Garamond" w:cs="Garamond" w:eastAsia="Garamond" w:hAnsi="Garamond"/>
          <w:b/>
          <w:bCs/>
          <w:i w:val="false"/>
          <w:iCs w:val="false"/>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520"/>
          <w:sz w:val="22"/>
          <w:szCs w:val="22"/>
        </w:rPr>
        <w:t xml:space="preserve">Electoral finance is regulated to prevent structural distortion of democratic accountability through concentrated financial influence. 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1B2A4A"/>
          <w:sz w:val="18"/>
          <w:szCs w:val="18"/>
        </w:rPr>
        <w:t xml:space="preserve">§18.2  </w:t>
      </w:r>
      <w:r>
        <w:rPr>
          <w:rFonts w:ascii="Garamond" w:cs="Garamond" w:eastAsia="Garamond" w:hAnsi="Garamond"/>
          <w:b/>
          <w:bCs/>
          <w:i w:val="false"/>
          <w:iCs w:val="false"/>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520"/>
          <w:sz w:val="22"/>
          <w:szCs w:val="22"/>
        </w:rPr>
        <w:t xml:space="preserve">Candidates for constitutional office campaign in compliance with published Elections Panel conduct standards prohibition on demonstrably false statements of material fact about a candidate's recorded votes; prohibition on impersonating other candidates; prohibition on vote suppression activities; and prohibition on interference with the electoral administration process. Characterization, emphasis, and contextual framing of voting records are protected expression. Campaign communications must clearly identify their sponsor. Fabricated or deceptively edited communications about other candidates are a constitutional violation.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1B2A4A"/>
          <w:sz w:val="18"/>
          <w:szCs w:val="18"/>
        </w:rPr>
        <w:t xml:space="preserve">§18.3  </w:t>
      </w:r>
      <w:r>
        <w:rPr>
          <w:rFonts w:ascii="Garamond" w:cs="Garamond" w:eastAsia="Garamond" w:hAnsi="Garamond"/>
          <w:b/>
          <w:bCs/>
          <w:i w:val="false"/>
          <w:iCs w:val="false"/>
          <w:color w:val="1B2A4A"/>
          <w:sz w:val="22"/>
          <w:szCs w:val="22"/>
        </w:rPr>
        <w:t xml:space="preserve">Public Campaign Financing</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maintains a publicly funded campaign financing system as an alternative to private fundraising. The system provides all registered candidates with equal baseline funding; no allocation may advantage incumbents or established parties. Candidates who accept public financing are subject to spending limits defined by statute. The Legislature may create a matching funds component amplifying small donations; matching thresholds, caps, and ratios must apply equally to all participating candidates. The Elections Panel administers disbursement and audits all campaign finance records within the period defined by statute following any election. Candidates who receive impermissible contributions must report them within 10 days and either return them or have them treated as undisclosed.</w:t>
      </w:r>
    </w:p>
    <w:p>
      <w:pPr>
        <w:spacing w:after="60" w:before="200"/>
        <w:jc w:val="left"/>
      </w:pPr>
      <w:r>
        <w:rPr>
          <w:rFonts w:ascii="Garamond" w:cs="Garamond" w:eastAsia="Garamond" w:hAnsi="Garamond"/>
          <w:b/>
          <w:bCs/>
          <w:i w:val="false"/>
          <w:iCs w:val="false"/>
          <w:color w:val="1B2A4A"/>
          <w:sz w:val="34"/>
          <w:szCs w:val="34"/>
        </w:rPr>
        <w:t xml:space="preserve">Article XIX — Transition and Ratification</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§19.1  </w:t>
      </w:r>
      <w:r>
        <w:rPr>
          <w:rFonts w:ascii="Garamond" w:cs="Garamond" w:eastAsia="Garamond" w:hAnsi="Garamond"/>
          <w:b/>
          <w:bCs/>
          <w:i w:val="false"/>
          <w:iCs w:val="false"/>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This constitution takes effect upon: (1) interim Elections Panel certification that the NVS is operational and meets §16.3; and (2) a national ratification vote achieving 60% affirmative support with at least 50% participation. Ratification creates binding constitutional obligations on all governmental actors from Day Zero. Where multiple sovereign nations simultaneously pool sovereignty through a treaty of union, transition provisions adapt: joint Phase 0/1 certification, consolidated debt assumption, and proportional obligation assumption per treaty terms.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w:t>
      </w:r>
    </w:p>
    <w:p>
      <w:pPr>
        <w:spacing w:after="60" w:before="200"/>
        <w:ind w:left="431"/>
        <w:jc w:val="left"/>
      </w:pPr>
      <w:r>
        <w:rPr>
          <w:rFonts w:ascii="Courier New" w:cs="Courier New" w:eastAsia="Courier New" w:hAnsi="Courier New"/>
          <w:b/>
          <w:bCs/>
          <w:color w:val="1B2A4A"/>
          <w:sz w:val="18"/>
          <w:szCs w:val="18"/>
        </w:rPr>
        <w:t xml:space="preserve">§19.2  </w:t>
      </w:r>
      <w:r>
        <w:rPr>
          <w:rFonts w:ascii="Garamond" w:cs="Garamond" w:eastAsia="Garamond" w:hAnsi="Garamond"/>
          <w:b/>
          <w:bCs/>
          <w:i w:val="false"/>
          <w:iCs w:val="false"/>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520"/>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Inspectorate panel formed; Phase 1 — Emergency Stabilization (Days 1–90), during which existing officials serve as caretakers and social state continuity is the priority; Phase 2 — Institutional Construction (Days 91–270), during which Statehood Audits are conducted, Inspectorates formally constituted, and the NVS fully deployed; Phase 3 — First Elections (Days 271–450), encompassing the first the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1B2A4A"/>
          <w:sz w:val="18"/>
          <w:szCs w:val="18"/>
        </w:rPr>
        <w:t xml:space="preserve">§19.4  </w:t>
      </w:r>
      <w:r>
        <w:rPr>
          <w:rFonts w:ascii="Garamond" w:cs="Garamond" w:eastAsia="Garamond" w:hAnsi="Garamond"/>
          <w:b/>
          <w:bCs/>
          <w:i w:val="false"/>
          <w:iCs w:val="false"/>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All existing government officials serve as caretakers during the Transition Window — restricted to maintaining existing services only; no new permanent legislation. Transition is supervised by a joint Inspectorate panel of one representative per Inspectorate appointed by their respective IGs; the panel dissolves automatically at the Transition Window's conclusion.</w:t>
      </w:r>
    </w:p>
    <w:p>
      <w:pPr>
        <w:spacing w:after="60" w:before="200"/>
        <w:ind w:left="431"/>
        <w:jc w:val="left"/>
      </w:pPr>
      <w:r>
        <w:rPr>
          <w:rFonts w:ascii="Courier New" w:cs="Courier New" w:eastAsia="Courier New" w:hAnsi="Courier New"/>
          <w:b/>
          <w:bCs/>
          <w:color w:val="1B2A4A"/>
          <w:sz w:val="18"/>
          <w:szCs w:val="18"/>
        </w:rPr>
        <w:t xml:space="preserve">§19.5  </w:t>
      </w:r>
      <w:r>
        <w:rPr>
          <w:rFonts w:ascii="Garamond" w:cs="Garamond" w:eastAsia="Garamond" w:hAnsi="Garamond"/>
          <w:b/>
          <w:bCs/>
          <w:i w:val="false"/>
          <w:iCs w:val="false"/>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Legislature must establish a Classification Review Commission within 90 days of Phase 4 activation. The Commission applies constitutional classification criteria to predecessor classified material: legitimately classified material enters the standard classification framework from Day Zero; improperly classified material is immediately declassified and published to the NRS. Any person may challenge a Commission determination before the SC.</w:t>
      </w:r>
    </w:p>
    <w:p>
      <w:pPr>
        <w:spacing w:after="60" w:before="200"/>
        <w:ind w:left="431"/>
        <w:jc w:val="left"/>
      </w:pPr>
      <w:r>
        <w:rPr>
          <w:rFonts w:ascii="Courier New" w:cs="Courier New" w:eastAsia="Courier New" w:hAnsi="Courier New"/>
          <w:b/>
          <w:bCs/>
          <w:color w:val="1B2A4A"/>
          <w:sz w:val="18"/>
          <w:szCs w:val="18"/>
        </w:rPr>
        <w:t xml:space="preserve">§19.6  </w:t>
      </w:r>
      <w:r>
        <w:rPr>
          <w:rFonts w:ascii="Garamond" w:cs="Garamond" w:eastAsia="Garamond" w:hAnsi="Garamond"/>
          <w:b/>
          <w:bCs/>
          <w:i w:val="false"/>
          <w:iCs w:val="false"/>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tier framework can apply; the President, once inaugurated, must certify each active operation under the appropriate tier within 14 days or begin orderly cessation; operations not certified within 60 days cease unless the Legislature grants a one-time extension.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1B2A4A"/>
          <w:sz w:val="18"/>
          <w:szCs w:val="18"/>
        </w:rPr>
        <w:t xml:space="preserve">§19.7  </w:t>
      </w:r>
      <w:r>
        <w:rPr>
          <w:rFonts w:ascii="Garamond" w:cs="Garamond" w:eastAsia="Garamond" w:hAnsi="Garamond"/>
          <w:b/>
          <w:bCs/>
          <w:i w:val="false"/>
          <w:iCs w:val="false"/>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520"/>
          <w:sz w:val="22"/>
          <w:szCs w:val="22"/>
        </w:rPr>
        <w:t xml:space="preserve">Territories or subdivisions meeting the Statehood Audit Competency Baseline by Phase 2 end may petition to enter as State or Territory. Those failing the Baseline enter as Territory and may begin the Statehood Audit immediately. Any territory may choose Territory status by simple legislative vote regardless of whether it meets the Statehood Baseline.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House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§13.2 path.</w:t>
      </w:r>
    </w:p>
    <w:p>
      <w:pPr>
        <w:spacing w:after="60" w:before="200"/>
        <w:ind w:left="431"/>
        <w:jc w:val="left"/>
      </w:pPr>
      <w:r>
        <w:rPr>
          <w:rFonts w:ascii="Courier New" w:cs="Courier New" w:eastAsia="Courier New" w:hAnsi="Courier New"/>
          <w:b/>
          <w:bCs/>
          <w:color w:val="1B2A4A"/>
          <w:sz w:val="18"/>
          <w:szCs w:val="18"/>
        </w:rPr>
        <w:t xml:space="preserve">§19.8  </w:t>
      </w:r>
      <w:r>
        <w:rPr>
          <w:rFonts w:ascii="Garamond" w:cs="Garamond" w:eastAsia="Garamond" w:hAnsi="Garamond"/>
          <w:b/>
          <w:bCs/>
          <w:i w:val="false"/>
          <w:iCs w:val="false"/>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520"/>
          <w:sz w:val="22"/>
          <w:szCs w:val="22"/>
        </w:rPr>
        <w:t xml:space="preserve">The joint Inspectorate panel assembles the initial Candidate Registers for all constitutionally established positions before Phase 3 elections can occur. The panel performs the register-assembly and vetting function that permanent Inspectorates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PM must nominate MA board members within 90 days of Phase 4 activation.</w:t>
      </w:r>
    </w:p>
    <w:p>
      <w:pPr>
        <w:spacing w:after="60" w:before="200"/>
        <w:ind w:left="431"/>
        <w:jc w:val="left"/>
      </w:pPr>
      <w:r>
        <w:rPr>
          <w:rFonts w:ascii="Courier New" w:cs="Courier New" w:eastAsia="Courier New" w:hAnsi="Courier New"/>
          <w:b/>
          <w:bCs/>
          <w:color w:val="1B2A4A"/>
          <w:sz w:val="18"/>
          <w:szCs w:val="18"/>
        </w:rPr>
        <w:t xml:space="preserve">§19.9  </w:t>
      </w:r>
      <w:r>
        <w:rPr>
          <w:rFonts w:ascii="Garamond" w:cs="Garamond" w:eastAsia="Garamond" w:hAnsi="Garamond"/>
          <w:b/>
          <w:bCs/>
          <w:i w:val="false"/>
          <w:iCs w:val="false"/>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1B2A4A"/>
          <w:sz w:val="18"/>
          <w:szCs w:val="18"/>
        </w:rPr>
        <w:t xml:space="preserve">§19.10  </w:t>
      </w:r>
      <w:r>
        <w:rPr>
          <w:rFonts w:ascii="Garamond" w:cs="Garamond" w:eastAsia="Garamond" w:hAnsi="Garamond"/>
          <w:b/>
          <w:bCs/>
          <w:i w:val="false"/>
          <w:iCs w:val="false"/>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520"/>
          <w:sz w:val="22"/>
          <w:szCs w:val="22"/>
        </w:rPr>
        <w:t xml:space="preserve">Where this Constitution assigns a specific function to a statutory independent agency under §3.9, the Legislature must establish that agency within the following timeframes from Phase 4 activation: the CLT Administrator under §5.1.c, within 180 days; the Census Bureau under §3.2, within 18 months. Where the Legislature fails to meet a deadline, §3.9 applies: the function is administered on an interim basis by the responsible Inspectorate until the agency is established. The LI publishes a compliance notice when any establishment deadline is missed and again when the agency becomes operational. The Legislature may not permanently delegate a constitutionally required statutory function to an Inspectorate in lieu of establishing the required agency.</w:t>
      </w:r>
    </w:p>
    <w:p>
      <w:pPr>
        <w:spacing w:after="60" w:before="200"/>
        <w:jc w:val="left"/>
      </w:pPr>
      <w:r>
        <w:rPr>
          <w:rFonts w:ascii="Garamond" w:cs="Garamond" w:eastAsia="Garamond" w:hAnsi="Garamond"/>
          <w:b/>
          <w:bCs/>
          <w:i w:val="false"/>
          <w:iCs w:val="false"/>
          <w:color w:val="1B2A4A"/>
          <w:sz w:val="34"/>
          <w:szCs w:val="34"/>
        </w:rPr>
        <w:t xml:space="preserve">Article XX — Associated Communities</w:t>
      </w:r>
    </w:p>
    <w:p>
      <w:pPr>
        <w:spacing w:after="120" w:before="0"/>
      </w:pPr>
      <w:r>
        <w:t xml:space="preserve"/>
      </w:r>
    </w:p>
    <w:p>
      <w:pPr>
        <w:spacing w:after="60" w:before="200"/>
        <w:ind w:left="431"/>
        <w:jc w:val="left"/>
      </w:pPr>
      <w:r>
        <w:rPr>
          <w:rFonts w:ascii="Courier New" w:cs="Courier New" w:eastAsia="Courier New" w:hAnsi="Courier New"/>
          <w:b/>
          <w:bCs/>
          <w:color w:val="1B2A4A"/>
          <w:sz w:val="18"/>
          <w:szCs w:val="18"/>
        </w:rPr>
        <w:t xml:space="preserve">§20.1  </w:t>
      </w:r>
      <w:r>
        <w:rPr>
          <w:rFonts w:ascii="Garamond" w:cs="Garamond" w:eastAsia="Garamond" w:hAnsi="Garamond"/>
          <w:b/>
          <w:bCs/>
          <w:i w:val="false"/>
          <w:iCs w:val="false"/>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520"/>
          <w:sz w:val="22"/>
          <w:szCs w:val="22"/>
        </w:rPr>
        <w:t xml:space="preserve">Exclusively for sovereign entities — not a form of State or Territory status, not transitional, not incorporation. Available to nations that have completed the independence process under §13.7, to independent nations outside the Republic seeking a defined relationship, or to nations recognized as pre-existing sovereigns under Article XIV. Indigenous nations holding rights under Article XIV may not substitute an Article XX compact for their Article XIV compact relationship without first completing a status election under §14.7.a.</w:t>
      </w:r>
    </w:p>
    <w:p>
      <w:pPr>
        <w:spacing w:after="60" w:before="200"/>
        <w:ind w:left="431"/>
        <w:jc w:val="left"/>
      </w:pPr>
      <w:r>
        <w:rPr>
          <w:rFonts w:ascii="Courier New" w:cs="Courier New" w:eastAsia="Courier New" w:hAnsi="Courier New"/>
          <w:b/>
          <w:bCs/>
          <w:color w:val="1B2A4A"/>
          <w:sz w:val="18"/>
          <w:szCs w:val="18"/>
        </w:rPr>
        <w:t xml:space="preserve">§20.2  </w:t>
      </w:r>
      <w:r>
        <w:rPr>
          <w:rFonts w:ascii="Garamond" w:cs="Garamond" w:eastAsia="Garamond" w:hAnsi="Garamond"/>
          <w:b/>
          <w:bCs/>
          <w:i w:val="false"/>
          <w:iCs w:val="false"/>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1B2A4A"/>
          <w:sz w:val="18"/>
          <w:szCs w:val="18"/>
        </w:rPr>
        <w:t xml:space="preserve">§20.3  </w:t>
      </w:r>
      <w:r>
        <w:rPr>
          <w:rFonts w:ascii="Garamond" w:cs="Garamond" w:eastAsia="Garamond" w:hAnsi="Garamond"/>
          <w:b/>
          <w:bCs/>
          <w:i w:val="false"/>
          <w:iCs w:val="false"/>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520"/>
          <w:sz w:val="22"/>
          <w:szCs w:val="22"/>
        </w:rPr>
        <w:t xml:space="preserve">No compact may be entered or ratified with any entity whose governance practices include, authorize, or systematically permit violations of any of the non-derogable rights established in §1.26.b, committed against any person within its jurisdiction. The Judicial Inspectorate certifies compliance with this condition before parliamentary ratification of any compact; a compact negotiated with a non-compliant entity is void regardless of parliamentary ratification. The JI conducts annual compliance reviews and publishes findings to the NRS. Where the JI finds systematic violations of the non-derogable rights under §1.26.b, the compact is suspended pending Supreme Court review. The Court may terminate the compact on confirmed systematic violations without remediation within a period the Legislature defines by statute.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During suspension, both parties' obligations under the compact continue in effect pending the SC's determination; the Associated Community's observer delegate rights are suspended for the duration of the review.</w:t>
      </w:r>
    </w:p>
    <w:p>
      <w:pPr>
        <w:spacing w:after="60" w:before="200"/>
        <w:ind w:left="431"/>
        <w:jc w:val="left"/>
      </w:pPr>
      <w:r>
        <w:rPr>
          <w:rFonts w:ascii="Courier New" w:cs="Courier New" w:eastAsia="Courier New" w:hAnsi="Courier New"/>
          <w:b/>
          <w:bCs/>
          <w:color w:val="1B2A4A"/>
          <w:sz w:val="18"/>
          <w:szCs w:val="18"/>
        </w:rPr>
        <w:t xml:space="preserve">§20.4  </w:t>
      </w:r>
      <w:r>
        <w:rPr>
          <w:rFonts w:ascii="Garamond" w:cs="Garamond" w:eastAsia="Garamond" w:hAnsi="Garamond"/>
          <w:b/>
          <w:bCs/>
          <w:i w:val="false"/>
          <w:iCs w:val="false"/>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Republic receives written notice of termination,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1B2A4A"/>
          <w:sz w:val="18"/>
          <w:szCs w:val="18"/>
        </w:rPr>
        <w:t xml:space="preserve">§20.5  </w:t>
      </w:r>
      <w:r>
        <w:rPr>
          <w:rFonts w:ascii="Garamond" w:cs="Garamond" w:eastAsia="Garamond" w:hAnsi="Garamond"/>
          <w:b/>
          <w:bCs/>
          <w:i w:val="false"/>
          <w:iCs w:val="false"/>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1B2A4A"/>
          <w:sz w:val="18"/>
          <w:szCs w:val="18"/>
        </w:rPr>
        <w:t xml:space="preserve">§20.6  </w:t>
      </w:r>
      <w:r>
        <w:rPr>
          <w:rFonts w:ascii="Garamond" w:cs="Garamond" w:eastAsia="Garamond" w:hAnsi="Garamond"/>
          <w:b/>
          <w:bCs/>
          <w:i w:val="false"/>
          <w:iCs w:val="false"/>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520"/>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The JI certification under §20.3 must be published to the NRS before the Senate may hold a ratification vote.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1B2A4A"/>
          <w:sz w:val="18"/>
          <w:szCs w:val="18"/>
        </w:rPr>
        <w:t xml:space="preserve">§20.7  </w:t>
      </w:r>
      <w:r>
        <w:rPr>
          <w:rFonts w:ascii="Garamond" w:cs="Garamond" w:eastAsia="Garamond" w:hAnsi="Garamond"/>
          <w:b/>
          <w:bCs/>
          <w:i w:val="false"/>
          <w:iCs w:val="false"/>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520"/>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6"/>
      </w:pBdr>
      <w:tabs>
        <w:tab w:val="right" w:pos="9026"/>
      </w:tabs>
      <w:spacing w:before="120"/>
    </w:pPr>
    <w:r>
      <w:rPr>
        <w:rFonts w:ascii="Courier New" w:cs="Courier New" w:eastAsia="Courier New" w:hAnsi="Courier New"/>
        <w:b w:val="false"/>
        <w:bCs w:val="false"/>
        <w:color w:val="7a7060"/>
        <w:sz w:val="16"/>
        <w:szCs w:val="16"/>
      </w:rPr>
      <w:t xml:space="preserve">thefederatedrepublic.org</w:t>
    </w:r>
    <w:r>
      <w:rPr>
        <w:rFonts w:ascii="Courier New" w:cs="Courier New" w:eastAsia="Courier New" w:hAnsi="Courier New"/>
        <w:sz w:val="16"/>
        <w:szCs w:val="16"/>
      </w:rPr>
      <w:t xml:space="preserve">	</w:t>
    </w:r>
    <w:r>
      <w:rPr>
        <w:rFonts w:ascii="Courier New" w:cs="Courier New" w:eastAsia="Courier New" w:hAnsi="Courier New"/>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6"/>
      </w:pBdr>
      <w:spacing w:after="120"/>
    </w:pPr>
    <w:r>
      <w:rPr>
        <w:rFonts w:ascii="Courier New" w:cs="Courier New" w:eastAsia="Courier New" w:hAnsi="Courier New"/>
        <w:b w:val="false"/>
        <w:bCs w:val="false"/>
        <w:color w:val="7a706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94051c31ef06174dbc68ab8e9916156b6af92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2026-05-23T15:01:16.339Z</dcterms:created>
  <dcterms:modified xsi:type="dcterms:W3CDTF">2026-05-23T15:01:16.350Z</dcterms:modified>
</cp:coreProperties>
</file>

<file path=docProps/custom.xml><?xml version="1.0" encoding="utf-8"?>
<Properties xmlns="http://schemas.openxmlformats.org/officeDocument/2006/custom-properties" xmlns:vt="http://schemas.openxmlformats.org/officeDocument/2006/docPropsVTypes"/>
</file>