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516D4"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13E9BE20"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092F95E3" w14:textId="30E152CC" w:rsidR="00AF3D56" w:rsidRDefault="00000000">
      <w:pPr>
        <w:spacing w:before="240"/>
        <w:jc w:val="center"/>
      </w:pPr>
      <w:r>
        <w:rPr>
          <w:rFonts w:ascii="Garamond" w:eastAsia="Garamond" w:hAnsi="Garamond" w:cs="Garamond"/>
          <w:i/>
          <w:iCs/>
          <w:color w:val="7A7060"/>
          <w:sz w:val="22"/>
          <w:szCs w:val="22"/>
        </w:rPr>
        <w:t xml:space="preserve">162 Provisions · 20 Articles</w:t>
      </w:r>
    </w:p>
    <w:p w14:paraId="0195EB27" w14:textId="77777777" w:rsidR="00AF3D56" w:rsidRDefault="00000000">
      <w:pPr>
        <w:spacing w:before="60"/>
        <w:jc w:val="center"/>
      </w:pPr>
      <w:r>
        <w:rPr>
          <w:rFonts w:ascii="Garamond" w:eastAsia="Garamond" w:hAnsi="Garamond" w:cs="Garamond"/>
          <w:color w:val="7A7060"/>
          <w:sz w:val="18"/>
          <w:szCs w:val="18"/>
        </w:rPr>
        <w:t>thefederatedrepublic.org</w:t>
      </w:r>
    </w:p>
    <w:p w14:paraId="6F6AE7C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734B5287" w14:textId="77777777" w:rsidR="00AF3D56" w:rsidRDefault="00000000">
      <w:pPr>
        <w:spacing w:before="200" w:after="60"/>
        <w:ind w:left="431"/>
      </w:pPr>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Right to Courts and Legal Remedy</w:t>
      </w:r>
    </w:p>
    <w:p w14:paraId="2BA9ED1F"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30FA7D47" w14:textId="77777777" w:rsidR="00AF3D56" w:rsidRDefault="00000000">
      <w:pPr>
        <w:spacing w:before="200" w:after="60"/>
        <w:ind w:left="431"/>
      </w:pPr>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Individual Sovereignty Floor</w:t>
      </w:r>
    </w:p>
    <w:p w14:paraId="14A4DD6B"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13CF166F" w14:textId="77777777" w:rsidR="00AF3D56" w:rsidRDefault="00000000">
      <w:pPr>
        <w:spacing w:before="200" w:after="60"/>
        <w:ind w:left="431"/>
      </w:pPr>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Prohibition of Torture and Cruel Treatment</w:t>
      </w:r>
    </w:p>
    <w:p w14:paraId="0A9C5B85" w14:textId="77777777" w:rsidR="00AF3D56" w:rsidRDefault="00000000">
      <w:pPr>
        <w:spacing w:after="120"/>
        <w:ind w:left="431"/>
        <w:jc w:val="both"/>
      </w:pPr>
      <w:r>
        <w:rPr>
          <w:rFonts w:ascii="Garamond" w:eastAsia="Garamond" w:hAnsi="Garamond" w:cs="Garamond"/>
          <w:color w:val="2A2A2A"/>
          <w:sz w:val="22"/>
          <w:szCs w:val="22"/>
        </w:rPr>
        <w:t>Torture and cruel, inhuman, or degrading treatment are absolutely prohibited. No person within the Republic's jurisdiction may be subjected to any such treatment. This right is non-derogable under §1.19.a.</w:t>
      </w:r>
    </w:p>
    <w:p w14:paraId="2B6FC3D3" w14:textId="77777777" w:rsidR="00AF3D56" w:rsidRDefault="00000000">
      <w:pPr>
        <w:spacing w:before="200" w:after="60"/>
        <w:ind w:left="431"/>
      </w:pPr>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Prohibition of Slavery and Forced Labor</w:t>
      </w:r>
    </w:p>
    <w:p w14:paraId="79B84C91" w14:textId="77777777" w:rsidR="00AF3D56" w:rsidRDefault="00000000">
      <w:pPr>
        <w:spacing w:after="120"/>
        <w:ind w:left="431"/>
        <w:jc w:val="both"/>
      </w:pPr>
      <w:r>
        <w:rPr>
          <w:rFonts w:ascii="Garamond" w:eastAsia="Garamond" w:hAnsi="Garamond" w:cs="Garamond"/>
          <w:color w:val="2A2A2A"/>
          <w:sz w:val="22"/>
          <w:szCs w:val="22"/>
        </w:rPr>
        <w:t>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§1.19.a.</w:t>
      </w:r>
    </w:p>
    <w:p w14:paraId="2E5E4B7E" w14:textId="77777777" w:rsidR="00AF3D56" w:rsidRDefault="00000000">
      <w:pPr>
        <w:spacing w:before="200" w:after="60"/>
        <w:ind w:left="431"/>
      </w:pPr>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Civil and Political Liberties</w:t>
      </w:r>
    </w:p>
    <w:p w14:paraId="7282DB24"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211DE107" w14:textId="77777777" w:rsidR="00AF3D56" w:rsidRDefault="00000000">
      <w:pPr>
        <w:spacing w:before="200" w:after="60"/>
        <w:ind w:left="431"/>
      </w:pPr>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Equality and Non-Discrimination</w:t>
      </w:r>
    </w:p>
    <w:p w14:paraId="124E8111"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BA3381" w14:textId="77777777" w:rsidR="00AF3D56" w:rsidRDefault="00000000">
      <w:pPr>
        <w:spacing w:before="200" w:after="60"/>
        <w:ind w:left="431"/>
      </w:pPr>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Bodily Sovereignty and Privacy</w:t>
      </w:r>
    </w:p>
    <w:p w14:paraId="4A56BCE5" w14:textId="77777777" w:rsidR="00AF3D56" w:rsidRDefault="00000000">
      <w:pPr>
        <w:spacing w:after="120"/>
        <w:ind w:left="431"/>
        <w:jc w:val="both"/>
      </w:pPr>
      <w:r>
        <w:rPr>
          <w:rFonts w:ascii="Garamond" w:eastAsia="Garamond" w:hAnsi="Garamond" w:cs="Garamond"/>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w:t>
        <w:lastRenderedPageBreak/>
        <w:t>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14:paraId="7C997FA5" w14:textId="77777777" w:rsidR="00AF3D56" w:rsidRDefault="00000000">
      <w:pPr>
        <w:spacing w:before="200" w:after="60"/>
        <w:ind w:left="431"/>
      </w:pPr>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Property and Security of the Home</w:t>
      </w:r>
    </w:p>
    <w:p w14:paraId="27C2D0B5" w14:textId="77777777" w:rsidR="00AF3D56" w:rsidRDefault="00000000">
      <w:pPr>
        <w:spacing w:after="120"/>
        <w:ind w:left="431"/>
        <w:jc w:val="both"/>
      </w:pPr>
      <w:r>
        <w:rPr>
          <w:rFonts w:ascii="Garamond" w:eastAsia="Garamond" w:hAnsi="Garamond" w:cs="Garamond"/>
          <w:color w:val="2A2A2A"/>
          <w:sz w:val="22"/>
          <w:szCs w:val="22"/>
        </w:rPr>
        <w:t>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14:paraId="77CD7BA7" w14:textId="77777777" w:rsidR="00AF3D56" w:rsidRDefault="00000000">
      <w:pPr>
        <w:spacing w:before="200" w:after="60"/>
        <w:ind w:left="431"/>
      </w:pPr>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Democratic Participation and Family</w:t>
      </w:r>
    </w:p>
    <w:p>
      <w:pPr>
        <w:spacing w:after="120"/>
        <w:ind w:left="431"/>
        <w:jc w:val="both"/>
      </w:pPr>
      <w:r>
        <w:rPr>
          <w:rFonts w:ascii="Garamond" w:eastAsia="Garamond" w:hAnsi="Garamond" w:cs="Garamond"/>
          <w:color w:val="2A2A2A"/>
          <w:sz w:val="22"/>
          <w:szCs w:val="22"/>
        </w:rPr>
        <w:t xml:space="preserve">Every citizen holds the right to vote, stand for office, and participate in the democratic processes of the Republic, subject to the eligibility requirements established in this constitution,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 Every person holds the right to marry and found a family, free from governmental discrimination on the basis of the characteristics listed in §1.6. Children born within and outside of formal partnership hold equal legal status.</w:t>
      </w:r>
    </w:p>
    <w:p w14:paraId="2609DD8E" w14:textId="77777777" w:rsidR="00AF3D56" w:rsidRDefault="00000000">
      <w:pPr>
        <w:spacing w:before="200" w:after="60"/>
        <w:ind w:left="431"/>
      </w:pPr>
      <w:r>
        <w:rPr>
          <w:rFonts w:ascii="Courier New" w:eastAsia="Courier New" w:hAnsi="Courier New" w:cs="Courier New"/>
          <w:b/>
          <w:bCs/>
          <w:color w:val="2A2A2A"/>
          <w:sz w:val="18"/>
          <w:szCs w:val="18"/>
        </w:rPr>
        <w:t xml:space="preserve">§1.10  </w:t>
      </w:r>
      <w:r>
        <w:rPr>
          <w:rFonts w:ascii="Garamond" w:eastAsia="Garamond" w:hAnsi="Garamond" w:cs="Garamond"/>
          <w:i/>
          <w:iCs/>
          <w:color w:val="1B2A4A"/>
          <w:sz w:val="22"/>
          <w:szCs w:val="22"/>
        </w:rPr>
        <w:t>Right to Bear Arms</w:t>
      </w:r>
    </w:p>
    <w:p w14:paraId="638565DA"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0FA15129"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Habeas Corpus</w:t>
      </w:r>
    </w:p>
    <w:p w14:paraId="3AB35A20" w14:textId="77777777" w:rsidR="00AF3D56" w:rsidRDefault="00000000">
      <w:pPr>
        <w:spacing w:after="120"/>
        <w:ind w:left="431"/>
        <w:jc w:val="both"/>
      </w:pPr>
      <w:r>
        <w:rPr>
          <w:rFonts w:ascii="Garamond" w:eastAsia="Garamond" w:hAnsi="Garamond" w:cs="Garamond"/>
          <w:color w:val="2A2A2A"/>
          <w:sz w:val="22"/>
          <w:szCs w:val="22"/>
        </w:rPr>
        <w:t>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§1.19.a.</w:t>
      </w:r>
    </w:p>
    <w:p w14:paraId="0D955B5D"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Rights of the Accused and Fair Trial</w:t>
      </w:r>
    </w:p>
    <w:p w14:paraId="35DEBB2E"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3CBF969F"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Right to a Public Trial</w:t>
      </w:r>
    </w:p>
    <w:p w14:paraId="1D023378"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§1.19.a.</w:t>
      </w:r>
    </w:p>
    <w:p w14:paraId="787D5709" w14:textId="77777777" w:rsidR="00AF3D56" w:rsidRDefault="00000000">
      <w:pPr>
        <w:spacing w:before="200" w:after="60"/>
        <w:ind w:left="431"/>
      </w:pPr>
      <w:r>
        <w:rPr>
          <w:rFonts w:ascii="Courier New" w:eastAsia="Courier New" w:hAnsi="Courier New" w:cs="Courier New"/>
          <w:b/>
          <w:bCs/>
          <w:color w:val="2A2A2A"/>
          <w:sz w:val="18"/>
          <w:szCs w:val="18"/>
        </w:rPr>
        <w:t xml:space="preserve">§1.14  </w:t>
      </w:r>
      <w:r>
        <w:rPr>
          <w:rFonts w:ascii="Garamond" w:eastAsia="Garamond" w:hAnsi="Garamond" w:cs="Garamond"/>
          <w:i/>
          <w:iCs/>
          <w:color w:val="1B2A4A"/>
          <w:sz w:val="22"/>
          <w:szCs w:val="22"/>
        </w:rPr>
        <w:t>Freedom from Retroactive Criminal Law</w:t>
      </w:r>
    </w:p>
    <w:p w14:paraId="7B80E94E" w14:textId="77777777" w:rsidR="00AF3D56" w:rsidRDefault="00000000">
      <w:pPr>
        <w:spacing w:after="120"/>
        <w:ind w:left="431"/>
        <w:jc w:val="both"/>
      </w:pPr>
      <w:r>
        <w:rPr>
          <w:rFonts w:ascii="Garamond" w:eastAsia="Garamond" w:hAnsi="Garamond" w:cs="Garamond"/>
          <w:color w:val="2A2A2A"/>
          <w:sz w:val="22"/>
          <w:szCs w:val="22"/>
        </w:rPr>
        <w:t>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§1.19.a.</w:t>
      </w:r>
    </w:p>
    <w:p w14:paraId="1B834AE7" w14:textId="77777777" w:rsidR="00AF3D56" w:rsidRDefault="00000000">
      <w:pPr>
        <w:spacing w:before="200" w:after="60"/>
        <w:ind w:left="431"/>
      </w:pPr>
      <w:r>
        <w:rPr>
          <w:rFonts w:ascii="Courier New" w:eastAsia="Courier New" w:hAnsi="Courier New" w:cs="Courier New"/>
          <w:b/>
          <w:bCs/>
          <w:color w:val="2A2A2A"/>
          <w:sz w:val="18"/>
          <w:szCs w:val="18"/>
        </w:rPr>
        <w:t xml:space="preserve">§1.15  </w:t>
      </w:r>
      <w:r>
        <w:rPr>
          <w:rFonts w:ascii="Garamond" w:eastAsia="Garamond" w:hAnsi="Garamond" w:cs="Garamond"/>
          <w:i/>
          <w:iCs/>
          <w:color w:val="1B2A4A"/>
          <w:sz w:val="22"/>
          <w:szCs w:val="22"/>
        </w:rPr>
        <w:t>Double Jeopardy</w:t>
      </w:r>
    </w:p>
    <w:p w14:paraId="16DD333F"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F03BB9F" w14:textId="77777777" w:rsidR="00AF3D56" w:rsidRDefault="00000000">
      <w:pPr>
        <w:spacing w:before="200" w:after="60"/>
        <w:ind w:left="431"/>
      </w:pPr>
      <w:r>
        <w:rPr>
          <w:rFonts w:ascii="Courier New" w:eastAsia="Courier New" w:hAnsi="Courier New" w:cs="Courier New"/>
          <w:b/>
          <w:bCs/>
          <w:color w:val="2A2A2A"/>
          <w:sz w:val="18"/>
          <w:szCs w:val="18"/>
        </w:rPr>
        <w:t xml:space="preserve">§1.16  </w:t>
      </w:r>
      <w:r>
        <w:rPr>
          <w:rFonts w:ascii="Garamond" w:eastAsia="Garamond" w:hAnsi="Garamond" w:cs="Garamond"/>
          <w:i/>
          <w:iCs/>
          <w:color w:val="1B2A4A"/>
          <w:sz w:val="22"/>
          <w:szCs w:val="22"/>
        </w:rPr>
        <w:t>Social Assistance Floor</w:t>
      </w:r>
    </w:p>
    <w:p w14:paraId="0D41A466"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2A4C842B" w14:textId="77777777" w:rsidR="00AF3D56" w:rsidRDefault="00000000">
      <w:pPr>
        <w:spacing w:before="200" w:after="60"/>
        <w:ind w:left="431"/>
      </w:pPr>
      <w:r>
        <w:rPr>
          <w:rFonts w:ascii="Courier New" w:eastAsia="Courier New" w:hAnsi="Courier New" w:cs="Courier New"/>
          <w:b/>
          <w:bCs/>
          <w:color w:val="2A2A2A"/>
          <w:sz w:val="18"/>
          <w:szCs w:val="18"/>
        </w:rPr>
        <w:t xml:space="preserve">§1.17  </w:t>
      </w:r>
      <w:r>
        <w:rPr>
          <w:rFonts w:ascii="Garamond" w:eastAsia="Garamond" w:hAnsi="Garamond" w:cs="Garamond"/>
          <w:i/>
          <w:iCs/>
          <w:color w:val="1B2A4A"/>
          <w:sz w:val="22"/>
          <w:szCs w:val="22"/>
        </w:rPr>
        <w:t>Education</w:t>
      </w:r>
    </w:p>
    <w:p w14:paraId="5477386A"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7CBC2FB1" w14:textId="77777777" w:rsidR="00AF3D56" w:rsidRDefault="00000000">
      <w:pPr>
        <w:spacing w:before="200" w:after="60"/>
        <w:ind w:left="431"/>
      </w:pPr>
      <w:r>
        <w:rPr>
          <w:rFonts w:ascii="Courier New" w:eastAsia="Courier New" w:hAnsi="Courier New" w:cs="Courier New"/>
          <w:b/>
          <w:bCs/>
          <w:color w:val="2A2A2A"/>
          <w:sz w:val="18"/>
          <w:szCs w:val="18"/>
        </w:rPr>
        <w:t xml:space="preserve">§1.18  </w:t>
      </w:r>
      <w:r>
        <w:rPr>
          <w:rFonts w:ascii="Garamond" w:eastAsia="Garamond" w:hAnsi="Garamond" w:cs="Garamond"/>
          <w:i/>
          <w:iCs/>
          <w:color w:val="1B2A4A"/>
          <w:sz w:val="22"/>
          <w:szCs w:val="22"/>
        </w:rPr>
        <w:t>Environmental Obligations</w:t>
      </w:r>
    </w:p>
    <w:p w14:paraId="5A7E9CCC"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465235EB" w14:textId="77777777" w:rsidR="00AF3D56" w:rsidRDefault="00000000">
      <w:pPr>
        <w:spacing w:before="200" w:after="60"/>
        <w:ind w:left="431"/>
      </w:pPr>
      <w:r>
        <w:rPr>
          <w:rFonts w:ascii="Courier New" w:eastAsia="Courier New" w:hAnsi="Courier New" w:cs="Courier New"/>
          <w:b/>
          <w:bCs/>
          <w:color w:val="2A2A2A"/>
          <w:sz w:val="18"/>
          <w:szCs w:val="18"/>
        </w:rPr>
        <w:t xml:space="preserve">§1.19  </w:t>
      </w:r>
      <w:r>
        <w:rPr>
          <w:rFonts w:ascii="Garamond" w:eastAsia="Garamond" w:hAnsi="Garamond" w:cs="Garamond"/>
          <w:i/>
          <w:iCs/>
          <w:color w:val="1B2A4A"/>
          <w:sz w:val="22"/>
          <w:szCs w:val="22"/>
        </w:rPr>
        <w:t>Emergency Derogation</w:t>
      </w:r>
    </w:p>
    <w:p w14:paraId="5AEB6338" w14:textId="77777777" w:rsidR="00AF3D56" w:rsidRDefault="00000000">
      <w:pPr>
        <w:spacing w:after="120"/>
        <w:ind w:left="431"/>
        <w:jc w:val="both"/>
      </w:pPr>
      <w:r>
        <w:rPr>
          <w:rFonts w:ascii="Garamond" w:eastAsia="Garamond" w:hAnsi="Garamond" w:cs="Garamond"/>
          <w:color w:val="2A2A2A"/>
          <w:sz w:val="22"/>
          <w:szCs w:val="22"/>
        </w:rPr>
        <w:t>No emergency — however severe — suspends the Individual Sovereignty Floor in full. Temporary derogation of certain rights is permitted only under the strict conditions of this section; the rights enumerated in §1.19.a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 A derogation declaration may be issued by either executive acting within their constitutional domain under §2.1 and §2.5, effective on NRS publication, for a period not to exceed 14 days; an executive declaration may not be renewed, extended, or reissued for substantially the same emergency by executive act. Derogation beyond 14 days requires a statute enacted through the ordinary legislative process; the statute must state a fixed expiration date and may not be extended. Upon expiration of any declaration, all derogation measures lapse under §1.19.b.</w:t>
      </w:r>
    </w:p>
    <w:p w14:paraId="134A35EF" w14:textId="77777777" w:rsidR="00AF3D56" w:rsidRDefault="00000000">
      <w:pPr>
        <w:spacing w:before="200" w:after="60"/>
        <w:ind w:left="431"/>
      </w:pPr>
      <w:r>
        <w:rPr>
          <w:rFonts w:ascii="Courier New" w:eastAsia="Courier New" w:hAnsi="Courier New" w:cs="Courier New"/>
          <w:b/>
          <w:bCs/>
          <w:color w:val="2A2A2A"/>
          <w:sz w:val="18"/>
          <w:szCs w:val="18"/>
        </w:rPr>
        <w:t xml:space="preserve">§1.19.a  </w:t>
      </w:r>
      <w:r>
        <w:rPr>
          <w:rFonts w:ascii="Garamond" w:eastAsia="Garamond" w:hAnsi="Garamond" w:cs="Garamond"/>
          <w:i/>
          <w:iCs/>
          <w:color w:val="1B2A4A"/>
          <w:sz w:val="22"/>
          <w:szCs w:val="22"/>
        </w:rPr>
        <w:t>Non-Derogable Rights</w:t>
      </w:r>
    </w:p>
    <w:p w14:paraId="2103DC74" w14:textId="77777777" w:rsidR="00AF3D56" w:rsidRDefault="00000000">
      <w:pPr>
        <w:spacing w:after="120"/>
        <w:ind w:left="431"/>
        <w:jc w:val="both"/>
      </w:pPr>
      <w:r>
        <w:rPr>
          <w:rFonts w:ascii="Garamond" w:eastAsia="Garamond" w:hAnsi="Garamond" w:cs="Garamond"/>
          <w:color w:val="2A2A2A"/>
          <w:sz w:val="22"/>
          <w:szCs w:val="22"/>
        </w:rPr>
        <w:t>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14:paraId="2C2D24AF" w14:textId="77777777" w:rsidR="00AF3D56" w:rsidRDefault="00000000">
      <w:pPr>
        <w:spacing w:before="200" w:after="60"/>
        <w:ind w:left="431"/>
      </w:pPr>
      <w:r>
        <w:rPr>
          <w:rFonts w:ascii="Courier New" w:eastAsia="Courier New" w:hAnsi="Courier New" w:cs="Courier New"/>
          <w:b/>
          <w:bCs/>
          <w:color w:val="2A2A2A"/>
          <w:sz w:val="18"/>
          <w:szCs w:val="18"/>
        </w:rPr>
        <w:t xml:space="preserve">§1.19.b  </w:t>
      </w:r>
      <w:r>
        <w:rPr>
          <w:rFonts w:ascii="Garamond" w:eastAsia="Garamond" w:hAnsi="Garamond" w:cs="Garamond"/>
          <w:i/>
          <w:iCs/>
          <w:color w:val="1B2A4A"/>
          <w:sz w:val="22"/>
          <w:szCs w:val="22"/>
        </w:rPr>
        <w:t>Emergency Declaration Lifecycle</w:t>
      </w:r>
    </w:p>
    <w:p w14:paraId="5AE51F8B" w14:textId="77777777" w:rsidR="00AF3D56" w:rsidRDefault="00000000">
      <w:pPr>
        <w:spacing w:after="120"/>
        <w:ind w:left="431"/>
        <w:jc w:val="both"/>
      </w:pPr>
      <w:r>
        <w:rPr>
          <w:rFonts w:ascii="Garamond" w:eastAsia="Garamond" w:hAnsi="Garamond" w:cs="Garamond"/>
          <w:color w:val="2A2A2A"/>
          <w:sz w:val="22"/>
          <w:szCs w:val="22"/>
        </w:rPr>
        <w:t xml:space="preserve">Emergency measures lapse automatically at the expiry of the Declaration. No Declaration — executive or statutory — may be extended; every Declaration expires on the terms stated at its issuance. Judicial review of any emergency measure is available to any citizen at any time, and </w:t>
        <w:lastRenderedPageBreak/>
        <w:t>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22F80CC3" w14:textId="77777777" w:rsidR="00AF3D56" w:rsidRDefault="00000000">
      <w:pPr>
        <w:spacing w:before="200" w:after="60"/>
        <w:ind w:left="431"/>
      </w:pPr>
      <w:r>
        <w:rPr>
          <w:rFonts w:ascii="Courier New" w:eastAsia="Courier New" w:hAnsi="Courier New" w:cs="Courier New"/>
          <w:b/>
          <w:bCs/>
          <w:color w:val="2A2A2A"/>
          <w:sz w:val="18"/>
          <w:szCs w:val="18"/>
        </w:rPr>
        <w:t xml:space="preserve">§1.20  </w:t>
      </w:r>
      <w:r>
        <w:rPr>
          <w:rFonts w:ascii="Garamond" w:eastAsia="Garamond" w:hAnsi="Garamond" w:cs="Garamond"/>
          <w:i/>
          <w:iCs/>
          <w:color w:val="1B2A4A"/>
          <w:sz w:val="22"/>
          <w:szCs w:val="22"/>
        </w:rPr>
        <w:t>Right to Seek Asylum</w:t>
      </w:r>
    </w:p>
    <w:p w14:paraId="210E5295"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D82EB6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Non-Refoulement</w:t>
      </w:r>
    </w:p>
    <w:p w14:paraId="628CCC7E"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§1.19.a.</w:t>
      </w:r>
    </w:p>
    <w:p w14:paraId="432EEB6F" w14:textId="77777777" w:rsidR="00CD141D" w:rsidRDefault="00CD141D">
      <w:pPr>
        <w:spacing w:after="120"/>
        <w:ind w:left="431"/>
        <w:jc w:val="both"/>
        <w:rPr>
          <w:rFonts w:ascii="Garamond" w:eastAsia="Garamond" w:hAnsi="Garamond" w:cs="Garamond"/>
          <w:color w:val="2A2A2A"/>
          <w:sz w:val="22"/>
          <w:szCs w:val="22"/>
        </w:rPr>
      </w:pP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Official Capacity Protection</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Separation of Branch Authority</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 xml:space="preserve">No person may exercise the voting or decisional authority of more than one branch of government at the same time; a person holding or acting in an office of one branch may not cast a vote or exercise a decisional power reserved to another branch for so long as they hold or act in that office. This section does not bar a person from holding a seat that carries no exercisable vote during such service, nor from resuming an office or vote upon leaving the position that created the conflict.</w:t>
      </w:r>
    </w:p>
    <w:p w14:paraId="285F4CDF" w14:textId="77777777" w:rsidR="00CD141D" w:rsidRDefault="00CD141D" w:rsidP="00CD141D">
      <w:pPr>
        <w:spacing w:before="200" w:after="60"/>
        <w:ind w:left="431"/>
      </w:pPr>
    </w:p>
    <w:p w14:paraId="0E0AE5FC" w14:textId="77777777" w:rsidR="00CD141D" w:rsidRDefault="00CD141D">
      <w:pPr>
        <w:spacing w:after="120"/>
        <w:ind w:left="431"/>
        <w:jc w:val="both"/>
      </w:pPr>
    </w:p>
    <w:p w14:paraId="4E8DD8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32C93161" w14:textId="77777777" w:rsidR="00AF3D56" w:rsidRDefault="00000000">
      <w:pPr>
        <w:spacing w:before="200" w:after="60"/>
        <w:ind w:left="431"/>
      </w:pPr>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The Legat Consul — Domain and Term</w:t>
      </w:r>
    </w:p>
    <w:p>
      <w:pPr>
        <w:spacing w:after="120"/>
        <w:ind w:left="431"/>
        <w:jc w:val="both"/>
      </w:pPr>
      <w:r>
        <w:rPr>
          <w:rFonts w:ascii="Garamond" w:eastAsia="Garamond" w:hAnsi="Garamond" w:cs="Garamond"/>
          <w:color w:val="2A2A2A"/>
          <w:sz w:val="22"/>
          <w:szCs w:val="22"/>
        </w:rPr>
        <w:t xml:space="preserve">To hold the office of Legat Consul, a person must have been a citizen for at least 7 years at the time of taking office. Eligibility and disclosure requirements applicable to all federal offices are established in §7.4.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relations with recognized indigenous nations under Article XVI, including recognition determinations under §16.4;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No person who has served an elected term as Legat Consul may again hold the office of Legat Consul or exercise its authority; the bar is a lifetime bar. Service as a successor under §2.9 does not constitute an elected term for this purpose. Upon expiration of the term, all authority transfers immediately to the incoming Legat Consul. The outgoing Legat Consul retains no access to classified information, government systems, or official functions beyond the time of transfer.</w:t>
      </w:r>
    </w:p>
    <w:p w14:paraId="7D29BD50" w14:textId="77777777" w:rsidR="00AF3D56" w:rsidRDefault="00000000">
      <w:pPr>
        <w:spacing w:before="200" w:after="60"/>
        <w:ind w:left="431"/>
      </w:pPr>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Military Authorization Framework</w:t>
      </w:r>
    </w:p>
    <w:p w14:paraId="4550A584"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41EA91BE" w14:textId="77777777" w:rsidR="00AF3D56" w:rsidRDefault="00000000">
      <w:pPr>
        <w:spacing w:before="200" w:after="60"/>
        <w:ind w:left="431"/>
      </w:pPr>
      <w:r>
        <w:rPr>
          <w:rFonts w:ascii="Courier New" w:eastAsia="Courier New" w:hAnsi="Courier New" w:cs="Courier New"/>
          <w:b/>
          <w:bCs/>
          <w:color w:val="2A2A2A"/>
          <w:sz w:val="18"/>
          <w:szCs w:val="18"/>
        </w:rPr>
        <w:t xml:space="preserve">§2.3  </w:t>
      </w:r>
      <w:r>
        <w:rPr>
          <w:rFonts w:ascii="Garamond" w:eastAsia="Garamond" w:hAnsi="Garamond" w:cs="Garamond"/>
          <w:i/>
          <w:iCs/>
          <w:color w:val="1B2A4A"/>
          <w:sz w:val="22"/>
          <w:szCs w:val="22"/>
        </w:rPr>
        <w:t>Consular Intelligence and Veto</w:t>
      </w:r>
    </w:p>
    <w:p w14:paraId="5EE6093A"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39FCE2CB" w14:textId="77777777" w:rsidR="00AF3D56" w:rsidRDefault="00000000">
      <w:pPr>
        <w:spacing w:before="200" w:after="60"/>
        <w:ind w:left="431"/>
      </w:pPr>
      <w:r>
        <w:rPr>
          <w:rFonts w:ascii="Courier New" w:eastAsia="Courier New" w:hAnsi="Courier New" w:cs="Courier New"/>
          <w:b/>
          <w:bCs/>
          <w:color w:val="2A2A2A"/>
          <w:sz w:val="18"/>
          <w:szCs w:val="18"/>
        </w:rPr>
        <w:t xml:space="preserve">§2.3.a  </w:t>
      </w:r>
      <w:r>
        <w:rPr>
          <w:rFonts w:ascii="Garamond" w:eastAsia="Garamond" w:hAnsi="Garamond" w:cs="Garamond"/>
          <w:i/>
          <w:iCs/>
          <w:color w:val="1B2A4A"/>
          <w:sz w:val="22"/>
          <w:szCs w:val="22"/>
        </w:rPr>
        <w:t>Legat Consul Legislative Veto</w:t>
      </w:r>
    </w:p>
    <w:p w14:paraId="35954EBA"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at any time during that session; where no override occurs, the bill lapses for that session.</w:t>
      </w:r>
    </w:p>
    <w:p w14:paraId="3BFA0C43" w14:textId="77777777" w:rsidR="00AF3D56" w:rsidRDefault="00000000">
      <w:pPr>
        <w:spacing w:before="200" w:after="60"/>
        <w:ind w:left="431"/>
      </w:pPr>
      <w:r>
        <w:rPr>
          <w:rFonts w:ascii="Courier New" w:eastAsia="Courier New" w:hAnsi="Courier New" w:cs="Courier New"/>
          <w:b/>
          <w:bCs/>
          <w:color w:val="2A2A2A"/>
          <w:sz w:val="18"/>
          <w:szCs w:val="18"/>
        </w:rPr>
        <w:t xml:space="preserve">§2.4  </w:t>
      </w:r>
      <w:r>
        <w:rPr>
          <w:rFonts w:ascii="Garamond" w:eastAsia="Garamond" w:hAnsi="Garamond" w:cs="Garamond"/>
          <w:i/>
          <w:iCs/>
          <w:color w:val="1B2A4A"/>
          <w:sz w:val="22"/>
          <w:szCs w:val="22"/>
        </w:rPr>
        <w:t>Legat Consul International Agreements</w:t>
      </w:r>
    </w:p>
    <w:p w14:paraId="02B54641"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lastRenderedPageBreak/>
        <w:t>candidates maintained by the Elections Panel under §9.8. The Legislature defines qualifications and confirmation procedures for each office by statute; acting appointments may be made pending confirmation for the period and under the conditions the Legislature defines. A domain officer is a person appointed by the Legat Consul to exercise a portion of the Legat Consul's constitutional domain authority and confirmed by the Senate; persons employed in the civil service or military under a domain officer's direction are not domain officers. The Senate may remove a domain officer by majority of full seated membership; the grounds are stated and published to the NRS. The Legat Consul may dismiss a domain officer at any time, published to the NRS.</w:t>
      </w:r>
    </w:p>
    <w:p w14:paraId="7F54CBE7" w14:textId="77777777" w:rsidR="00AF3D56" w:rsidRDefault="00000000">
      <w:pPr>
        <w:spacing w:before="200" w:after="60"/>
        <w:ind w:left="431"/>
      </w:pPr>
      <w:r>
        <w:rPr>
          <w:rFonts w:ascii="Courier New" w:eastAsia="Courier New" w:hAnsi="Courier New" w:cs="Courier New"/>
          <w:b/>
          <w:bCs/>
          <w:color w:val="2A2A2A"/>
          <w:sz w:val="18"/>
          <w:szCs w:val="18"/>
        </w:rPr>
        <w:t xml:space="preserve">§2.5  </w:t>
      </w:r>
      <w:r>
        <w:rPr>
          <w:rFonts w:ascii="Garamond" w:eastAsia="Garamond" w:hAnsi="Garamond" w:cs="Garamond"/>
          <w:i/>
          <w:iCs/>
          <w:color w:val="1B2A4A"/>
          <w:sz w:val="22"/>
          <w:szCs w:val="22"/>
        </w:rPr>
        <w:t>The Civic Consul — Domain and Term</w:t>
      </w:r>
    </w:p>
    <w:p>
      <w:pPr>
        <w:spacing w:after="120"/>
        <w:ind w:left="431"/>
        <w:jc w:val="both"/>
      </w:pPr>
      <w:r>
        <w:rPr>
          <w:rFonts w:ascii="Garamond" w:eastAsia="Garamond" w:hAnsi="Garamond" w:cs="Garamond"/>
          <w:color w:val="2A2A2A"/>
          <w:sz w:val="22"/>
          <w:szCs w:val="22"/>
        </w:rPr>
        <w:t xml:space="preserve">(1) The Civic Consul holds residual executive authority over all functions not enumerated to the Legat Consul. To hold the office of Civic Consul, a person must be a serving member of the Assembly at the time of election as required by §2.6. Eligibility and disclosure requirements applicable to all federal offices are established in §7.4. No other eligibility requirement applies. The Civic Consul serves at the confidence of the Assembly, subject to removal under §2.6.</w:t>
      </w:r>
    </w:p>
    <w:p>
      <w:pPr>
        <w:spacing w:after="120"/>
        <w:ind w:left="431"/>
        <w:jc w:val="both"/>
      </w:pPr>
      <w:r>
        <w:rPr>
          <w:rFonts w:ascii="Garamond" w:eastAsia="Garamond" w:hAnsi="Garamond" w:cs="Garamond"/>
          <w:color w:val="2A2A2A"/>
          <w:sz w:val="22"/>
          <w:szCs w:val="22"/>
        </w:rPr>
        <w:t xml:space="preserve">(2) No person may serve more than 8 years as Civic Consul across all periods of service; the limit is a lifetime maximum. Service in an acting capacity does not count toward this limit. A person who leaves the office of Civic Consul may not serve again as Civic Consul until one full Assembly electoral cycle has passed since they left the office; during that interval they may hold an Assembly seat but may not be elected or designated Civic Consul.</w:t>
      </w:r>
    </w:p>
    <w:p>
      <w:pPr>
        <w:spacing w:after="120"/>
        <w:ind w:left="431"/>
        <w:jc w:val="both"/>
      </w:pPr>
      <w:r>
        <w:rPr>
          <w:rFonts w:ascii="Garamond" w:eastAsia="Garamond" w:hAnsi="Garamond" w:cs="Garamond"/>
          <w:color w:val="2A2A2A"/>
          <w:sz w:val="22"/>
          <w:szCs w:val="22"/>
        </w:rPr>
        <w:t xml:space="preserve">(3) The Civic Consul's domestic authority includes:</w:t>
      </w:r>
    </w:p>
    <w:p>
      <w:pPr>
        <w:spacing w:after="120"/>
        <w:ind w:left="431"/>
        <w:jc w:val="both"/>
      </w:pPr>
      <w:r>
        <w:rPr>
          <w:rFonts w:ascii="Garamond" w:eastAsia="Garamond" w:hAnsi="Garamond" w:cs="Garamond"/>
          <w:color w:val="2A2A2A"/>
          <w:sz w:val="22"/>
          <w:szCs w:val="22"/>
        </w:rPr>
        <w:t xml:space="preserve">— all domestic policy and regulatory frameworks;</w:t>
      </w:r>
    </w:p>
    <w:p>
      <w:pPr>
        <w:spacing w:after="120"/>
        <w:ind w:left="431"/>
        <w:jc w:val="both"/>
      </w:pPr>
      <w:r>
        <w:rPr>
          <w:rFonts w:ascii="Garamond" w:eastAsia="Garamond" w:hAnsi="Garamond" w:cs="Garamond"/>
          <w:color w:val="2A2A2A"/>
          <w:sz w:val="22"/>
          <w:szCs w:val="22"/>
        </w:rPr>
        <w:t xml:space="preserve">— preparation of a proposed budget for the civic domain, submitted to the Assembly under §12.2;</w:t>
      </w:r>
    </w:p>
    <w:p>
      <w:pPr>
        <w:spacing w:after="120"/>
        <w:ind w:left="431"/>
        <w:jc w:val="both"/>
      </w:pPr>
      <w:r>
        <w:rPr>
          <w:rFonts w:ascii="Garamond" w:eastAsia="Garamond" w:hAnsi="Garamond" w:cs="Garamond"/>
          <w:color w:val="2A2A2A"/>
          <w:sz w:val="22"/>
          <w:szCs w:val="22"/>
        </w:rPr>
        <w:t xml:space="preserve">— the civil service;</w:t>
      </w:r>
    </w:p>
    <w:p>
      <w:pPr>
        <w:spacing w:after="120"/>
        <w:ind w:left="431"/>
        <w:jc w:val="both"/>
      </w:pPr>
      <w:r>
        <w:rPr>
          <w:rFonts w:ascii="Garamond" w:eastAsia="Garamond" w:hAnsi="Garamond" w:cs="Garamond"/>
          <w:color w:val="2A2A2A"/>
          <w:sz w:val="22"/>
          <w:szCs w:val="22"/>
        </w:rPr>
        <w:t xml:space="preserve">— and administration of the social state under Article XII.</w:t>
      </w:r>
    </w:p>
    <w:p>
      <w:pPr>
        <w:spacing w:after="120"/>
        <w:ind w:left="431"/>
        <w:jc w:val="both"/>
      </w:pPr>
      <w:r>
        <w:rPr>
          <w:rFonts w:ascii="Garamond" w:eastAsia="Garamond" w:hAnsi="Garamond" w:cs="Garamond"/>
          <w:color w:val="2A2A2A"/>
          <w:sz w:val="22"/>
          <w:szCs w:val="22"/>
        </w:rPr>
        <w:t xml:space="preserve">(4) The Civic Consul may declare a domestic emergency in response to natural disaster, public health crisis, or infrastructure failure, subject to the constraints of Article I and renewable by Assembly approval at intervals defined by statute; in the absence of a statutory interval, the constitutional default is 30 days. The Legat Consul has no role in domestic emergencies.</w:t>
      </w:r>
    </w:p>
    <w:p>
      <w:pPr>
        <w:spacing w:after="120"/>
        <w:ind w:left="431"/>
        <w:jc w:val="both"/>
      </w:pPr>
      <w:r>
        <w:rPr>
          <w:rFonts w:ascii="Garamond" w:eastAsia="Garamond" w:hAnsi="Garamond" w:cs="Garamond"/>
          <w:color w:val="2A2A2A"/>
          <w:sz w:val="22"/>
          <w:szCs w:val="22"/>
        </w:rPr>
        <w:t xml:space="preserve">(5)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treaty and compact negotiations with recognized indigenous nations where their terms bear on domestic interests; the Civic Consul's response is advisory.</w:t>
      </w:r>
    </w:p>
    <w:p>
      <w:pPr>
        <w:spacing w:after="120"/>
        <w:ind w:left="431"/>
        <w:jc w:val="both"/>
      </w:pPr>
      <w:r>
        <w:rPr>
          <w:rFonts w:ascii="Garamond" w:eastAsia="Garamond" w:hAnsi="Garamond" w:cs="Garamond"/>
          <w:color w:val="2A2A2A"/>
          <w:sz w:val="22"/>
          <w:szCs w:val="22"/>
        </w:rPr>
        <w:t xml:space="preserve">(6) Where the Civic Consul is temporarily unable to exercise authority as determined under §2.16, acting authority vests by constitutional operation in accordance with the following order: (i) the Assembly Speaker; (ii) persons holding offices designated by statute for this purpose, in the order so established; (iii) the most senior Assembly member by continuous service; where two or more members have equal continuous service, the tiebreaker is determined by statute. A person in the order of succession may decline under §2.16(4). The person last in the order may not decline. While serving in an acting executive capacity under this subsection, the acting officer may not exercise any legislative function; the officer retains their Assembly seat and any Assembly office held, and the Assembly provides for the exercise of those functions during that period under its internal procedures. Acting service neither extends nor suspends the officer's electoral mandate; where the acting officer ceases to be a member of the Assembly, acting authority passes by constitutional operation to the next person in the order of succession then qualified. Acting status ends when the Civic Consul's incapacity ends under §2.16(3) or a new Civic Consul is elected under §2.6; the acting officer's legislative functions resume at that moment.</w:t>
      </w:r>
    </w:p>
    <w:p>
      <w:pPr>
        <w:spacing w:after="120"/>
        <w:ind w:left="431"/>
        <w:jc w:val="both"/>
      </w:pPr>
      <w:r>
        <w:rPr>
          <w:rFonts w:ascii="Garamond" w:eastAsia="Garamond" w:hAnsi="Garamond" w:cs="Garamond"/>
          <w:color w:val="2A2A2A"/>
          <w:sz w:val="22"/>
          <w:szCs w:val="22"/>
        </w:rPr>
        <w:t xml:space="preserve">(7) The Civic Consul appoints ministers to lead the departments of the civic domain; ministerial portfolios are defined by statute. Ministers serve at the pleasure of the Civic Consul and require no confirmation; appointments and dismissals are published to the NRS. A minister's service ends when the Civic Consul leaves office; ministers continue in a caretaker capacity, limited to maintaining existing policy, until the incoming Civic Consul's ministers are appointed.</w:t>
      </w:r>
    </w:p>
    <w:p w14:paraId="16EAE3DB" w14:textId="77777777" w:rsidR="00AF3D56" w:rsidRDefault="00000000">
      <w:pPr>
        <w:spacing w:before="200" w:after="60"/>
        <w:ind w:left="431"/>
      </w:pPr>
      <w:r>
        <w:rPr>
          <w:rFonts w:ascii="Courier New" w:eastAsia="Courier New" w:hAnsi="Courier New" w:cs="Courier New"/>
          <w:b/>
          <w:bCs/>
          <w:color w:val="2A2A2A"/>
          <w:sz w:val="18"/>
          <w:szCs w:val="18"/>
        </w:rPr>
        <w:t xml:space="preserve">§2.6  </w:t>
      </w:r>
      <w:r>
        <w:rPr>
          <w:rFonts w:ascii="Garamond" w:eastAsia="Garamond" w:hAnsi="Garamond" w:cs="Garamond"/>
          <w:i/>
          <w:iCs/>
          <w:color w:val="1B2A4A"/>
          <w:sz w:val="22"/>
          <w:szCs w:val="22"/>
        </w:rPr>
        <w:t>Constructive Vote of No Confidence</w:t>
      </w:r>
    </w:p>
    <w:p>
      <w:pPr>
        <w:spacing w:after="120"/>
        <w:ind w:left="431"/>
        <w:jc w:val="both"/>
      </w:pPr>
      <w:r>
        <w:rPr>
          <w:rFonts w:ascii="Garamond" w:eastAsia="Garamond" w:hAnsi="Garamond" w:cs="Garamond"/>
          <w:color w:val="2A2A2A"/>
          <w:sz w:val="22"/>
          <w:szCs w:val="22"/>
        </w:rPr>
        <w:t xml:space="preserve">(1) 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Grounds for the vote are published to the NRS; the vote is a political act and is not subject to judicial review.</w:t>
      </w:r>
    </w:p>
    <w:p>
      <w:pPr>
        <w:spacing w:after="120"/>
        <w:ind w:left="431"/>
        <w:jc w:val="both"/>
      </w:pPr>
      <w:r>
        <w:rPr>
          <w:rFonts w:ascii="Garamond" w:eastAsia="Garamond" w:hAnsi="Garamond" w:cs="Garamond"/>
          <w:color w:val="2A2A2A"/>
          <w:sz w:val="22"/>
          <w:szCs w:val="22"/>
        </w:rPr>
        <w:t xml:space="preserve">(2) A person must be a serving member of the Assembly to be elected Civic Consul. On election as Civic Consul the person vacates their Assembly seat, which is filled under §3.2 as a mid-term vacancy; that Assembly term is deemed fully served by the departing member for purposes of the consecutive-term limit under §3.2.</w:t>
      </w:r>
    </w:p>
    <w:p>
      <w:pPr>
        <w:spacing w:after="120"/>
        <w:ind w:left="431"/>
        <w:jc w:val="both"/>
      </w:pPr>
      <w:r>
        <w:rPr>
          <w:rFonts w:ascii="Garamond" w:eastAsia="Garamond" w:hAnsi="Garamond" w:cs="Garamond"/>
          <w:color w:val="2A2A2A"/>
          <w:sz w:val="22"/>
          <w:szCs w:val="22"/>
        </w:rPr>
        <w:t xml:space="preserve">(3) While in office the Civic Consul holds the ceremonial seat of the office of Civic Consul, which carries the right to sit, speak, and be held to account in the Assembly but carries no vote; the Civic Consul exercises no legislative vote while in office, consistent with §1.23. The ceremonial seat is not counted in the full seated membership of the Assembly for quorum or any voting threshold.</w:t>
      </w:r>
    </w:p>
    <w:p>
      <w:pPr>
        <w:spacing w:after="120"/>
        <w:ind w:left="431"/>
        <w:jc w:val="both"/>
      </w:pPr>
      <w:r>
        <w:rPr>
          <w:rFonts w:ascii="Garamond" w:eastAsia="Garamond" w:hAnsi="Garamond" w:cs="Garamond"/>
          <w:color w:val="2A2A2A"/>
          <w:sz w:val="22"/>
          <w:szCs w:val="22"/>
        </w:rPr>
        <w:t xml:space="preserve">(4) This section governs a person elected or installed to the office of Civic Consul; the Assembly Speaker serving as Acting Civic Consul under §2.5 or §2.6.a retains their own Assembly seat and does not vacate it.</w:t>
      </w:r>
    </w:p>
    <w:p>
      <w:pPr>
        <w:spacing w:after="120"/>
        <w:ind w:left="431"/>
        <w:jc w:val="both"/>
      </w:pPr>
      <w:r>
        <w:rPr>
          <w:rFonts w:ascii="Garamond" w:eastAsia="Garamond" w:hAnsi="Garamond" w:cs="Garamond"/>
          <w:color w:val="2A2A2A"/>
          <w:sz w:val="22"/>
          <w:szCs w:val="22"/>
        </w:rPr>
        <w:t xml:space="preserve">(5) The Civic Consul serves until removed under this section, until the expiration of the consecutive-service limit under §2.5, by resignation, or through the pathways of §3.10.</w:t>
      </w:r>
    </w:p>
    <w:p>
      <w:pPr>
        <w:spacing w:after="120"/>
        <w:ind w:left="431"/>
        <w:jc w:val="both"/>
      </w:pPr>
      <w:r>
        <w:rPr>
          <w:rFonts w:ascii="Garamond" w:eastAsia="Garamond" w:hAnsi="Garamond" w:cs="Garamond"/>
          <w:color w:val="2A2A2A"/>
          <w:sz w:val="22"/>
          <w:szCs w:val="22"/>
        </w:rPr>
        <w:t xml:space="preserve">(6) A person who leaves the office of Civic Consul holds no Assembly seat by virtue of having been Civic Consul; the seat vacated on taking office remains filled under §3.2. A former Civic Consul may run in an election for an Assembly seat, may hold any other constitutional office for which they meet the eligibility requirements, and may seek the office of Civic Consul again subject to the cooling-off period under §2.5.</w:t>
      </w:r>
    </w:p>
    <w:p w14:paraId="0016C56E" w14:textId="77777777" w:rsidR="00AF3D56" w:rsidRDefault="00000000">
      <w:pPr>
        <w:spacing w:before="200" w:after="60"/>
        <w:ind w:left="431"/>
      </w:pPr>
      <w:r>
        <w:rPr>
          <w:rFonts w:ascii="Courier New" w:eastAsia="Courier New" w:hAnsi="Courier New" w:cs="Courier New"/>
          <w:b/>
          <w:bCs/>
          <w:color w:val="2A2A2A"/>
          <w:sz w:val="18"/>
          <w:szCs w:val="18"/>
        </w:rPr>
        <w:t xml:space="preserve">§2.6.a  </w:t>
      </w:r>
      <w:r>
        <w:rPr>
          <w:rFonts w:ascii="Garamond" w:eastAsia="Garamond" w:hAnsi="Garamond" w:cs="Garamond"/>
          <w:i/>
          <w:iCs/>
          <w:color w:val="1B2A4A"/>
          <w:sz w:val="22"/>
          <w:szCs w:val="22"/>
        </w:rPr>
        <w:t>Government Formation</w:t>
      </w:r>
    </w:p>
    <w:p>
      <w:pPr>
        <w:spacing w:after="120"/>
        <w:ind w:left="431"/>
        <w:jc w:val="both"/>
      </w:pPr>
      <w:r>
        <w:rPr>
          <w:rFonts w:ascii="Garamond" w:eastAsia="Garamond" w:hAnsi="Garamond" w:cs="Garamond"/>
          <w:color w:val="2A2A2A"/>
          <w:sz w:val="22"/>
          <w:szCs w:val="22"/>
        </w:rPr>
        <w:t xml:space="preserve">(1) The Assembly elects the Civic Consul by absolute majority within the period defined by statute following any general election or vacancy; where no statutory period has been established, the constitutional default is 21 days.</w:t>
      </w:r>
    </w:p>
    <w:p>
      <w:pPr>
        <w:spacing w:after="120"/>
        <w:ind w:left="431"/>
        <w:jc w:val="both"/>
      </w:pPr>
      <w:r>
        <w:rPr>
          <w:rFonts w:ascii="Garamond" w:eastAsia="Garamond" w:hAnsi="Garamond" w:cs="Garamond"/>
          <w:color w:val="2A2A2A"/>
          <w:sz w:val="22"/>
          <w:szCs w:val="22"/>
        </w:rPr>
        <w:t xml:space="preserve">(2) If the Assembly does not elect a Civic Consul within that period, the acting role attaches automatically to the sitting Assembly Speaker, who serves as Acting Civic Consul by constitutional operation with authority limited to maintaining existing policy, and retains their Assembly seat. Where there is no sitting Speaker, the most senior Assembly member by continuous service serves in the acting role instead; where two or more members have equal continuous service, the tiebreaker is determined by statute. The acting service is published to the NRS. The Acting Civic Consul is not subject to removal under §2.6.</w:t>
      </w:r>
    </w:p>
    <w:p>
      <w:pPr>
        <w:spacing w:after="120"/>
        <w:ind w:left="431"/>
        <w:jc w:val="both"/>
      </w:pPr>
      <w:r>
        <w:rPr>
          <w:rFonts w:ascii="Garamond" w:eastAsia="Garamond" w:hAnsi="Garamond" w:cs="Garamond"/>
          <w:color w:val="2A2A2A"/>
          <w:sz w:val="22"/>
          <w:szCs w:val="22"/>
        </w:rPr>
        <w:t xml:space="preserve">(3) Bills passed during the Acting Civic Consul's service are presented to the Acting Civic Consul. The Acting Civic Consul may not exercise the suspensive veto under §2.7 but may, within 10 business days of final passage, publish a written pause notice to the NRS staying enactment. Upon such notice, the Speaker shall schedule the bill for recall by the Assembly; the Assembly may withdraw the bill by simple majority within the pause period. A bill not so withdrawn is enacted by operation of law at the close of the 10-business-day period. Where the Acting Civic Consul issues no pause notice within 10 business days of final passage, the bill is enacted by operation of law. The pause may not be used on the annual budget, bills implementing a constitutional obligation, or emergency legislation.</w:t>
      </w:r>
    </w:p>
    <w:p>
      <w:pPr>
        <w:spacing w:after="120"/>
        <w:ind w:left="431"/>
        <w:jc w:val="both"/>
      </w:pPr>
      <w:r>
        <w:rPr>
          <w:rFonts w:ascii="Garamond" w:eastAsia="Garamond" w:hAnsi="Garamond" w:cs="Garamond"/>
          <w:color w:val="2A2A2A"/>
          <w:sz w:val="22"/>
          <w:szCs w:val="22"/>
        </w:rPr>
        <w:t xml:space="preserve">(4) The Acting Civic Consul administers a nominating ballot of the Assembly to identify candidates for a national election. This administration is purely procedural and confers no discretion over the ballot's conduct or result. The ballot requires no quorum and produces its result regardless of participation. The candidates receiving the most votes advance, being no fewer than two and no more than four; where a tie would cause more than four candidates to advance, the tie is resolved in favor of the candidate with greater continuous service, with any remaining tie determined by statute. Where only one member receives votes, that member advances alone and is submitted to the national vote for ratification. Only members otherwise qualified for the office of Civic Consul under §2.5 and §7.4 may advance.</w:t>
      </w:r>
    </w:p>
    <w:p>
      <w:pPr>
        <w:spacing w:after="120"/>
        <w:ind w:left="431"/>
        <w:jc w:val="both"/>
      </w:pPr>
      <w:r>
        <w:rPr>
          <w:rFonts w:ascii="Garamond" w:eastAsia="Garamond" w:hAnsi="Garamond" w:cs="Garamond"/>
          <w:color w:val="2A2A2A"/>
          <w:sz w:val="22"/>
          <w:szCs w:val="22"/>
        </w:rPr>
        <w:t xml:space="preserve">(5) The Elections Panel administers a national ranked-choice election among the advancing candidates, to be held within the period defined by statute, with a constitutional default of 45 days and an absolute maximum of 90 days from the close of the nominating ballot. The Elections Panel may extend the period beyond the default only for cause published to the NRS, and in no case beyond 90 days. Where a single candidate stands for ratification, the national vote is a simple yes-or-no question. Should an advancing candidate become ineligible before the vote, the election proceeds among those who remain qualified.</w:t>
      </w:r>
    </w:p>
    <w:p>
      <w:pPr>
        <w:spacing w:after="120"/>
        <w:ind w:left="431"/>
        <w:jc w:val="both"/>
      </w:pPr>
      <w:r>
        <w:rPr>
          <w:rFonts w:ascii="Garamond" w:eastAsia="Garamond" w:hAnsi="Garamond" w:cs="Garamond"/>
          <w:color w:val="2A2A2A"/>
          <w:sz w:val="22"/>
          <w:szCs w:val="22"/>
        </w:rPr>
        <w:t xml:space="preserve">(6) The candidate winning the national election, whether by ranked-choice tabulation or by ratification, becomes Civic Consul with full authority, vacates their Assembly seat under §2.6, and is subject to removal only under §2.6. The Acting Civic Consul's service ends upon that installation.</w:t>
      </w:r>
    </w:p>
    <w:p>
      <w:pPr>
        <w:spacing w:after="120"/>
        <w:ind w:left="431"/>
        <w:jc w:val="both"/>
      </w:pPr>
      <w:r>
        <w:rPr>
          <w:rFonts w:ascii="Garamond" w:eastAsia="Garamond" w:hAnsi="Garamond" w:cs="Garamond"/>
          <w:color w:val="2A2A2A"/>
          <w:sz w:val="22"/>
          <w:szCs w:val="22"/>
        </w:rPr>
        <w:t xml:space="preserve">(7) At any time before the national election begins, the Assembly may elect a Civic Consul by absolute majority, which terminates the fallback and returns the office to the ordinary process. Once the national election has begun, it proceeds to conclusion.</w:t>
      </w:r>
    </w:p>
    <w:p w14:paraId="26201912" w14:textId="77777777" w:rsidR="00AF3D56" w:rsidRDefault="00000000">
      <w:pPr>
        <w:spacing w:before="200" w:after="60"/>
        <w:ind w:left="431"/>
      </w:pPr>
      <w:r>
        <w:rPr>
          <w:rFonts w:ascii="Courier New" w:eastAsia="Courier New" w:hAnsi="Courier New" w:cs="Courier New"/>
          <w:b/>
          <w:bCs/>
          <w:color w:val="2A2A2A"/>
          <w:sz w:val="18"/>
          <w:szCs w:val="18"/>
        </w:rPr>
        <w:t xml:space="preserve">§2.7  </w:t>
      </w:r>
      <w:r>
        <w:rPr>
          <w:rFonts w:ascii="Garamond" w:eastAsia="Garamond" w:hAnsi="Garamond" w:cs="Garamond"/>
          <w:i/>
          <w:iCs/>
          <w:color w:val="1B2A4A"/>
          <w:sz w:val="22"/>
          <w:szCs w:val="22"/>
        </w:rPr>
        <w:t>Civic Consul Legislative Instruments</w:t>
      </w:r>
    </w:p>
    <w:p w14:paraId="386E8560"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02FF8045" w14:textId="77777777" w:rsidR="00AF3D56" w:rsidRDefault="00000000">
      <w:pPr>
        <w:spacing w:before="200" w:after="60"/>
        <w:ind w:left="431"/>
      </w:pPr>
      <w:r>
        <w:rPr>
          <w:rFonts w:ascii="Courier New" w:eastAsia="Courier New" w:hAnsi="Courier New" w:cs="Courier New"/>
          <w:b/>
          <w:bCs/>
          <w:color w:val="2A2A2A"/>
          <w:sz w:val="18"/>
          <w:szCs w:val="18"/>
        </w:rPr>
        <w:t xml:space="preserve">§2.8  </w:t>
      </w:r>
      <w:r>
        <w:rPr>
          <w:rFonts w:ascii="Garamond" w:eastAsia="Garamond" w:hAnsi="Garamond" w:cs="Garamond"/>
          <w:i/>
          <w:iCs/>
          <w:color w:val="1B2A4A"/>
          <w:sz w:val="22"/>
          <w:szCs w:val="22"/>
        </w:rPr>
        <w:t>Duty of Refusal</w:t>
      </w:r>
    </w:p>
    <w:p w14:paraId="1EE87E68" w14:textId="77777777" w:rsidR="00AF3D56" w:rsidRDefault="00000000">
      <w:pPr>
        <w:spacing w:after="120"/>
        <w:ind w:left="431"/>
        <w:jc w:val="both"/>
      </w:pPr>
      <w:r>
        <w:rPr>
          <w:rFonts w:ascii="Garamond" w:eastAsia="Garamond" w:hAnsi="Garamond" w:cs="Garamond"/>
          <w:color w:val="2A2A2A"/>
          <w:sz w:val="22"/>
          <w:szCs w:val="22"/>
        </w:rPr>
        <w:t>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58461D1F" w14:textId="77777777" w:rsidR="00AF3D56" w:rsidRDefault="00000000">
      <w:pPr>
        <w:spacing w:before="200" w:after="60"/>
        <w:ind w:left="431"/>
      </w:pPr>
      <w:r>
        <w:rPr>
          <w:rFonts w:ascii="Courier New" w:eastAsia="Courier New" w:hAnsi="Courier New" w:cs="Courier New"/>
          <w:b/>
          <w:bCs/>
          <w:color w:val="2A2A2A"/>
          <w:sz w:val="18"/>
          <w:szCs w:val="18"/>
        </w:rPr>
        <w:t xml:space="preserve">§2.9  </w:t>
      </w:r>
      <w:r>
        <w:rPr>
          <w:rFonts w:ascii="Garamond" w:eastAsia="Garamond" w:hAnsi="Garamond" w:cs="Garamond"/>
          <w:i/>
          <w:iCs/>
          <w:color w:val="1B2A4A"/>
          <w:sz w:val="22"/>
          <w:szCs w:val="22"/>
        </w:rPr>
        <w:t>Legat Consul Succession and Incapacity</w:t>
      </w:r>
    </w:p>
    <w:p>
      <w:pPr>
        <w:spacing w:after="120"/>
        <w:ind w:left="431"/>
        <w:jc w:val="both"/>
      </w:pPr>
      <w:r>
        <w:rPr>
          <w:rFonts w:ascii="Garamond" w:eastAsia="Garamond" w:hAnsi="Garamond" w:cs="Garamond"/>
          <w:color w:val="2A2A2A"/>
          <w:sz w:val="22"/>
          <w:szCs w:val="22"/>
        </w:rPr>
        <w:t xml:space="preserve">(1) 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w:t>
      </w:r>
    </w:p>
    <w:p>
      <w:pPr>
        <w:spacing w:after="120"/>
        <w:ind w:left="431"/>
        <w:jc w:val="both"/>
      </w:pPr>
      <w:r>
        <w:rPr>
          <w:rFonts w:ascii="Garamond" w:eastAsia="Garamond" w:hAnsi="Garamond" w:cs="Garamond"/>
          <w:color w:val="2A2A2A"/>
          <w:sz w:val="22"/>
          <w:szCs w:val="22"/>
        </w:rPr>
        <w:t xml:space="preserve">(2) Full succession vacates the successor's Senate seat, which is filled through the ordinary vacancy process. Where the Senate Speaker is simultaneously unable to serve, the most senior Senator by continuous Senate service holds the office from that moment; where two or more Senators have equal continuous service, the oldest by age holds the office.</w:t>
      </w:r>
    </w:p>
    <w:p>
      <w:pPr>
        <w:spacing w:after="120"/>
        <w:ind w:left="431"/>
        <w:jc w:val="both"/>
      </w:pPr>
      <w:r>
        <w:rPr>
          <w:rFonts w:ascii="Garamond" w:eastAsia="Garamond" w:hAnsi="Garamond" w:cs="Garamond"/>
          <w:color w:val="2A2A2A"/>
          <w:sz w:val="22"/>
          <w:szCs w:val="22"/>
        </w:rPr>
        <w:t xml:space="preserve">(3) The Legislature shall by statute establish an order of succession for the Legat Consul's temporary incapacity under §2.9(6)(ii) and for full succession beyond the constitutional floor under §2.9(2). Until such statute is enacted, the constitutional order under §2.9(6)(i) and (iii) applies.</w:t>
      </w:r>
    </w:p>
    <w:p>
      <w:pPr>
        <w:spacing w:after="120"/>
        <w:ind w:left="431"/>
        <w:jc w:val="both"/>
      </w:pPr>
      <w:r>
        <w:rPr>
          <w:rFonts w:ascii="Garamond" w:eastAsia="Garamond" w:hAnsi="Garamond" w:cs="Garamond"/>
          <w:color w:val="2A2A2A"/>
          <w:sz w:val="22"/>
          <w:szCs w:val="22"/>
        </w:rPr>
        <w:t xml:space="preserve">(4) Upon NRS publication of any triggering event, the military chain of command recognizes the constitutional transfer immediately; any order issued in the name of the prior Legat Consul after that moment is constitutionally void.</w:t>
      </w:r>
    </w:p>
    <w:p>
      <w:pPr>
        <w:spacing w:after="120"/>
        <w:ind w:left="431"/>
        <w:jc w:val="both"/>
      </w:pPr>
      <w:r>
        <w:rPr>
          <w:rFonts w:ascii="Garamond" w:eastAsia="Garamond" w:hAnsi="Garamond" w:cs="Garamond"/>
          <w:color w:val="2A2A2A"/>
          <w:sz w:val="22"/>
          <w:szCs w:val="22"/>
        </w:rPr>
        <w:t xml:space="preserve">(5)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w:t>
      </w:r>
    </w:p>
    <w:p>
      <w:pPr>
        <w:spacing w:after="120"/>
        <w:ind w:left="431"/>
        <w:jc w:val="both"/>
      </w:pPr>
      <w:r>
        <w:rPr>
          <w:rFonts w:ascii="Garamond" w:eastAsia="Garamond" w:hAnsi="Garamond" w:cs="Garamond"/>
          <w:color w:val="2A2A2A"/>
          <w:sz w:val="22"/>
          <w:szCs w:val="22"/>
        </w:rPr>
        <w:t xml:space="preserve">(6) Where the Legat Consul is temporarily unable to exercise authority as determined under §2.16, acting authority vests by constitutional operation in accordance with the following order: (i) the Senate Speaker; (ii) persons holding offices designated by statute for this purpose, in the order so established; (iii) the most senior Senator by continuous Senate service; where two or more Senators have equal continuous service, the oldest by age holds the office. A person in the order of succession may decline under §2.16(4). The person last in the order may not decline. While serving in an acting executive capacity under this subsection, the acting officer may not exercise any legislative function; the officer retains their Senate seat and any Senate office held, and the Senate provides for the exercise of those functions during that period under its internal procedures. Acting service neither extends nor suspends the officer's electoral mandate; where the acting officer ceases to be a Senator, acting authority passes by constitutional operation to the next person in the order of succession then qualified. Acting authority ends when the Legat Consul's incapacity ends under §2.16(3).</w:t>
      </w:r>
    </w:p>
    <w:p w14:paraId="3EAD3FC4" w14:textId="77777777" w:rsidR="00AF3D56" w:rsidRDefault="00000000">
      <w:pPr>
        <w:spacing w:before="200" w:after="60"/>
        <w:ind w:left="431"/>
      </w:pPr>
      <w:r>
        <w:rPr>
          <w:rFonts w:ascii="Courier New" w:eastAsia="Courier New" w:hAnsi="Courier New" w:cs="Courier New"/>
          <w:b/>
          <w:bCs/>
          <w:color w:val="2A2A2A"/>
          <w:sz w:val="18"/>
          <w:szCs w:val="18"/>
        </w:rPr>
        <w:t xml:space="preserve">§2.10  </w:t>
      </w:r>
      <w:r>
        <w:rPr>
          <w:rFonts w:ascii="Garamond" w:eastAsia="Garamond" w:hAnsi="Garamond" w:cs="Garamond"/>
          <w:i/>
          <w:iCs/>
          <w:color w:val="1B2A4A"/>
          <w:sz w:val="22"/>
          <w:szCs w:val="22"/>
        </w:rPr>
        <w:t>Executive Transparency</w:t>
      </w:r>
    </w:p>
    <w:p w14:paraId="177409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w:t>
        <w:lastRenderedPageBreak/>
        <w:t>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14:paraId="59AA2318" w14:textId="77777777" w:rsidR="00AF3D56" w:rsidRDefault="00000000">
      <w:pPr>
        <w:spacing w:before="200" w:after="60"/>
        <w:ind w:left="431"/>
      </w:pPr>
      <w:r>
        <w:rPr>
          <w:rFonts w:ascii="Courier New" w:eastAsia="Courier New" w:hAnsi="Courier New" w:cs="Courier New"/>
          <w:b/>
          <w:bCs/>
          <w:color w:val="2A2A2A"/>
          <w:sz w:val="18"/>
          <w:szCs w:val="18"/>
        </w:rPr>
        <w:t xml:space="preserve">§2.11  </w:t>
      </w:r>
      <w:r>
        <w:rPr>
          <w:rFonts w:ascii="Garamond" w:eastAsia="Garamond" w:hAnsi="Garamond" w:cs="Garamond"/>
          <w:i/>
          <w:iCs/>
          <w:color w:val="1B2A4A"/>
          <w:sz w:val="22"/>
          <w:szCs w:val="22"/>
        </w:rPr>
        <w:t>Emergency Governance</w:t>
      </w:r>
    </w:p>
    <w:p w14:paraId="6F112D14"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00FB3E8C" w14:textId="77777777" w:rsidR="00AF3D56" w:rsidRDefault="00000000">
      <w:pPr>
        <w:spacing w:before="200" w:after="60"/>
        <w:ind w:left="431"/>
      </w:pPr>
      <w:r>
        <w:rPr>
          <w:rFonts w:ascii="Courier New" w:eastAsia="Courier New" w:hAnsi="Courier New" w:cs="Courier New"/>
          <w:b/>
          <w:bCs/>
          <w:color w:val="2A2A2A"/>
          <w:sz w:val="18"/>
          <w:szCs w:val="18"/>
        </w:rPr>
        <w:t xml:space="preserve">§2.12  </w:t>
      </w:r>
      <w:r>
        <w:rPr>
          <w:rFonts w:ascii="Garamond" w:eastAsia="Garamond" w:hAnsi="Garamond" w:cs="Garamond"/>
          <w:i/>
          <w:iCs/>
          <w:color w:val="1B2A4A"/>
          <w:sz w:val="22"/>
          <w:szCs w:val="22"/>
        </w:rPr>
        <w:t>Clemency</w:t>
      </w:r>
    </w:p>
    <w:p w14:paraId="419B3216"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Group amnesty requires legislative action; no executive may grant group amnesty.</w:t>
      </w:r>
    </w:p>
    <w:p w14:paraId="79DD5CCB" w14:textId="77777777" w:rsidR="00AF3D56" w:rsidRDefault="00000000">
      <w:pPr>
        <w:spacing w:before="200" w:after="60"/>
        <w:ind w:left="431"/>
      </w:pPr>
      <w:r>
        <w:rPr>
          <w:rFonts w:ascii="Courier New" w:eastAsia="Courier New" w:hAnsi="Courier New" w:cs="Courier New"/>
          <w:b/>
          <w:bCs/>
          <w:color w:val="2A2A2A"/>
          <w:sz w:val="18"/>
          <w:szCs w:val="18"/>
        </w:rPr>
        <w:t xml:space="preserve">§2.13  </w:t>
      </w:r>
      <w:r>
        <w:rPr>
          <w:rFonts w:ascii="Garamond" w:eastAsia="Garamond" w:hAnsi="Garamond" w:cs="Garamond"/>
          <w:i/>
          <w:iCs/>
          <w:color w:val="1B2A4A"/>
          <w:sz w:val="22"/>
          <w:szCs w:val="22"/>
        </w:rPr>
        <w:t>Consular Removal</w:t>
      </w:r>
    </w:p>
    <w:p w14:paraId="3C3DC524"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removal requires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§7.3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8C0D769" w14:textId="77777777" w:rsidR="00AF3D56" w:rsidRDefault="00000000">
      <w:pPr>
        <w:spacing w:before="200" w:after="60"/>
        <w:ind w:left="431"/>
      </w:pPr>
      <w:r>
        <w:rPr>
          <w:rFonts w:ascii="Courier New" w:eastAsia="Courier New" w:hAnsi="Courier New" w:cs="Courier New"/>
          <w:b/>
          <w:bCs/>
          <w:color w:val="2A2A2A"/>
          <w:sz w:val="18"/>
          <w:szCs w:val="18"/>
        </w:rPr>
        <w:t xml:space="preserve">§2.14  </w:t>
      </w:r>
      <w:r>
        <w:rPr>
          <w:rFonts w:ascii="Garamond" w:eastAsia="Garamond" w:hAnsi="Garamond" w:cs="Garamond"/>
          <w:i/>
          <w:iCs/>
          <w:color w:val="1B2A4A"/>
          <w:sz w:val="22"/>
          <w:szCs w:val="22"/>
        </w:rPr>
        <w:t>Council of Ministers</w:t>
      </w:r>
    </w:p>
    <w:p w14:paraId="0914AF1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§2.14.a  </w:t>
      </w:r>
      <w:r>
        <w:rPr>
          <w:rFonts w:ascii="Garamond" w:eastAsia="Garamond" w:hAnsi="Garamond" w:cs="Garamond"/>
          <w:i/>
          <w:iCs/>
          <w:color w:val="1B2A4A"/>
          <w:sz w:val="22"/>
          <w:szCs w:val="22"/>
        </w:rPr>
        <w:t>Cross-Domain Emergency Lead</w:t>
      </w:r>
    </w:p>
    <w:p w14:paraId="70E13777" w14:textId="77777777" w:rsidR="00AF3D56" w:rsidRDefault="00000000">
      <w:pPr>
        <w:spacing w:after="120"/>
        <w:ind w:left="431"/>
        <w:jc w:val="both"/>
      </w:pPr>
      <w:r>
        <w:rPr>
          <w:rFonts w:ascii="Garamond" w:eastAsia="Garamond" w:hAnsi="Garamond" w:cs="Garamond"/>
          <w:color w:val="2A2A2A"/>
          <w:sz w:val="22"/>
          <w:szCs w:val="22"/>
        </w:rPr>
        <w:lastRenderedPageBreak/>
        <w:t>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§2.14.b  </w:t>
      </w:r>
      <w:r>
        <w:rPr>
          <w:rFonts w:ascii="Garamond" w:eastAsia="Garamond" w:hAnsi="Garamond" w:cs="Garamond"/>
          <w:i/>
          <w:iCs/>
          <w:color w:val="1B2A4A"/>
          <w:sz w:val="22"/>
          <w:szCs w:val="22"/>
        </w:rPr>
        <w:t>Cross-Domain Assistance</w:t>
      </w:r>
    </w:p>
    <w:p w14:paraId="70E13777" w14:textId="77777777" w:rsidR="00AF3D56" w:rsidRDefault="00000000">
      <w:pPr>
        <w:spacing w:after="120"/>
        <w:ind w:left="431"/>
        <w:jc w:val="both"/>
      </w:pPr>
      <w:r>
        <w:rPr>
          <w:rFonts w:ascii="Garamond" w:eastAsia="Garamond" w:hAnsi="Garamond" w:cs="Garamond"/>
          <w:color w:val="2A2A2A"/>
          <w:sz w:val="22"/>
          <w:szCs w:val="22"/>
        </w:rPr>
        <w:t xml:space="preserve">Either Consul may formally request that the other exercise specified authority within the other's domain in support of a need arising in the requesting Consul's domain. The request states the need, scope, and duration and is published to the NRS; the responding Consul determines whether and how to act within their own domain and publishes the response to the NRS. Neither Consul may compel the other. A request may specify a duration not to exceed 90 days; assistance may be renewed only by a fresh request and response, each published to the NRS. This section may provide only capability used in support of persons — including logistics, transport, materiel, technical, medical, disaster, and search-and-rescue capability. It may not provide capability used to compel, detain, or direct persons, to surveil, monitor, or collect intelligence on persons within the Republic, or to commandeer civilian resources; any such capability is available to the requesting Consul only under §1.19 or other express constitutional authority. Capability provided under this section operates under the responding Consul's command as to means and the requesting Consul's direction as to purpose and limits, and remains subject in full to Article I. A foreign invasion or comparable threat engaging both domains is governed by §2.14.a. A dispute arising under this section is resolved through the mechanism in §2.14.a.</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§2.15  </w:t>
      </w:r>
      <w:r>
        <w:rPr>
          <w:rFonts w:ascii="Garamond" w:eastAsia="Garamond" w:hAnsi="Garamond" w:cs="Garamond"/>
          <w:i/>
          <w:iCs/>
          <w:color w:val="1B2A4A"/>
          <w:sz w:val="22"/>
          <w:szCs w:val="22"/>
        </w:rPr>
        <w:t>Federal Prosecution</w:t>
      </w:r>
    </w:p>
    <w:p w14:paraId="75392848" w14:textId="77777777" w:rsidR="00AF3D56" w:rsidRDefault="00000000">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§2.16  </w:t>
      </w:r>
      <w:r>
        <w:rPr>
          <w:rFonts w:ascii="Garamond" w:eastAsia="Garamond" w:hAnsi="Garamond" w:cs="Garamond"/>
          <w:i/>
          <w:iCs/>
          <w:color w:val="1B2A4A"/>
          <w:sz w:val="22"/>
          <w:szCs w:val="22"/>
        </w:rPr>
        <w:t>Executive Incapacity</w:t>
      </w:r>
    </w:p>
    <w:p>
      <w:pPr>
        <w:spacing w:after="120"/>
        <w:ind w:left="431"/>
        <w:jc w:val="both"/>
      </w:pPr>
      <w:r>
        <w:rPr>
          <w:rFonts w:ascii="Garamond" w:eastAsia="Garamond" w:hAnsi="Garamond" w:cs="Garamond"/>
          <w:color w:val="2A2A2A"/>
          <w:sz w:val="22"/>
          <w:szCs w:val="22"/>
        </w:rPr>
        <w:t xml:space="preserve">(1) A Consul is temporarily unable to exercise authority when either of the following is published to the National Record System:</w:t>
      </w:r>
    </w:p>
    <w:p>
      <w:pPr>
        <w:spacing w:after="120"/>
        <w:ind w:left="720"/>
        <w:jc w:val="both"/>
      </w:pPr>
      <w:r>
        <w:rPr>
          <w:rFonts w:ascii="Garamond" w:eastAsia="Garamond" w:hAnsi="Garamond" w:cs="Garamond"/>
          <w:color w:val="2A2A2A"/>
          <w:sz w:val="22"/>
          <w:szCs w:val="22"/>
        </w:rPr>
        <w:t xml:space="preserve">(a) a declaration of incapacity by the Consul; or</w:t>
      </w:r>
    </w:p>
    <w:p>
      <w:pPr>
        <w:spacing w:after="120"/>
        <w:ind w:left="720"/>
        <w:jc w:val="both"/>
      </w:pPr>
      <w:r>
        <w:rPr>
          <w:rFonts w:ascii="Garamond" w:eastAsia="Garamond" w:hAnsi="Garamond" w:cs="Garamond"/>
          <w:color w:val="2A2A2A"/>
          <w:sz w:val="22"/>
          <w:szCs w:val="22"/>
        </w:rPr>
        <w:t xml:space="preserve">(b) a determination of incapacity by the Council of Ministers under subsection (2).</w:t>
      </w:r>
    </w:p>
    <w:p>
      <w:pPr>
        <w:spacing w:after="120"/>
        <w:ind w:left="431"/>
        <w:jc w:val="both"/>
      </w:pPr>
      <w:r>
        <w:rPr>
          <w:rFonts w:ascii="Garamond" w:eastAsia="Garamond" w:hAnsi="Garamond" w:cs="Garamond"/>
          <w:color w:val="2A2A2A"/>
          <w:sz w:val="22"/>
          <w:szCs w:val="22"/>
        </w:rPr>
        <w:t xml:space="preserve">(2) Council of Ministers determination:</w:t>
      </w:r>
    </w:p>
    <w:p>
      <w:pPr>
        <w:spacing w:after="120"/>
        <w:ind w:left="720"/>
        <w:jc w:val="both"/>
      </w:pPr>
      <w:r>
        <w:rPr>
          <w:rFonts w:ascii="Garamond" w:eastAsia="Garamond" w:hAnsi="Garamond" w:cs="Garamond"/>
          <w:color w:val="2A2A2A"/>
          <w:sz w:val="22"/>
          <w:szCs w:val="22"/>
        </w:rPr>
        <w:t xml:space="preserve">(a) The Council may, by majority of members then in office provided no fewer than five are in office, determine that a Consul is temporarily unable to exercise authority. This function is a constitutional function of the Council and is not an exercise of executive authority.</w:t>
      </w:r>
    </w:p>
    <w:p>
      <w:pPr>
        <w:spacing w:after="120"/>
        <w:ind w:left="720"/>
        <w:jc w:val="both"/>
      </w:pPr>
      <w:r>
        <w:rPr>
          <w:rFonts w:ascii="Garamond" w:eastAsia="Garamond" w:hAnsi="Garamond" w:cs="Garamond"/>
          <w:color w:val="2A2A2A"/>
          <w:sz w:val="22"/>
          <w:szCs w:val="22"/>
        </w:rPr>
        <w:t xml:space="preserve">(b) The determination is published to the NRS; upon publication, acting authority vests in accordance with the applicable succession provision.</w:t>
      </w:r>
    </w:p>
    <w:p>
      <w:pPr>
        <w:spacing w:after="120"/>
        <w:ind w:left="431"/>
        <w:jc w:val="both"/>
      </w:pPr>
      <w:r>
        <w:rPr>
          <w:rFonts w:ascii="Garamond" w:eastAsia="Garamond" w:hAnsi="Garamond" w:cs="Garamond"/>
          <w:color w:val="2A2A2A"/>
          <w:sz w:val="22"/>
          <w:szCs w:val="22"/>
        </w:rPr>
        <w:t xml:space="preserve">(3) Restoration:</w:t>
      </w:r>
    </w:p>
    <w:p>
      <w:pPr>
        <w:spacing w:after="120"/>
        <w:ind w:left="720"/>
        <w:jc w:val="both"/>
      </w:pPr>
      <w:r>
        <w:rPr>
          <w:rFonts w:ascii="Garamond" w:eastAsia="Garamond" w:hAnsi="Garamond" w:cs="Garamond"/>
          <w:color w:val="2A2A2A"/>
          <w:sz w:val="22"/>
          <w:szCs w:val="22"/>
        </w:rPr>
        <w:t xml:space="preserve">(a) An incapacity under this section ends when the Consul publishes a restoration declaration to the NRS. The Consul transmits the declaration to the Speaker of each chamber, to the other Consul, and to the officer then holding acting authority; full authority returns to the Consul 24 hours after publication.</w:t>
      </w:r>
    </w:p>
    <w:p>
      <w:pPr>
        <w:spacing w:after="120"/>
        <w:ind w:left="720"/>
        <w:jc w:val="both"/>
      </w:pPr>
      <w:r>
        <w:rPr>
          <w:rFonts w:ascii="Garamond" w:eastAsia="Garamond" w:hAnsi="Garamond" w:cs="Garamond"/>
          <w:color w:val="2A2A2A"/>
          <w:sz w:val="22"/>
          <w:szCs w:val="22"/>
        </w:rPr>
        <w:t xml:space="preserve">(b) Where the Council determines incapacity on the same or substantially similar grounds within 90 days of a restoration declaration, the Consul may not end that incapacity by restoration declaration alone; the incapacity ends only when the Consul's accountability chamber — the Assembly for the Civic Consul, the Senate for the Legat Consul — so resolves by absolute majority of its full seated membership.</w:t>
      </w:r>
    </w:p>
    <w:p>
      <w:pPr>
        <w:spacing w:after="120"/>
        <w:ind w:left="431"/>
        <w:jc w:val="both"/>
      </w:pPr>
      <w:r>
        <w:rPr>
          <w:rFonts w:ascii="Garamond" w:eastAsia="Garamond" w:hAnsi="Garamond" w:cs="Garamond"/>
          <w:color w:val="2A2A2A"/>
          <w:sz w:val="22"/>
          <w:szCs w:val="22"/>
        </w:rPr>
        <w:t xml:space="preserve">(4) Declination:</w:t>
      </w:r>
    </w:p>
    <w:p>
      <w:pPr>
        <w:spacing w:after="120"/>
        <w:ind w:left="720"/>
        <w:jc w:val="both"/>
      </w:pPr>
      <w:r>
        <w:rPr>
          <w:rFonts w:ascii="Garamond" w:eastAsia="Garamond" w:hAnsi="Garamond" w:cs="Garamond"/>
          <w:color w:val="2A2A2A"/>
          <w:sz w:val="22"/>
          <w:szCs w:val="22"/>
        </w:rPr>
        <w:t xml:space="preserve">(a) A person upon whom acting executive authority would fall under §2.5(6) or §2.9(6) may decline by publishing a declination to the NRS within 48 hours of the incapacity publication.</w:t>
      </w:r>
    </w:p>
    <w:p>
      <w:pPr>
        <w:spacing w:after="120"/>
        <w:ind w:left="720"/>
        <w:jc w:val="both"/>
      </w:pPr>
      <w:r>
        <w:rPr>
          <w:rFonts w:ascii="Garamond" w:eastAsia="Garamond" w:hAnsi="Garamond" w:cs="Garamond"/>
          <w:color w:val="2A2A2A"/>
          <w:sz w:val="22"/>
          <w:szCs w:val="22"/>
        </w:rPr>
        <w:t xml:space="preserve">(b) Upon publication of the declination, acting authority passes by constitutional operation to the next person in the applicable order of succession.</w:t>
      </w:r>
    </w:p>
    <w:p>
      <w:pPr>
        <w:spacing w:after="120"/>
        <w:ind w:left="720"/>
        <w:jc w:val="both"/>
      </w:pPr>
      <w:r>
        <w:rPr>
          <w:rFonts w:ascii="Garamond" w:eastAsia="Garamond" w:hAnsi="Garamond" w:cs="Garamond"/>
          <w:color w:val="2A2A2A"/>
          <w:sz w:val="22"/>
          <w:szCs w:val="22"/>
        </w:rPr>
        <w:t xml:space="preserve">(c) A declination is irrevocable and does not prejudice the person's eligibility for any future succession event. A person who does not publish a declination within 48 hours is deemed to have accepted.</w:t>
      </w:r>
    </w:p>
    <w:p>
      <w:pPr>
        <w:spacing w:after="120"/>
        <w:ind w:left="720"/>
        <w:jc w:val="both"/>
      </w:pPr>
      <w:r>
        <w:rPr>
          <w:rFonts w:ascii="Garamond" w:eastAsia="Garamond" w:hAnsi="Garamond" w:cs="Garamond"/>
          <w:color w:val="2A2A2A"/>
          <w:sz w:val="22"/>
          <w:szCs w:val="22"/>
        </w:rPr>
        <w:t xml:space="preserve">(d) The person last in the order of succession may not decline.</w:t>
      </w:r>
    </w:p>
    <w:p>
      <w:pPr>
        <w:spacing w:after="120"/>
        <w:ind w:left="431"/>
        <w:jc w:val="both"/>
      </w:pPr>
      <w:r>
        <w:rPr>
          <w:rFonts w:ascii="Garamond" w:eastAsia="Garamond" w:hAnsi="Garamond" w:cs="Garamond"/>
          <w:color w:val="2A2A2A"/>
          <w:sz w:val="22"/>
          <w:szCs w:val="22"/>
        </w:rPr>
        <w:t xml:space="preserve">(5) Duration. An incapacity under this section that has continued for 90 days ends by constitutional operation unless, before expiry, a removal process under §2.6 or §2.13 has been initiated against the Consul, in which case the incapacity continues until that process concludes.</w:t>
      </w:r>
    </w:p>
    <w:p w14:paraId="2CCB358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0AD0B6E3" w14:textId="77777777" w:rsidR="00AF3D56" w:rsidRDefault="00000000">
      <w:pPr>
        <w:spacing w:before="200" w:after="60"/>
        <w:ind w:left="431"/>
      </w:pPr>
      <w:r>
        <w:rPr>
          <w:rFonts w:ascii="Courier New" w:eastAsia="Courier New" w:hAnsi="Courier New" w:cs="Courier New"/>
          <w:b/>
          <w:bCs/>
          <w:color w:val="2A2A2A"/>
          <w:sz w:val="18"/>
          <w:szCs w:val="18"/>
        </w:rPr>
        <w:t xml:space="preserve">§3.1  </w:t>
      </w:r>
      <w:r>
        <w:rPr>
          <w:rFonts w:ascii="Garamond" w:eastAsia="Garamond" w:hAnsi="Garamond" w:cs="Garamond"/>
          <w:i/>
          <w:iCs/>
          <w:color w:val="1B2A4A"/>
          <w:sz w:val="22"/>
          <w:szCs w:val="22"/>
        </w:rPr>
        <w:t>The Legislature</w:t>
      </w:r>
    </w:p>
    <w:p w14:paraId="0404E335"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The Senate may, by majority of full seated membership, extend the review period for any bill by one additional period not to exceed 30 days, with stated cause published to the NRS; no further extension is available and deemed approval applies at expiry. Neither chamber may indefinitely delay business assigned to it by this constitution.</w:t>
      </w:r>
    </w:p>
    <w:p w14:paraId="4A8D1955" w14:textId="77777777" w:rsidR="00AF3D56" w:rsidRDefault="00000000">
      <w:pPr>
        <w:spacing w:before="200" w:after="60"/>
        <w:ind w:left="431"/>
      </w:pPr>
      <w:r>
        <w:rPr>
          <w:rFonts w:ascii="Courier New" w:eastAsia="Courier New" w:hAnsi="Courier New" w:cs="Courier New"/>
          <w:b/>
          <w:bCs/>
          <w:color w:val="2A2A2A"/>
          <w:sz w:val="18"/>
          <w:szCs w:val="18"/>
        </w:rPr>
        <w:t xml:space="preserve">§3.2  </w:t>
      </w:r>
      <w:r>
        <w:rPr>
          <w:rFonts w:ascii="Garamond" w:eastAsia="Garamond" w:hAnsi="Garamond" w:cs="Garamond"/>
          <w:i/>
          <w:iCs/>
          <w:color w:val="1B2A4A"/>
          <w:sz w:val="22"/>
          <w:szCs w:val="22"/>
        </w:rPr>
        <w:t>The Assembly</w:t>
      </w:r>
    </w:p>
    <w:p>
      <w:pPr>
        <w:spacing w:after="120"/>
        <w:ind w:left="431"/>
        <w:jc w:val="both"/>
      </w:pPr>
      <w:r>
        <w:rPr>
          <w:rFonts w:ascii="Garamond" w:eastAsia="Garamond" w:hAnsi="Garamond" w:cs="Garamond"/>
          <w:color w:val="2A2A2A"/>
          <w:sz w:val="22"/>
          <w:szCs w:val="22"/>
        </w:rPr>
        <w:t xml:space="preserve">(1) 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w:t>
      </w:r>
    </w:p>
    <w:p>
      <w:pPr>
        <w:spacing w:after="120"/>
        <w:ind w:left="431"/>
        <w:jc w:val="both"/>
      </w:pPr>
      <w:r>
        <w:rPr>
          <w:rFonts w:ascii="Garamond" w:eastAsia="Garamond" w:hAnsi="Garamond" w:cs="Garamond"/>
          <w:color w:val="2A2A2A"/>
          <w:sz w:val="22"/>
          <w:szCs w:val="22"/>
        </w:rPr>
        <w:t xml:space="preserve">(2) The census, conducted every ten years by a statutory independent agency, is the basis for reapportionment. The LM audits the census and allocation process.</w:t>
      </w:r>
    </w:p>
    <w:p>
      <w:pPr>
        <w:spacing w:after="120"/>
        <w:ind w:left="431"/>
        <w:jc w:val="both"/>
      </w:pPr>
      <w:r>
        <w:rPr>
          <w:rFonts w:ascii="Garamond" w:eastAsia="Garamond" w:hAnsi="Garamond" w:cs="Garamond"/>
          <w:color w:val="2A2A2A"/>
          <w:sz w:val="22"/>
          <w:szCs w:val="22"/>
        </w:rPr>
        <w:t xml:space="preserve">(3) The Assembly selects a Speaker from its own members by a method it establishes, provided the Speaker holds the support of a majority of full seated membership; the Speakership is a standing office, and its holder serves as Acting Civic Consul under §2.5 and §2.6.a. Quorum is a majority of full seated membership. The Assembly establishes its own internal procedures.</w:t>
      </w:r>
    </w:p>
    <w:p>
      <w:pPr>
        <w:spacing w:after="120"/>
        <w:ind w:left="431"/>
        <w:jc w:val="both"/>
      </w:pPr>
      <w:r>
        <w:rPr>
          <w:rFonts w:ascii="Garamond" w:eastAsia="Garamond" w:hAnsi="Garamond" w:cs="Garamond"/>
          <w:color w:val="2A2A2A"/>
          <w:sz w:val="22"/>
          <w:szCs w:val="22"/>
        </w:rPr>
        <w:t xml:space="preserve">(4) Members serve two-year terms. No member may serve more than six consecutive terms without sitting out one full electoral cycle; no cumulative lifetime restriction applies after the cooling-off period.</w:t>
      </w:r>
    </w:p>
    <w:p>
      <w:pPr>
        <w:spacing w:after="120"/>
        <w:ind w:left="431"/>
        <w:jc w:val="both"/>
      </w:pPr>
      <w:r>
        <w:rPr>
          <w:rFonts w:ascii="Garamond" w:eastAsia="Garamond" w:hAnsi="Garamond" w:cs="Garamond"/>
          <w:color w:val="2A2A2A"/>
          <w:sz w:val="22"/>
          <w:szCs w:val="22"/>
        </w:rPr>
        <w:t xml:space="preserve">(5) Any Assembly member who resigns, is expelled, or is removed by state recall at any point during a term shall be deemed to have served that full term for purposes of the consecutive-term limit.</w:t>
      </w:r>
    </w:p>
    <w:p>
      <w:pPr>
        <w:spacing w:after="120"/>
        <w:ind w:left="431"/>
        <w:jc w:val="both"/>
      </w:pPr>
      <w:r>
        <w:rPr>
          <w:rFonts w:ascii="Garamond" w:eastAsia="Garamond" w:hAnsi="Garamond" w:cs="Garamond"/>
          <w:color w:val="2A2A2A"/>
          <w:sz w:val="22"/>
          <w:szCs w:val="22"/>
        </w:rPr>
        <w:t xml:space="preserve">(6)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120"/>
        <w:ind w:left="431"/>
        <w:jc w:val="both"/>
      </w:pPr>
      <w:r>
        <w:rPr>
          <w:rFonts w:ascii="Garamond" w:eastAsia="Garamond" w:hAnsi="Garamond" w:cs="Garamond"/>
          <w:color w:val="2A2A2A"/>
          <w:sz w:val="22"/>
          <w:szCs w:val="22"/>
        </w:rPr>
        <w:t xml:space="preserve">(7) A State may establish by law a recall mechanism for its Assembly members;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1AD02533" w14:textId="77777777" w:rsidR="00AF3D56" w:rsidRDefault="00000000">
      <w:pPr>
        <w:spacing w:before="200" w:after="60"/>
        <w:ind w:left="431"/>
      </w:pPr>
      <w:r>
        <w:rPr>
          <w:rFonts w:ascii="Courier New" w:eastAsia="Courier New" w:hAnsi="Courier New" w:cs="Courier New"/>
          <w:b/>
          <w:bCs/>
          <w:color w:val="2A2A2A"/>
          <w:sz w:val="18"/>
          <w:szCs w:val="18"/>
        </w:rPr>
        <w:t xml:space="preserve">§3.3  </w:t>
      </w:r>
      <w:r>
        <w:rPr>
          <w:rFonts w:ascii="Garamond" w:eastAsia="Garamond" w:hAnsi="Garamond" w:cs="Garamond"/>
          <w:i/>
          <w:iCs/>
          <w:color w:val="1B2A4A"/>
          <w:sz w:val="22"/>
          <w:szCs w:val="22"/>
        </w:rPr>
        <w:t>Electoral Districts</w:t>
      </w:r>
    </w:p>
    <w:p w14:paraId="3E2FD7C4" w14:textId="77777777" w:rsidR="00AF3D56" w:rsidRDefault="00000000">
      <w:pPr>
        <w:spacing w:after="120"/>
        <w:ind w:left="431"/>
        <w:jc w:val="both"/>
      </w:pPr>
      <w:r>
        <w:rPr>
          <w:rFonts w:ascii="Garamond" w:eastAsia="Garamond" w:hAnsi="Garamond" w:cs="Garamond"/>
          <w:color w:val="2A2A2A"/>
          <w:sz w:val="22"/>
          <w:szCs w:val="22"/>
        </w:rPr>
        <w:t>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4C75438F" w14:textId="77777777" w:rsidR="00AF3D56" w:rsidRDefault="00000000">
      <w:pPr>
        <w:spacing w:before="200" w:after="60"/>
        <w:ind w:left="431"/>
      </w:pPr>
      <w:r>
        <w:rPr>
          <w:rFonts w:ascii="Courier New" w:eastAsia="Courier New" w:hAnsi="Courier New" w:cs="Courier New"/>
          <w:b/>
          <w:bCs/>
          <w:color w:val="2A2A2A"/>
          <w:sz w:val="18"/>
          <w:szCs w:val="18"/>
        </w:rPr>
        <w:t xml:space="preserve">§3.4  </w:t>
      </w:r>
      <w:r>
        <w:rPr>
          <w:rFonts w:ascii="Garamond" w:eastAsia="Garamond" w:hAnsi="Garamond" w:cs="Garamond"/>
          <w:i/>
          <w:iCs/>
          <w:color w:val="1B2A4A"/>
          <w:sz w:val="22"/>
          <w:szCs w:val="22"/>
        </w:rPr>
        <w:t>Legislative Standards</w:t>
      </w:r>
    </w:p>
    <w:p w14:paraId="49AD981F" w14:textId="77777777" w:rsidR="00AF3D56" w:rsidRDefault="00000000">
      <w:pPr>
        <w:spacing w:after="120"/>
        <w:ind w:left="431"/>
        <w:jc w:val="both"/>
      </w:pPr>
      <w:r>
        <w:rPr>
          <w:rFonts w:ascii="Garamond" w:eastAsia="Garamond" w:hAnsi="Garamond" w:cs="Garamond"/>
          <w:color w:val="2A2A2A"/>
          <w:sz w:val="22"/>
          <w:szCs w:val="22"/>
        </w:rPr>
        <w:t xml:space="preserve">Every bill must address a single, clearly defined subject. Any member or approval body in the legislative process may request an LM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w:t>
        <w:lastRenderedPageBreak/>
        <w:t>sanction and refer members; removal requires 2/3 of the relevant chamber; under §9.1, the chamber may request an LM assessment to inform the proceeding.</w:t>
      </w:r>
    </w:p>
    <w:p w14:paraId="23B1A891" w14:textId="77777777" w:rsidR="00AF3D56" w:rsidRDefault="00000000">
      <w:pPr>
        <w:spacing w:before="200" w:after="60"/>
        <w:ind w:left="431"/>
      </w:pPr>
      <w:r>
        <w:rPr>
          <w:rFonts w:ascii="Courier New" w:eastAsia="Courier New" w:hAnsi="Courier New" w:cs="Courier New"/>
          <w:b/>
          <w:bCs/>
          <w:color w:val="2A2A2A"/>
          <w:sz w:val="18"/>
          <w:szCs w:val="18"/>
        </w:rPr>
        <w:t xml:space="preserve">§3.5  </w:t>
      </w:r>
      <w:r>
        <w:rPr>
          <w:rFonts w:ascii="Garamond" w:eastAsia="Garamond" w:hAnsi="Garamond" w:cs="Garamond"/>
          <w:i/>
          <w:iCs/>
          <w:color w:val="1B2A4A"/>
          <w:sz w:val="22"/>
          <w:szCs w:val="22"/>
        </w:rPr>
        <w:t>The Senate</w:t>
      </w:r>
    </w:p>
    <w:p>
      <w:pPr>
        <w:spacing w:after="120"/>
        <w:ind w:left="431"/>
        <w:jc w:val="both"/>
      </w:pPr>
      <w:r>
        <w:rPr>
          <w:rFonts w:ascii="Garamond" w:eastAsia="Garamond" w:hAnsi="Garamond" w:cs="Garamond"/>
          <w:color w:val="2A2A2A"/>
          <w:sz w:val="22"/>
          <w:szCs w:val="22"/>
        </w:rPr>
        <w:t xml:space="preserve">(1) The Senate comprises two senators per State regardless of population, elected for six-year staggered terms.</w:t>
      </w:r>
    </w:p>
    <w:p>
      <w:pPr>
        <w:spacing w:after="120"/>
        <w:ind w:left="431"/>
        <w:jc w:val="both"/>
      </w:pPr>
      <w:r>
        <w:rPr>
          <w:rFonts w:ascii="Garamond" w:eastAsia="Garamond" w:hAnsi="Garamond" w:cs="Garamond"/>
          <w:color w:val="2A2A2A"/>
          <w:sz w:val="22"/>
          <w:szCs w:val="22"/>
        </w:rPr>
        <w:t xml:space="preserve">(2)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w:t>
      </w:r>
    </w:p>
    <w:p>
      <w:pPr>
        <w:spacing w:after="120"/>
        <w:ind w:left="431"/>
        <w:jc w:val="both"/>
      </w:pPr>
      <w:r>
        <w:rPr>
          <w:rFonts w:ascii="Garamond" w:eastAsia="Garamond" w:hAnsi="Garamond" w:cs="Garamond"/>
          <w:color w:val="2A2A2A"/>
          <w:sz w:val="22"/>
          <w:szCs w:val="22"/>
        </w:rPr>
        <w:t xml:space="preserve">(3) No senator may serve more than two consecutive terms without sitting out one full term; no cumulative lifetime restriction applies after the cooling-off period.</w:t>
      </w:r>
    </w:p>
    <w:p>
      <w:pPr>
        <w:spacing w:after="120"/>
        <w:ind w:left="431"/>
        <w:jc w:val="both"/>
      </w:pPr>
      <w:r>
        <w:rPr>
          <w:rFonts w:ascii="Garamond" w:eastAsia="Garamond" w:hAnsi="Garamond" w:cs="Garamond"/>
          <w:color w:val="2A2A2A"/>
          <w:sz w:val="22"/>
          <w:szCs w:val="22"/>
        </w:rPr>
        <w:t xml:space="preserve">(4) Any senator who resigns, is expelled, or is removed by state recall at any point during a term shall be deemed to have served that full term for purposes of the consecutive-term limit.</w:t>
      </w:r>
    </w:p>
    <w:p>
      <w:pPr>
        <w:spacing w:after="120"/>
        <w:ind w:left="431"/>
        <w:jc w:val="both"/>
      </w:pPr>
      <w:r>
        <w:rPr>
          <w:rFonts w:ascii="Garamond" w:eastAsia="Garamond" w:hAnsi="Garamond" w:cs="Garamond"/>
          <w:color w:val="2A2A2A"/>
          <w:sz w:val="22"/>
          <w:szCs w:val="22"/>
        </w:rPr>
        <w:t xml:space="preserve">(5) The Senate Speaker is elected by senators and may not serve more than two consecutive full Senate terms as Speaker without sitting out one full Senate term.</w:t>
      </w:r>
    </w:p>
    <w:p>
      <w:pPr>
        <w:spacing w:after="120"/>
        <w:ind w:left="431"/>
        <w:jc w:val="both"/>
      </w:pPr>
      <w:r>
        <w:rPr>
          <w:rFonts w:ascii="Garamond" w:eastAsia="Garamond" w:hAnsi="Garamond" w:cs="Garamond"/>
          <w:color w:val="2A2A2A"/>
          <w:sz w:val="22"/>
          <w:szCs w:val="22"/>
        </w:rPr>
        <w:t xml:space="preserve">(6) The Senate defines its own internal procedures. The Senate may expel a member by 2/3 vote of full seated membership; expulsion is published to the NRS and is effective immediately.</w:t>
      </w:r>
    </w:p>
    <w:p>
      <w:pPr>
        <w:spacing w:after="120"/>
        <w:ind w:left="431"/>
        <w:jc w:val="both"/>
      </w:pPr>
      <w:r>
        <w:rPr>
          <w:rFonts w:ascii="Garamond" w:eastAsia="Garamond" w:hAnsi="Garamond" w:cs="Garamond"/>
          <w:color w:val="2A2A2A"/>
          <w:sz w:val="22"/>
          <w:szCs w:val="22"/>
        </w:rPr>
        <w:t xml:space="preserve">(7) A State may establish by law a recall mechanism for its senators;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w:t>
      </w:r>
    </w:p>
    <w:p>
      <w:pPr>
        <w:spacing w:after="120"/>
        <w:ind w:left="431"/>
        <w:jc w:val="both"/>
      </w:pPr>
      <w:r>
        <w:rPr>
          <w:rFonts w:ascii="Garamond" w:eastAsia="Garamond" w:hAnsi="Garamond" w:cs="Garamond"/>
          <w:color w:val="2A2A2A"/>
          <w:sz w:val="22"/>
          <w:szCs w:val="22"/>
        </w:rPr>
        <w:t xml:space="preserve">(8) The Senate holds exclusive authority over:</w:t>
      </w:r>
    </w:p>
    <w:p>
      <w:pPr>
        <w:spacing w:after="120"/>
        <w:ind w:left="720"/>
        <w:jc w:val="both"/>
      </w:pPr>
      <w:r>
        <w:rPr>
          <w:rFonts w:ascii="Garamond" w:eastAsia="Garamond" w:hAnsi="Garamond" w:cs="Garamond"/>
          <w:color w:val="2A2A2A"/>
          <w:sz w:val="22"/>
          <w:szCs w:val="22"/>
        </w:rPr>
        <w:t xml:space="preserve">— judicial confirmation;</w:t>
      </w:r>
    </w:p>
    <w:p>
      <w:pPr>
        <w:spacing w:after="120"/>
        <w:ind w:left="720"/>
        <w:jc w:val="both"/>
      </w:pPr>
      <w:r>
        <w:rPr>
          <w:rFonts w:ascii="Garamond" w:eastAsia="Garamond" w:hAnsi="Garamond" w:cs="Garamond"/>
          <w:color w:val="2A2A2A"/>
          <w:sz w:val="22"/>
          <w:szCs w:val="22"/>
        </w:rPr>
        <w:t xml:space="preserve">— treaty ratification by 2/3 of full seated membership;</w:t>
      </w:r>
    </w:p>
    <w:p>
      <w:pPr>
        <w:spacing w:after="120"/>
        <w:ind w:left="720"/>
        <w:jc w:val="both"/>
      </w:pPr>
      <w:r>
        <w:rPr>
          <w:rFonts w:ascii="Garamond" w:eastAsia="Garamond" w:hAnsi="Garamond" w:cs="Garamond"/>
          <w:color w:val="2A2A2A"/>
          <w:sz w:val="22"/>
          <w:szCs w:val="22"/>
        </w:rPr>
        <w:t xml:space="preserve">— and, in the absence of a functioning Elections Panel, administration of the consular election.</w:t>
      </w:r>
    </w:p>
    <w:p>
      <w:pPr>
        <w:spacing w:after="120"/>
        <w:ind w:left="431"/>
        <w:jc w:val="both"/>
      </w:pPr>
      <w:r>
        <w:rPr>
          <w:rFonts w:ascii="Garamond" w:eastAsia="Garamond" w:hAnsi="Garamond" w:cs="Garamond"/>
          <w:color w:val="2A2A2A"/>
          <w:sz w:val="22"/>
          <w:szCs w:val="22"/>
        </w:rPr>
        <w:t xml:space="preserve">(9) The Senate may not initiate legislation; all bills originate in the Assembly.</w:t>
      </w:r>
    </w:p>
    <w:p w14:paraId="1D954380" w14:textId="77777777" w:rsidR="00AF3D56" w:rsidRDefault="00000000">
      <w:pPr>
        <w:spacing w:before="200" w:after="60"/>
        <w:ind w:left="431"/>
      </w:pPr>
      <w:r>
        <w:rPr>
          <w:rFonts w:ascii="Courier New" w:eastAsia="Courier New" w:hAnsi="Courier New" w:cs="Courier New"/>
          <w:b/>
          <w:bCs/>
          <w:color w:val="2A2A2A"/>
          <w:sz w:val="18"/>
          <w:szCs w:val="18"/>
        </w:rPr>
        <w:t xml:space="preserve">§3.6  </w:t>
      </w:r>
      <w:r>
        <w:rPr>
          <w:rFonts w:ascii="Garamond" w:eastAsia="Garamond" w:hAnsi="Garamond" w:cs="Garamond"/>
          <w:i/>
          <w:iCs/>
          <w:color w:val="1B2A4A"/>
          <w:sz w:val="22"/>
          <w:szCs w:val="22"/>
        </w:rPr>
        <w:t>Treaty and Trade Agreement Ratification</w:t>
      </w:r>
    </w:p>
    <w:p w14:paraId="024B57DA" w14:textId="77777777" w:rsidR="00AF3D56" w:rsidRDefault="00000000">
      <w:pPr>
        <w:spacing w:after="120"/>
        <w:ind w:left="431"/>
        <w:jc w:val="both"/>
      </w:pPr>
      <w:r>
        <w:rPr>
          <w:rFonts w:ascii="Garamond" w:eastAsia="Garamond" w:hAnsi="Garamond" w:cs="Garamond"/>
          <w:color w:val="2A2A2A"/>
          <w:sz w:val="22"/>
          <w:szCs w:val="22"/>
        </w:rPr>
        <w:t>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1F75EB36" w14:textId="77777777" w:rsidR="00AF3D56" w:rsidRDefault="00000000">
      <w:pPr>
        <w:spacing w:before="200" w:after="60"/>
        <w:ind w:left="431"/>
      </w:pPr>
      <w:r>
        <w:rPr>
          <w:rFonts w:ascii="Courier New" w:eastAsia="Courier New" w:hAnsi="Courier New" w:cs="Courier New"/>
          <w:b/>
          <w:bCs/>
          <w:color w:val="2A2A2A"/>
          <w:sz w:val="18"/>
          <w:szCs w:val="18"/>
        </w:rPr>
        <w:t xml:space="preserve">§3.6.a  </w:t>
      </w:r>
      <w:r>
        <w:rPr>
          <w:rFonts w:ascii="Garamond" w:eastAsia="Garamond" w:hAnsi="Garamond" w:cs="Garamond"/>
          <w:i/>
          <w:iCs/>
          <w:color w:val="1B2A4A"/>
          <w:sz w:val="22"/>
          <w:szCs w:val="22"/>
        </w:rPr>
        <w:t>Classification and Dispute Resolution</w:t>
      </w:r>
    </w:p>
    <w:p w14:paraId="09CD461F"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2307D307" w14:textId="77777777" w:rsidR="00AF3D56" w:rsidRDefault="00000000">
      <w:pPr>
        <w:spacing w:before="200" w:after="60"/>
        <w:ind w:left="431"/>
      </w:pPr>
      <w:r>
        <w:rPr>
          <w:rFonts w:ascii="Courier New" w:eastAsia="Courier New" w:hAnsi="Courier New" w:cs="Courier New"/>
          <w:b/>
          <w:bCs/>
          <w:color w:val="2A2A2A"/>
          <w:sz w:val="18"/>
          <w:szCs w:val="18"/>
        </w:rPr>
        <w:t xml:space="preserve">§3.7  </w:t>
      </w:r>
      <w:r>
        <w:rPr>
          <w:rFonts w:ascii="Garamond" w:eastAsia="Garamond" w:hAnsi="Garamond" w:cs="Garamond"/>
          <w:i/>
          <w:iCs/>
          <w:color w:val="1B2A4A"/>
          <w:sz w:val="22"/>
          <w:szCs w:val="22"/>
        </w:rPr>
        <w:t>Legislative Process and Passage</w:t>
      </w:r>
    </w:p>
    <w:p w14:paraId="7E377D1E" w14:textId="77777777" w:rsidR="00AF3D56" w:rsidRDefault="00000000">
      <w:pPr>
        <w:spacing w:after="120"/>
        <w:ind w:left="431"/>
        <w:jc w:val="both"/>
      </w:pPr>
      <w:r>
        <w:rPr>
          <w:rFonts w:ascii="Garamond" w:eastAsia="Garamond" w:hAnsi="Garamond" w:cs="Garamond"/>
          <w:color w:val="2A2A2A"/>
          <w:sz w:val="22"/>
          <w:szCs w:val="22"/>
        </w:rPr>
        <w:t>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non-fulfillment directly impairs the exercise of a right guaranteed in Article I, affected parties may bring direct constitutional claims.</w:t>
      </w:r>
    </w:p>
    <w:p w14:paraId="31C7F657"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§3.8  </w:t>
      </w:r>
      <w:r>
        <w:rPr>
          <w:rFonts w:ascii="Garamond" w:eastAsia="Garamond" w:hAnsi="Garamond" w:cs="Garamond"/>
          <w:i/>
          <w:iCs/>
          <w:color w:val="1B2A4A"/>
          <w:sz w:val="22"/>
          <w:szCs w:val="22"/>
        </w:rPr>
        <w:t>Legislative Oversight</w:t>
      </w:r>
    </w:p>
    <w:p w14:paraId="45413DAD"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consistent with §1.22; it does not extend to criminal conduct.</w:t>
      </w:r>
    </w:p>
    <w:p w14:paraId="07D07263" w14:textId="0CB2DFD2" w:rsidR="00AF3D56" w:rsidRDefault="00000000" w:rsidP="0088569E">
      <w:pPr>
        <w:spacing w:after="120"/>
        <w:ind w:left="431"/>
        <w:jc w:val="both"/>
      </w:pPr>
      <w:r>
        <w:rPr>
          <w:rFonts w:ascii="Courier New" w:eastAsia="Courier New" w:hAnsi="Courier New" w:cs="Courier New"/>
          <w:b/>
          <w:bCs/>
          <w:color w:val="2A2A2A"/>
          <w:sz w:val="18"/>
          <w:szCs w:val="18"/>
        </w:rPr>
        <w:t xml:space="preserve">§3.9  </w:t>
      </w:r>
      <w:r>
        <w:rPr>
          <w:rFonts w:ascii="Garamond" w:eastAsia="Garamond" w:hAnsi="Garamond" w:cs="Garamond"/>
          <w:i/>
          <w:iCs/>
          <w:color w:val="1B2A4A"/>
          <w:sz w:val="22"/>
          <w:szCs w:val="22"/>
        </w:rPr>
        <w:t>Independent Statutory Agencies</w:t>
      </w:r>
    </w:p>
    <w:p w14:paraId="62C10486"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21D76A3D" w14:textId="77777777" w:rsidR="00AF3D56" w:rsidRDefault="00000000">
      <w:pPr>
        <w:spacing w:before="200" w:after="60"/>
        <w:ind w:left="431"/>
      </w:pPr>
      <w:r>
        <w:rPr>
          <w:rFonts w:ascii="Courier New" w:eastAsia="Courier New" w:hAnsi="Courier New" w:cs="Courier New"/>
          <w:b/>
          <w:bCs/>
          <w:color w:val="2A2A2A"/>
          <w:sz w:val="18"/>
          <w:szCs w:val="18"/>
        </w:rPr>
        <w:t xml:space="preserve">§3.10  </w:t>
      </w:r>
      <w:r>
        <w:rPr>
          <w:rFonts w:ascii="Garamond" w:eastAsia="Garamond" w:hAnsi="Garamond" w:cs="Garamond"/>
          <w:i/>
          <w:iCs/>
          <w:color w:val="1B2A4A"/>
          <w:sz w:val="22"/>
          <w:szCs w:val="22"/>
        </w:rPr>
        <w:t>Removal Pathways</w:t>
      </w:r>
    </w:p>
    <w:p w:rsidR="00AF3D56" w:rsidRDefault="00000000">
      <w:pPr>
        <w:spacing w:after="120"/>
        <w:ind w:left="431"/>
        <w:jc w:val="both"/>
      </w:pPr>
      <w:r>
        <w:rPr>
          <w:rFonts w:ascii="Garamond" w:eastAsia="Garamond" w:hAnsi="Garamond" w:cs="Garamond"/>
          <w:color w:val="2A2A2A"/>
          <w:sz w:val="22"/>
          <w:szCs w:val="22"/>
        </w:rPr>
        <w:t>Removal of constitutional officers proceeds exclusively as this Constitution provides: the Legat Consul under §2.13; the Civic Consul under §2.6; Supreme Court justices under §4.3.a; inferior court judges under §4.2; members of the Legislature by their own chamber under §3.2 or §3.5, or by State recall as recognized there; Legat Consul domain officers by the Senate under §2.4; ministers at the pleasure of the Civic Consul under §2.5; and constitutionally confirmed independent officers under §9.9. Criminal liability remains separately pursuable. No removal mechanism not provided for in this Constitution may be created by statute.</w:t>
      </w:r>
    </w:p>
    <w:p w14:paraId="643CB309" w14:textId="77777777" w:rsidR="00AF3D56" w:rsidRDefault="00000000">
      <w:pPr>
        <w:spacing w:before="200" w:after="60"/>
        <w:ind w:left="431"/>
      </w:pPr>
      <w:r>
        <w:rPr>
          <w:rFonts w:ascii="Courier New" w:eastAsia="Courier New" w:hAnsi="Courier New" w:cs="Courier New"/>
          <w:b/>
          <w:bCs/>
          <w:color w:val="2A2A2A"/>
          <w:sz w:val="18"/>
          <w:szCs w:val="18"/>
        </w:rPr>
        <w:t xml:space="preserve">§3.11  </w:t>
      </w:r>
      <w:r>
        <w:rPr>
          <w:rFonts w:ascii="Garamond" w:eastAsia="Garamond" w:hAnsi="Garamond" w:cs="Garamond"/>
          <w:i/>
          <w:iCs/>
          <w:color w:val="1B2A4A"/>
          <w:sz w:val="22"/>
          <w:szCs w:val="22"/>
        </w:rPr>
        <w:t>Inviolability of Electoral Mandates</w:t>
      </w:r>
    </w:p>
    <w:p w14:paraId="07AD5516"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removal under the provisions enumerated in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FA5E74A" w14:textId="77777777" w:rsidR="00AF3D56" w:rsidRDefault="00000000">
      <w:pPr>
        <w:spacing w:before="200" w:after="60"/>
        <w:ind w:left="431"/>
      </w:pPr>
      <w:r>
        <w:rPr>
          <w:rFonts w:ascii="Courier New" w:eastAsia="Courier New" w:hAnsi="Courier New" w:cs="Courier New"/>
          <w:b/>
          <w:bCs/>
          <w:color w:val="2A2A2A"/>
          <w:sz w:val="18"/>
          <w:szCs w:val="18"/>
        </w:rPr>
        <w:t xml:space="preserve">§3.12  </w:t>
      </w:r>
      <w:r>
        <w:rPr>
          <w:rFonts w:ascii="Garamond" w:eastAsia="Garamond" w:hAnsi="Garamond" w:cs="Garamond"/>
          <w:i/>
          <w:iCs/>
          <w:color w:val="1B2A4A"/>
          <w:sz w:val="22"/>
          <w:szCs w:val="22"/>
        </w:rPr>
        <w:t>Disqualifying Offense</w:t>
      </w:r>
    </w:p>
    <w:p w14:paraId="3AA6C17F" w14:textId="77777777" w:rsidR="00AF3D56" w:rsidRDefault="00000000">
      <w:pPr>
        <w:spacing w:after="120"/>
        <w:ind w:left="431"/>
        <w:jc w:val="both"/>
      </w:pPr>
      <w:r>
        <w:rPr>
          <w:rFonts w:ascii="Garamond" w:eastAsia="Garamond" w:hAnsi="Garamond" w:cs="Garamond"/>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disqualifying offense is a ground for the removal of a person already holding office under the provisions that reference it; it does not govern eligibility to seek or hold federal office, which is governed exclusively by §7.4. A pardon granted under §2.12 does not clear the offense's status as a disqualifying offense unless the pardoning instrument expressly states that this status is cleared and the EM publishes to the NRS that the pardoning instrument expressly so states. Where a conviction is </w:t>
        <w:lastRenderedPageBreak/>
        <w:t>under appeal at the time a relevant constitutional determination is made, the conviction stands for constitutional purposes unless and until it is reversed by a court of competent jurisdiction.</w:t>
      </w:r>
    </w:p>
    <w:p w14:paraId="2A5A0725" w14:textId="77777777" w:rsidR="00AF3D56" w:rsidRDefault="00000000">
      <w:pPr>
        <w:spacing w:before="200" w:after="60"/>
        <w:ind w:left="431"/>
      </w:pPr>
      <w:r>
        <w:rPr>
          <w:rFonts w:ascii="Courier New" w:eastAsia="Courier New" w:hAnsi="Courier New" w:cs="Courier New"/>
          <w:b/>
          <w:bCs/>
          <w:color w:val="2A2A2A"/>
          <w:sz w:val="18"/>
          <w:szCs w:val="18"/>
        </w:rPr>
        <w:t xml:space="preserve">§3.13  </w:t>
      </w:r>
      <w:r>
        <w:rPr>
          <w:rFonts w:ascii="Garamond" w:eastAsia="Garamond" w:hAnsi="Garamond" w:cs="Garamond"/>
          <w:i/>
          <w:iCs/>
          <w:color w:val="1B2A4A"/>
          <w:sz w:val="22"/>
          <w:szCs w:val="22"/>
        </w:rPr>
        <w:t>Continuity of Constitutionally Mandated Offices</w:t>
      </w:r>
    </w:p>
    <w:p w14:paraId="5AD0E065"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1A3D673F" w14:textId="77777777" w:rsidR="00AF3D56" w:rsidRDefault="00000000">
      <w:pPr>
        <w:spacing w:before="200" w:after="60"/>
        <w:ind w:left="431"/>
      </w:pPr>
      <w:r>
        <w:rPr>
          <w:rFonts w:ascii="Courier New" w:eastAsia="Courier New" w:hAnsi="Courier New" w:cs="Courier New"/>
          <w:b/>
          <w:bCs/>
          <w:color w:val="2A2A2A"/>
          <w:sz w:val="18"/>
          <w:szCs w:val="18"/>
        </w:rPr>
        <w:t xml:space="preserve">§3.14  </w:t>
      </w:r>
      <w:r>
        <w:rPr>
          <w:rFonts w:ascii="Garamond" w:eastAsia="Garamond" w:hAnsi="Garamond" w:cs="Garamond"/>
          <w:i/>
          <w:iCs/>
          <w:color w:val="1B2A4A"/>
          <w:sz w:val="22"/>
          <w:szCs w:val="22"/>
        </w:rPr>
        <w:t>Federal Legislative Competence</w:t>
      </w:r>
    </w:p>
    <w:p w14:paraId="40AEAC96"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081FC206" w14:textId="77777777" w:rsidR="00AF3D56" w:rsidRDefault="00000000">
      <w:pPr>
        <w:spacing w:before="200" w:after="60"/>
        <w:ind w:left="431"/>
      </w:pPr>
      <w:r>
        <w:rPr>
          <w:rFonts w:ascii="Courier New" w:eastAsia="Courier New" w:hAnsi="Courier New" w:cs="Courier New"/>
          <w:b/>
          <w:bCs/>
          <w:color w:val="2A2A2A"/>
          <w:sz w:val="18"/>
          <w:szCs w:val="18"/>
        </w:rPr>
        <w:t xml:space="preserve">§3.15  </w:t>
      </w:r>
      <w:r>
        <w:rPr>
          <w:rFonts w:ascii="Garamond" w:eastAsia="Garamond" w:hAnsi="Garamond" w:cs="Garamond"/>
          <w:i/>
          <w:iCs/>
          <w:color w:val="1B2A4A"/>
          <w:sz w:val="22"/>
          <w:szCs w:val="22"/>
        </w:rPr>
        <w:t>Delegation of Authority</w:t>
      </w:r>
    </w:p>
    <w:p w14:paraId="45631741" w14:textId="77777777" w:rsidR="00AF3D56" w:rsidRDefault="00000000">
      <w:pPr>
        <w:spacing w:after="120"/>
        <w:ind w:left="431"/>
        <w:jc w:val="both"/>
      </w:pPr>
      <w:r>
        <w:rPr>
          <w:rFonts w:ascii="Garamond" w:eastAsia="Garamond" w:hAnsi="Garamond" w:cs="Garamond"/>
          <w:color w:val="2A2A2A"/>
          <w:sz w:val="22"/>
          <w:szCs w:val="22"/>
        </w:rPr>
        <w:t>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14:paraId="057FDF8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15ADDE89" w14:textId="77777777" w:rsidR="00AF3D56" w:rsidRDefault="00000000">
      <w:pPr>
        <w:spacing w:before="200" w:after="60"/>
        <w:ind w:left="431"/>
      </w:pPr>
      <w:r>
        <w:rPr>
          <w:rFonts w:ascii="Courier New" w:eastAsia="Courier New" w:hAnsi="Courier New" w:cs="Courier New"/>
          <w:b/>
          <w:bCs/>
          <w:color w:val="2A2A2A"/>
          <w:sz w:val="18"/>
          <w:szCs w:val="18"/>
        </w:rPr>
        <w:t xml:space="preserve">§4.1  </w:t>
      </w:r>
      <w:r>
        <w:rPr>
          <w:rFonts w:ascii="Garamond" w:eastAsia="Garamond" w:hAnsi="Garamond" w:cs="Garamond"/>
          <w:i/>
          <w:iCs/>
          <w:color w:val="1B2A4A"/>
          <w:sz w:val="22"/>
          <w:szCs w:val="22"/>
        </w:rPr>
        <w:t>Court Structure</w:t>
      </w:r>
    </w:p>
    <w:p w14:paraId="4A3EE79D"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6A485490" w14:textId="77777777" w:rsidR="00AF3D56" w:rsidRDefault="00000000">
      <w:pPr>
        <w:spacing w:before="200" w:after="60"/>
        <w:ind w:left="431"/>
      </w:pPr>
      <w:r>
        <w:rPr>
          <w:rFonts w:ascii="Courier New" w:eastAsia="Courier New" w:hAnsi="Courier New" w:cs="Courier New"/>
          <w:b/>
          <w:bCs/>
          <w:color w:val="2A2A2A"/>
          <w:sz w:val="18"/>
          <w:szCs w:val="18"/>
        </w:rPr>
        <w:t xml:space="preserve">§4.2  </w:t>
      </w:r>
      <w:r>
        <w:rPr>
          <w:rFonts w:ascii="Garamond" w:eastAsia="Garamond" w:hAnsi="Garamond" w:cs="Garamond"/>
          <w:i/>
          <w:iCs/>
          <w:color w:val="1B2A4A"/>
          <w:sz w:val="22"/>
          <w:szCs w:val="22"/>
        </w:rPr>
        <w:t>Judicial Appointments and Independence</w:t>
      </w:r>
    </w:p>
    <w:p>
      <w:pPr>
        <w:spacing w:after="120"/>
        <w:ind w:left="431"/>
        <w:jc w:val="both"/>
      </w:pPr>
      <w:r>
        <w:rPr>
          <w:rFonts w:ascii="Garamond" w:eastAsia="Garamond" w:hAnsi="Garamond" w:cs="Garamond"/>
          <w:color w:val="2A2A2A"/>
          <w:sz w:val="22"/>
          <w:szCs w:val="22"/>
        </w:rPr>
        <w:t xml:space="preserve">(1) Any citizen meeting the eligibility criteria established in §9.4.a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w:t>
      </w:r>
    </w:p>
    <w:p>
      <w:pPr>
        <w:spacing w:after="120"/>
        <w:ind w:left="431"/>
        <w:jc w:val="both"/>
      </w:pPr>
      <w:r>
        <w:rPr>
          <w:rFonts w:ascii="Garamond" w:eastAsia="Garamond" w:hAnsi="Garamond" w:cs="Garamond"/>
          <w:color w:val="2A2A2A"/>
          <w:sz w:val="22"/>
          <w:szCs w:val="22"/>
        </w:rPr>
        <w:t xml:space="preserve">(2) The Civic Consul nominates inferior court judges from the Judicial Pool maintained by the Elections Panel under §9.8. The Civic Consul must nominate within the period defined by statute following a vacancy, not to exceed 90 days where no statutory period has been defined. The Senate confirms by 2/3.</w:t>
      </w:r>
    </w:p>
    <w:p>
      <w:pPr>
        <w:spacing w:after="120"/>
        <w:ind w:left="431"/>
        <w:jc w:val="both"/>
      </w:pPr>
      <w:r>
        <w:rPr>
          <w:rFonts w:ascii="Garamond" w:eastAsia="Garamond" w:hAnsi="Garamond" w:cs="Garamond"/>
          <w:color w:val="2A2A2A"/>
          <w:sz w:val="22"/>
          <w:szCs w:val="22"/>
        </w:rPr>
        <w:t xml:space="preserve">(3)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w:t>
      </w:r>
    </w:p>
    <w:p>
      <w:pPr>
        <w:spacing w:after="120"/>
        <w:ind w:left="431"/>
        <w:jc w:val="both"/>
      </w:pPr>
      <w:r>
        <w:rPr>
          <w:rFonts w:ascii="Garamond" w:eastAsia="Garamond" w:hAnsi="Garamond" w:cs="Garamond"/>
          <w:color w:val="2A2A2A"/>
          <w:sz w:val="22"/>
          <w:szCs w:val="22"/>
        </w:rPr>
        <w:t xml:space="preserve">(4) Judicial removal occurs through three tracks:</w:t>
      </w:r>
    </w:p>
    <w:p>
      <w:pPr>
        <w:spacing w:after="120"/>
        <w:ind w:left="720"/>
        <w:jc w:val="both"/>
      </w:pPr>
      <w:r>
        <w:rPr>
          <w:rFonts w:ascii="Garamond" w:eastAsia="Garamond" w:hAnsi="Garamond" w:cs="Garamond"/>
          <w:color w:val="2A2A2A"/>
          <w:sz w:val="22"/>
          <w:szCs w:val="22"/>
        </w:rPr>
        <w:t xml:space="preserve">— legislative removal by 2/3 of both chambers on grounds of constitutional breach or demonstrated incapacity; under §9.1, either chamber may request an EM assessment to inform the proceeding;</w:t>
      </w:r>
    </w:p>
    <w:p>
      <w:pPr>
        <w:spacing w:after="120"/>
        <w:ind w:left="720"/>
        <w:jc w:val="both"/>
      </w:pPr>
      <w:r>
        <w:rPr>
          <w:rFonts w:ascii="Garamond" w:eastAsia="Garamond" w:hAnsi="Garamond" w:cs="Garamond"/>
          <w:color w:val="2A2A2A"/>
          <w:sz w:val="22"/>
          <w:szCs w:val="22"/>
        </w:rPr>
        <w:t xml:space="preserve">— judicial discipline through a process established by statute under SC oversight;</w:t>
      </w:r>
    </w:p>
    <w:p>
      <w:pPr>
        <w:spacing w:after="120"/>
        <w:ind w:left="720"/>
        <w:jc w:val="both"/>
      </w:pPr>
      <w:r>
        <w:rPr>
          <w:rFonts w:ascii="Garamond" w:eastAsia="Garamond" w:hAnsi="Garamond" w:cs="Garamond"/>
          <w:color w:val="2A2A2A"/>
          <w:sz w:val="22"/>
          <w:szCs w:val="22"/>
        </w:rPr>
        <w:t xml:space="preserve">— or criminal conviction for a disqualifying offense.</w:t>
      </w:r>
    </w:p>
    <w:p>
      <w:pPr>
        <w:spacing w:after="120"/>
        <w:ind w:left="431"/>
        <w:jc w:val="both"/>
      </w:pPr>
      <w:r>
        <w:rPr>
          <w:rFonts w:ascii="Garamond" w:eastAsia="Garamond" w:hAnsi="Garamond" w:cs="Garamond"/>
          <w:color w:val="2A2A2A"/>
          <w:sz w:val="22"/>
          <w:szCs w:val="22"/>
        </w:rPr>
        <w:t xml:space="preserve">(5) No public official may direct, threaten, or seek to influence a judge's decision in any pending matter. Judicial compensation may not be reduced during a judge's term.</w:t>
      </w:r>
    </w:p>
    <w:p w14:paraId="1CA47B11" w14:textId="77777777" w:rsidR="00AF3D56" w:rsidRDefault="00000000">
      <w:pPr>
        <w:spacing w:before="200" w:after="60"/>
        <w:ind w:left="431"/>
      </w:pPr>
      <w:r>
        <w:rPr>
          <w:rFonts w:ascii="Courier New" w:eastAsia="Courier New" w:hAnsi="Courier New" w:cs="Courier New"/>
          <w:b/>
          <w:bCs/>
          <w:color w:val="2A2A2A"/>
          <w:sz w:val="18"/>
          <w:szCs w:val="18"/>
        </w:rPr>
        <w:t xml:space="preserve">§4.3  </w:t>
      </w:r>
      <w:r>
        <w:rPr>
          <w:rFonts w:ascii="Garamond" w:eastAsia="Garamond" w:hAnsi="Garamond" w:cs="Garamond"/>
          <w:i/>
          <w:iCs/>
          <w:color w:val="1B2A4A"/>
          <w:sz w:val="22"/>
          <w:szCs w:val="22"/>
        </w:rPr>
        <w:t>The Supreme Court</w:t>
      </w:r>
    </w:p>
    <w:p w14:paraId="6D120E92"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68C5D73F" w14:textId="77777777" w:rsidR="00AF3D56" w:rsidRDefault="00000000">
      <w:pPr>
        <w:spacing w:before="200" w:after="60"/>
        <w:ind w:left="431"/>
      </w:pPr>
      <w:r>
        <w:rPr>
          <w:rFonts w:ascii="Courier New" w:eastAsia="Courier New" w:hAnsi="Courier New" w:cs="Courier New"/>
          <w:b/>
          <w:bCs/>
          <w:color w:val="2A2A2A"/>
          <w:sz w:val="18"/>
          <w:szCs w:val="18"/>
        </w:rPr>
        <w:t xml:space="preserve">§4.3.a  </w:t>
      </w:r>
      <w:r>
        <w:rPr>
          <w:rFonts w:ascii="Garamond" w:eastAsia="Garamond" w:hAnsi="Garamond" w:cs="Garamond"/>
          <w:i/>
          <w:iCs/>
          <w:color w:val="1B2A4A"/>
          <w:sz w:val="22"/>
          <w:szCs w:val="22"/>
        </w:rPr>
        <w:t>Supreme Court Justice Removal</w:t>
      </w:r>
    </w:p>
    <w:p w14:paraId="08DF6E6C"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w:t>
        <w:lastRenderedPageBreak/>
        <w:t>of SC judicial judgment is absolute and may not itself be invoked as grounds for removal. Upon removal, the most senior Appellate Court judge auto-designates as Temporary Associate Justice under §4.4 until the vacancy is filled.</w:t>
      </w:r>
    </w:p>
    <w:p w14:paraId="7E9BD33D" w14:textId="77777777" w:rsidR="00AF3D56" w:rsidRDefault="00000000">
      <w:pPr>
        <w:spacing w:before="200" w:after="60"/>
        <w:ind w:left="431"/>
      </w:pPr>
      <w:r>
        <w:rPr>
          <w:rFonts w:ascii="Courier New" w:eastAsia="Courier New" w:hAnsi="Courier New" w:cs="Courier New"/>
          <w:b/>
          <w:bCs/>
          <w:color w:val="2A2A2A"/>
          <w:sz w:val="18"/>
          <w:szCs w:val="18"/>
        </w:rPr>
        <w:t xml:space="preserve">§4.4  </w:t>
      </w:r>
      <w:r>
        <w:rPr>
          <w:rFonts w:ascii="Garamond" w:eastAsia="Garamond" w:hAnsi="Garamond" w:cs="Garamond"/>
          <w:i/>
          <w:iCs/>
          <w:color w:val="1B2A4A"/>
          <w:sz w:val="22"/>
          <w:szCs w:val="22"/>
        </w:rPr>
        <w:t>Supreme Court Selection</w:t>
      </w:r>
    </w:p>
    <w:p>
      <w:pPr>
        <w:spacing w:after="120"/>
        <w:ind w:left="431"/>
        <w:jc w:val="both"/>
      </w:pPr>
      <w:r>
        <w:rPr>
          <w:rFonts w:ascii="Garamond" w:eastAsia="Garamond" w:hAnsi="Garamond" w:cs="Garamond"/>
          <w:color w:val="2A2A2A"/>
          <w:sz w:val="22"/>
          <w:szCs w:val="22"/>
        </w:rPr>
        <w:t xml:space="preserve">(1) SC justices are nominated by the Civic Consul from the Judicial Pool maintained by the Elections Panel under §9.8 — any pool member meeting the statutory qualifications for Supreme Court appointment is eligible for SC nomination.</w:t>
      </w:r>
    </w:p>
    <w:p>
      <w:pPr>
        <w:spacing w:after="120"/>
        <w:ind w:left="431"/>
        <w:jc w:val="both"/>
      </w:pPr>
      <w:r>
        <w:rPr>
          <w:rFonts w:ascii="Garamond" w:eastAsia="Garamond" w:hAnsi="Garamond" w:cs="Garamond"/>
          <w:color w:val="2A2A2A"/>
          <w:sz w:val="22"/>
          <w:szCs w:val="22"/>
        </w:rPr>
        <w:t xml:space="preserve">(2) The Civic Consul nominates within the period defined by statute following a vacancy (not to exceed 90 days for anticipated vacancies, 60 days for unanticipated vacancies).</w:t>
      </w:r>
    </w:p>
    <w:p>
      <w:pPr>
        <w:spacing w:after="120"/>
        <w:ind w:left="431"/>
        <w:jc w:val="both"/>
      </w:pPr>
      <w:r>
        <w:rPr>
          <w:rFonts w:ascii="Garamond" w:eastAsia="Garamond" w:hAnsi="Garamond" w:cs="Garamond"/>
          <w:color w:val="2A2A2A"/>
          <w:sz w:val="22"/>
          <w:szCs w:val="22"/>
        </w:rPr>
        <w:t xml:space="preserve">(3)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w:t>
      </w:r>
    </w:p>
    <w:p>
      <w:pPr>
        <w:spacing w:after="120"/>
        <w:ind w:left="431"/>
        <w:jc w:val="both"/>
      </w:pPr>
      <w:r>
        <w:rPr>
          <w:rFonts w:ascii="Garamond" w:eastAsia="Garamond" w:hAnsi="Garamond" w:cs="Garamond"/>
          <w:color w:val="2A2A2A"/>
          <w:sz w:val="22"/>
          <w:szCs w:val="22"/>
        </w:rPr>
        <w:t xml:space="preserve">(4) If the Senate declines, the Civic Consul nominates again within the period defined by statute. Where the Civic Consul fails to nominate within 30 days after the expiry of the applicable nomination period, the Senate may select a nominee directly from the Judicial Pool by 2/3 vote of full seated membership; a Senate selection under this provision requires no further Civic Consul nomination and proceeds directly to confirmation.</w:t>
      </w:r>
    </w:p>
    <w:p>
      <w:pPr>
        <w:spacing w:after="120"/>
        <w:ind w:left="431"/>
        <w:jc w:val="both"/>
      </w:pPr>
      <w:r>
        <w:rPr>
          <w:rFonts w:ascii="Garamond" w:eastAsia="Garamond" w:hAnsi="Garamond" w:cs="Garamond"/>
          <w:color w:val="2A2A2A"/>
          <w:sz w:val="22"/>
          <w:szCs w:val="22"/>
        </w:rPr>
        <w:t xml:space="preserve">(5) The confirmed justice serves a single non-renewable 12-year term from the date of confirmation. A mid-term replacement serves only the remainder of the original term.</w:t>
      </w:r>
    </w:p>
    <w:p>
      <w:pPr>
        <w:spacing w:after="120"/>
        <w:ind w:left="431"/>
        <w:jc w:val="both"/>
      </w:pPr>
      <w:r>
        <w:rPr>
          <w:rFonts w:ascii="Garamond" w:eastAsia="Garamond" w:hAnsi="Garamond" w:cs="Garamond"/>
          <w:color w:val="2A2A2A"/>
          <w:sz w:val="22"/>
          <w:szCs w:val="22"/>
        </w:rPr>
        <w:t xml:space="preserve">(6) At founding, the nine initial justices are confirmed simultaneously and assigned to their three classes by public lot.</w:t>
      </w:r>
    </w:p>
    <w:p>
      <w:pPr>
        <w:spacing w:after="120"/>
        <w:ind w:left="431"/>
        <w:jc w:val="both"/>
      </w:pPr>
      <w:r>
        <w:rPr>
          <w:rFonts w:ascii="Garamond" w:eastAsia="Garamond" w:hAnsi="Garamond" w:cs="Garamond"/>
          <w:color w:val="2A2A2A"/>
          <w:sz w:val="22"/>
          <w:szCs w:val="22"/>
        </w:rPr>
        <w:t xml:space="preserve">(7)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14:paraId="18E5DFD5" w14:textId="77777777" w:rsidR="00AF3D56" w:rsidRDefault="00000000">
      <w:pPr>
        <w:spacing w:before="200" w:after="60"/>
        <w:ind w:left="431"/>
      </w:pPr>
      <w:r>
        <w:rPr>
          <w:rFonts w:ascii="Courier New" w:eastAsia="Courier New" w:hAnsi="Courier New" w:cs="Courier New"/>
          <w:b/>
          <w:bCs/>
          <w:color w:val="2A2A2A"/>
          <w:sz w:val="18"/>
          <w:szCs w:val="18"/>
        </w:rPr>
        <w:t xml:space="preserve">§4.4.a  </w:t>
      </w:r>
      <w:r>
        <w:rPr>
          <w:rFonts w:ascii="Garamond" w:eastAsia="Garamond" w:hAnsi="Garamond" w:cs="Garamond"/>
          <w:i/>
          <w:iCs/>
          <w:color w:val="1B2A4A"/>
          <w:sz w:val="22"/>
          <w:szCs w:val="22"/>
        </w:rPr>
        <w:t>Senate Bypass — Public Confirmation</w:t>
      </w:r>
    </w:p>
    <w:p>
      <w:pPr>
        <w:spacing w:after="120"/>
        <w:ind w:left="431"/>
        <w:jc w:val="both"/>
      </w:pPr>
      <w:r>
        <w:rPr>
          <w:rFonts w:ascii="Garamond" w:eastAsia="Garamond" w:hAnsi="Garamond" w:cs="Garamond"/>
          <w:color w:val="2A2A2A"/>
          <w:sz w:val="22"/>
          <w:szCs w:val="22"/>
        </w:rPr>
        <w:t xml:space="preserve">Where the Senate has failed to vote on a nomination within the period required under §4.4, the Civic Consul may — with 2/3 Assembly consent — place the serving Temporary Associate Justice on the next federal electoral period ballot for public confirmation. Confirmation requires 60% of votes cast under §7.3;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3DEA753D" w14:textId="77777777" w:rsidR="00AF3D56" w:rsidRDefault="00000000">
      <w:pPr>
        <w:spacing w:before="200" w:after="60"/>
        <w:ind w:left="431"/>
      </w:pPr>
      <w:r>
        <w:rPr>
          <w:rFonts w:ascii="Courier New" w:eastAsia="Courier New" w:hAnsi="Courier New" w:cs="Courier New"/>
          <w:b/>
          <w:bCs/>
          <w:color w:val="2A2A2A"/>
          <w:sz w:val="18"/>
          <w:szCs w:val="18"/>
        </w:rPr>
        <w:t xml:space="preserve">§4.5  </w:t>
      </w:r>
      <w:r>
        <w:rPr>
          <w:rFonts w:ascii="Garamond" w:eastAsia="Garamond" w:hAnsi="Garamond" w:cs="Garamond"/>
          <w:i/>
          <w:iCs/>
          <w:color w:val="1B2A4A"/>
          <w:sz w:val="22"/>
          <w:szCs w:val="22"/>
        </w:rPr>
        <w:t>Judicial Review and Scope</w:t>
      </w:r>
    </w:p>
    <w:p>
      <w:pPr>
        <w:spacing w:after="120"/>
        <w:ind w:left="431"/>
        <w:jc w:val="both"/>
      </w:pPr>
      <w:r>
        <w:rPr>
          <w:rFonts w:ascii="Garamond" w:eastAsia="Garamond" w:hAnsi="Garamond" w:cs="Garamond"/>
          <w:color w:val="2A2A2A"/>
          <w:sz w:val="22"/>
          <w:szCs w:val="22"/>
        </w:rPr>
        <w:t xml:space="preserve">(1) 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w:t>
      </w:r>
    </w:p>
    <w:p>
      <w:pPr>
        <w:spacing w:after="120"/>
        <w:ind w:left="431"/>
        <w:jc w:val="both"/>
      </w:pPr>
      <w:r>
        <w:rPr>
          <w:rFonts w:ascii="Garamond" w:eastAsia="Garamond" w:hAnsi="Garamond" w:cs="Garamond"/>
          <w:color w:val="2A2A2A"/>
          <w:sz w:val="22"/>
          <w:szCs w:val="22"/>
        </w:rPr>
        <w:t xml:space="preserve">(2) Courts decide constitutional questions, not policy questions — Where a statute is ambiguous, courts apply the interpretation most consistent with this constitution. Courts may not rewrite clear statutory language.</w:t>
      </w:r>
    </w:p>
    <w:p>
      <w:pPr>
        <w:spacing w:after="120"/>
        <w:ind w:left="431"/>
        <w:jc w:val="both"/>
      </w:pPr>
      <w:r>
        <w:rPr>
          <w:rFonts w:ascii="Garamond" w:eastAsia="Garamond" w:hAnsi="Garamond" w:cs="Garamond"/>
          <w:color w:val="2A2A2A"/>
          <w:sz w:val="22"/>
          <w:szCs w:val="22"/>
        </w:rPr>
        <w:t xml:space="preserve">(3) Monitor findings published to the NRS are admissible and must be given due consideration; where a court's conclusions differ from a prior finding, the court must address the inconsistency in its written decision.</w:t>
      </w:r>
    </w:p>
    <w:p>
      <w:pPr>
        <w:spacing w:after="120"/>
        <w:ind w:left="431"/>
        <w:jc w:val="both"/>
      </w:pPr>
      <w:r>
        <w:rPr>
          <w:rFonts w:ascii="Garamond" w:eastAsia="Garamond" w:hAnsi="Garamond" w:cs="Garamond"/>
          <w:color w:val="2A2A2A"/>
          <w:sz w:val="22"/>
          <w:szCs w:val="22"/>
        </w:rPr>
        <w:t xml:space="preserve">(4) Any person with a concrete, articulable legal injury has the right to seek relief from a court of competent jurisdiction; the Legislature may not structure the judicial system in a manner that leaves any category of legal injury without a forum for relief.</w:t>
      </w:r>
    </w:p>
    <w:p>
      <w:pPr>
        <w:spacing w:after="120"/>
        <w:ind w:left="431"/>
        <w:jc w:val="both"/>
      </w:pPr>
      <w:r>
        <w:rPr>
          <w:rFonts w:ascii="Garamond" w:eastAsia="Garamond" w:hAnsi="Garamond" w:cs="Garamond"/>
          <w:color w:val="2A2A2A"/>
          <w:sz w:val="22"/>
          <w:szCs w:val="22"/>
        </w:rPr>
        <w:t xml:space="preserve">(5) The SC has original jurisdiction over:</w:t>
      </w:r>
    </w:p>
    <w:p>
      <w:pPr>
        <w:spacing w:after="120"/>
        <w:ind w:left="720"/>
        <w:jc w:val="both"/>
      </w:pPr>
      <w:r>
        <w:rPr>
          <w:rFonts w:ascii="Garamond" w:eastAsia="Garamond" w:hAnsi="Garamond" w:cs="Garamond"/>
          <w:color w:val="2A2A2A"/>
          <w:sz w:val="22"/>
          <w:szCs w:val="22"/>
        </w:rPr>
        <w:t xml:space="preserve">— constitutional disputes between States, between a State and the federal government, and constitutional challenges to federal statutes;</w:t>
      </w:r>
    </w:p>
    <w:p>
      <w:pPr>
        <w:spacing w:after="120"/>
        <w:ind w:left="720"/>
        <w:jc w:val="both"/>
      </w:pPr>
      <w:r>
        <w:rPr>
          <w:rFonts w:ascii="Garamond" w:eastAsia="Garamond" w:hAnsi="Garamond" w:cs="Garamond"/>
          <w:color w:val="2A2A2A"/>
          <w:sz w:val="22"/>
          <w:szCs w:val="22"/>
        </w:rPr>
        <w:t xml:space="preserve">— disputes between the Legat Consul and Civic Consul concerning their respective constitutional domains under §2.1;</w:t>
      </w:r>
    </w:p>
    <w:p>
      <w:pPr>
        <w:spacing w:after="120"/>
        <w:ind w:left="720"/>
        <w:jc w:val="both"/>
      </w:pPr>
      <w:r>
        <w:rPr>
          <w:rFonts w:ascii="Garamond" w:eastAsia="Garamond" w:hAnsi="Garamond" w:cs="Garamond"/>
          <w:color w:val="2A2A2A"/>
          <w:sz w:val="22"/>
          <w:szCs w:val="22"/>
        </w:rPr>
        <w:t xml:space="preserve">— constitutional challenges involving constitutionally independent institutions where their independence protections make inferior court review structurally inappropriate;</w:t>
      </w:r>
    </w:p>
    <w:p>
      <w:pPr>
        <w:spacing w:after="120"/>
        <w:ind w:left="720"/>
        <w:jc w:val="both"/>
      </w:pPr>
      <w:r>
        <w:rPr>
          <w:rFonts w:ascii="Garamond" w:eastAsia="Garamond" w:hAnsi="Garamond" w:cs="Garamond"/>
          <w:color w:val="2A2A2A"/>
          <w:sz w:val="22"/>
          <w:szCs w:val="22"/>
        </w:rPr>
        <w:t xml:space="preserve">— emergency rights claims brought directly under §16.2;</w:t>
      </w:r>
    </w:p>
    <w:p>
      <w:pPr>
        <w:spacing w:after="120"/>
        <w:ind w:left="720"/>
        <w:jc w:val="both"/>
      </w:pPr>
      <w:r>
        <w:rPr>
          <w:rFonts w:ascii="Garamond" w:eastAsia="Garamond" w:hAnsi="Garamond" w:cs="Garamond"/>
          <w:color w:val="2A2A2A"/>
          <w:sz w:val="22"/>
          <w:szCs w:val="22"/>
        </w:rPr>
        <w:t xml:space="preserve">— and disputes over the consistency of ratified amendments with entrenched provisions under §17.3.</w:t>
      </w:r>
    </w:p>
    <w:p>
      <w:pPr>
        <w:spacing w:after="120"/>
        <w:ind w:left="431"/>
        <w:jc w:val="both"/>
      </w:pPr>
      <w:r>
        <w:rPr>
          <w:rFonts w:ascii="Garamond" w:eastAsia="Garamond" w:hAnsi="Garamond" w:cs="Garamond"/>
          <w:color w:val="2A2A2A"/>
          <w:sz w:val="22"/>
          <w:szCs w:val="22"/>
        </w:rPr>
        <w:t xml:space="preserve">(6)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pPr>
        <w:spacing w:after="120"/>
        <w:ind w:left="431"/>
        <w:jc w:val="both"/>
      </w:pPr>
      <w:r>
        <w:rPr>
          <w:rFonts w:ascii="Garamond" w:eastAsia="Garamond" w:hAnsi="Garamond" w:cs="Garamond"/>
          <w:color w:val="2A2A2A"/>
          <w:sz w:val="22"/>
          <w:szCs w:val="22"/>
        </w:rPr>
        <w:t xml:space="preserve">(7)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w:t>
      </w:r>
    </w:p>
    <w:p>
      <w:pPr>
        <w:spacing w:after="120"/>
        <w:ind w:left="431"/>
        <w:jc w:val="both"/>
      </w:pPr>
      <w:r>
        <w:rPr>
          <w:rFonts w:ascii="Garamond" w:eastAsia="Garamond" w:hAnsi="Garamond" w:cs="Garamond"/>
          <w:color w:val="2A2A2A"/>
          <w:sz w:val="22"/>
          <w:szCs w:val="22"/>
        </w:rPr>
        <w:t xml:space="preserve">(8)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w:t>
      </w:r>
    </w:p>
    <w:p>
      <w:pPr>
        <w:spacing w:after="120"/>
        <w:ind w:left="431"/>
        <w:jc w:val="both"/>
      </w:pPr>
      <w:r>
        <w:rPr>
          <w:rFonts w:ascii="Garamond" w:eastAsia="Garamond" w:hAnsi="Garamond" w:cs="Garamond"/>
          <w:color w:val="2A2A2A"/>
          <w:sz w:val="22"/>
          <w:szCs w:val="22"/>
        </w:rPr>
        <w:t xml:space="preserve">(9) The SC's failure to rule within any constitutionally required period produces no substantive constitutional outcome by operation of that failure; the petitioning party may reinitiate under any procedure applicable to the underlying matter.</w:t>
      </w:r>
    </w:p>
    <w:p w14:paraId="35631E1D" w14:textId="77777777" w:rsidR="00AF3D56" w:rsidRDefault="00000000">
      <w:pPr>
        <w:spacing w:before="200" w:after="60"/>
        <w:ind w:left="431"/>
      </w:pPr>
      <w:r>
        <w:rPr>
          <w:rFonts w:ascii="Courier New" w:eastAsia="Courier New" w:hAnsi="Courier New" w:cs="Courier New"/>
          <w:b/>
          <w:bCs/>
          <w:color w:val="2A2A2A"/>
          <w:sz w:val="18"/>
          <w:szCs w:val="18"/>
        </w:rPr>
        <w:t xml:space="preserve">§4.6  </w:t>
      </w:r>
      <w:r>
        <w:rPr>
          <w:rFonts w:ascii="Garamond" w:eastAsia="Garamond" w:hAnsi="Garamond" w:cs="Garamond"/>
          <w:i/>
          <w:iCs/>
          <w:color w:val="1B2A4A"/>
          <w:sz w:val="22"/>
          <w:szCs w:val="22"/>
        </w:rPr>
        <w:t>Judgment Recognition</w:t>
      </w:r>
    </w:p>
    <w:p w14:paraId="368711DB" w14:textId="77777777" w:rsidR="00AF3D56" w:rsidRDefault="00000000">
      <w:pPr>
        <w:spacing w:after="120"/>
        <w:ind w:left="431"/>
        <w:jc w:val="both"/>
      </w:pPr>
      <w:r>
        <w:rPr>
          <w:rFonts w:ascii="Garamond" w:eastAsia="Garamond" w:hAnsi="Garamond" w:cs="Garamond"/>
          <w:color w:val="2A2A2A"/>
          <w:sz w:val="22"/>
          <w:szCs w:val="22"/>
        </w:rPr>
        <w:t>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6C4D7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789793C2" w14:textId="77777777" w:rsidR="00AF3D56" w:rsidRDefault="00000000">
      <w:pPr>
        <w:spacing w:before="200" w:after="60"/>
        <w:ind w:left="431"/>
      </w:pPr>
      <w:r>
        <w:rPr>
          <w:rFonts w:ascii="Courier New" w:eastAsia="Courier New" w:hAnsi="Courier New" w:cs="Courier New"/>
          <w:b/>
          <w:bCs/>
          <w:color w:val="2A2A2A"/>
          <w:sz w:val="18"/>
          <w:szCs w:val="18"/>
        </w:rPr>
        <w:t xml:space="preserve">§5.1  </w:t>
      </w:r>
      <w:r>
        <w:rPr>
          <w:rFonts w:ascii="Garamond" w:eastAsia="Garamond" w:hAnsi="Garamond" w:cs="Garamond"/>
          <w:i/>
          <w:iCs/>
          <w:color w:val="1B2A4A"/>
          <w:sz w:val="22"/>
          <w:szCs w:val="22"/>
        </w:rPr>
        <w:t>Citizenship</w:t>
      </w:r>
    </w:p>
    <w:p w14:paraId="6A0C73D5"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7AC4A40B" w14:textId="77777777" w:rsidR="00AF3D56" w:rsidRDefault="00000000">
      <w:pPr>
        <w:spacing w:before="200" w:after="60"/>
        <w:ind w:left="431"/>
      </w:pPr>
      <w:r>
        <w:rPr>
          <w:rFonts w:ascii="Courier New" w:eastAsia="Courier New" w:hAnsi="Courier New" w:cs="Courier New"/>
          <w:b/>
          <w:bCs/>
          <w:color w:val="2A2A2A"/>
          <w:sz w:val="18"/>
          <w:szCs w:val="18"/>
        </w:rPr>
        <w:t xml:space="preserve">§5.2  </w:t>
      </w:r>
      <w:r>
        <w:rPr>
          <w:rFonts w:ascii="Garamond" w:eastAsia="Garamond" w:hAnsi="Garamond" w:cs="Garamond"/>
          <w:i/>
          <w:iCs/>
          <w:color w:val="1B2A4A"/>
          <w:sz w:val="22"/>
          <w:szCs w:val="22"/>
        </w:rPr>
        <w:t>Legal Resident Rights</w:t>
      </w:r>
    </w:p>
    <w:p w14:paraId="64D628E3"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06EB8614" w14:textId="77777777" w:rsidR="00AF3D56" w:rsidRDefault="00000000">
      <w:pPr>
        <w:spacing w:before="200" w:after="60"/>
        <w:ind w:left="431"/>
      </w:pPr>
      <w:r>
        <w:rPr>
          <w:rFonts w:ascii="Courier New" w:eastAsia="Courier New" w:hAnsi="Courier New" w:cs="Courier New"/>
          <w:b/>
          <w:bCs/>
          <w:color w:val="2A2A2A"/>
          <w:sz w:val="18"/>
          <w:szCs w:val="18"/>
        </w:rPr>
        <w:t xml:space="preserve">§5.3  </w:t>
      </w:r>
      <w:r>
        <w:rPr>
          <w:rFonts w:ascii="Garamond" w:eastAsia="Garamond" w:hAnsi="Garamond" w:cs="Garamond"/>
          <w:i/>
          <w:iCs/>
          <w:color w:val="1B2A4A"/>
          <w:sz w:val="22"/>
          <w:szCs w:val="22"/>
        </w:rPr>
        <w:t>Custodial Care of Citizen Children</w:t>
      </w:r>
    </w:p>
    <w:p w14:paraId="1483592D"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E00D7C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51620119" w14:textId="77777777" w:rsidR="00AF3D56" w:rsidRDefault="00000000">
      <w:pPr>
        <w:spacing w:before="200" w:after="60"/>
        <w:ind w:left="431"/>
      </w:pPr>
      <w:r>
        <w:rPr>
          <w:rFonts w:ascii="Courier New" w:eastAsia="Courier New" w:hAnsi="Courier New" w:cs="Courier New"/>
          <w:b/>
          <w:bCs/>
          <w:color w:val="2A2A2A"/>
          <w:sz w:val="18"/>
          <w:szCs w:val="18"/>
        </w:rPr>
        <w:t xml:space="preserve">§6.1  </w:t>
      </w:r>
      <w:r>
        <w:rPr>
          <w:rFonts w:ascii="Garamond" w:eastAsia="Garamond" w:hAnsi="Garamond" w:cs="Garamond"/>
          <w:i/>
          <w:iCs/>
          <w:color w:val="1B2A4A"/>
          <w:sz w:val="22"/>
          <w:szCs w:val="22"/>
        </w:rPr>
        <w:t>The Two-Stage Immigration System</w:t>
      </w:r>
    </w:p>
    <w:p w14:paraId="37D0EAD5"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Civic Consul must ministerially issue residency credentials; interference with credential issuance by either executive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64CDC38B" w14:textId="77777777" w:rsidR="00AF3D56" w:rsidRDefault="00000000">
      <w:pPr>
        <w:spacing w:before="200" w:after="60"/>
        <w:ind w:left="431"/>
      </w:pPr>
      <w:r>
        <w:rPr>
          <w:rFonts w:ascii="Courier New" w:eastAsia="Courier New" w:hAnsi="Courier New" w:cs="Courier New"/>
          <w:b/>
          <w:bCs/>
          <w:color w:val="2A2A2A"/>
          <w:sz w:val="18"/>
          <w:szCs w:val="18"/>
        </w:rPr>
        <w:t xml:space="preserve">§6.2  </w:t>
      </w:r>
      <w:r>
        <w:rPr>
          <w:rFonts w:ascii="Garamond" w:eastAsia="Garamond" w:hAnsi="Garamond" w:cs="Garamond"/>
          <w:i/>
          <w:iCs/>
          <w:color w:val="1B2A4A"/>
          <w:sz w:val="22"/>
          <w:szCs w:val="22"/>
        </w:rPr>
        <w:t>Enforcement, Removal, and Appeals</w:t>
      </w:r>
    </w:p>
    <w:p>
      <w:pPr>
        <w:spacing w:after="120"/>
        <w:ind w:left="431"/>
        <w:jc w:val="both"/>
      </w:pPr>
      <w:r>
        <w:rPr>
          <w:rFonts w:ascii="Garamond" w:eastAsia="Garamond" w:hAnsi="Garamond" w:cs="Garamond"/>
          <w:color w:val="2A2A2A"/>
          <w:sz w:val="22"/>
          <w:szCs w:val="22"/>
        </w:rPr>
        <w:t xml:space="preserve">(1) Only the federal government may remove individuals from the Republic. Removal occurs only for violations of laws the Legislature has defined — executive detention without statutory basis is unlawful detention subject to habeas corpus.</w:t>
      </w:r>
    </w:p>
    <w:p>
      <w:pPr>
        <w:spacing w:after="120"/>
        <w:ind w:left="431"/>
        <w:jc w:val="both"/>
      </w:pPr>
      <w:r>
        <w:rPr>
          <w:rFonts w:ascii="Garamond" w:eastAsia="Garamond" w:hAnsi="Garamond" w:cs="Garamond"/>
          <w:color w:val="2A2A2A"/>
          <w:sz w:val="22"/>
          <w:szCs w:val="22"/>
        </w:rPr>
        <w:t xml:space="preserve">(2) Federal certification denials are judicially challengeable on three grounds:</w:t>
      </w:r>
    </w:p>
    <w:p>
      <w:pPr>
        <w:spacing w:after="120"/>
        <w:ind w:left="720"/>
        <w:jc w:val="both"/>
      </w:pPr>
      <w:r>
        <w:rPr>
          <w:rFonts w:ascii="Garamond" w:eastAsia="Garamond" w:hAnsi="Garamond" w:cs="Garamond"/>
          <w:color w:val="2A2A2A"/>
          <w:sz w:val="22"/>
          <w:szCs w:val="22"/>
        </w:rPr>
        <w:t xml:space="preserve">— criterion not established under the federal certification mandate;</w:t>
      </w:r>
    </w:p>
    <w:p>
      <w:pPr>
        <w:spacing w:after="120"/>
        <w:ind w:left="720"/>
        <w:jc w:val="both"/>
      </w:pPr>
      <w:r>
        <w:rPr>
          <w:rFonts w:ascii="Garamond" w:eastAsia="Garamond" w:hAnsi="Garamond" w:cs="Garamond"/>
          <w:color w:val="2A2A2A"/>
          <w:sz w:val="22"/>
          <w:szCs w:val="22"/>
        </w:rPr>
        <w:t xml:space="preserve">— discriminatory grounds contrary to §1.6;</w:t>
      </w:r>
    </w:p>
    <w:p>
      <w:pPr>
        <w:spacing w:after="120"/>
        <w:ind w:left="720"/>
        <w:jc w:val="both"/>
      </w:pPr>
      <w:r>
        <w:rPr>
          <w:rFonts w:ascii="Garamond" w:eastAsia="Garamond" w:hAnsi="Garamond" w:cs="Garamond"/>
          <w:color w:val="2A2A2A"/>
          <w:sz w:val="22"/>
          <w:szCs w:val="22"/>
        </w:rPr>
        <w:t xml:space="preserve">— or procedural violation affecting the outcome.</w:t>
      </w:r>
    </w:p>
    <w:p>
      <w:pPr>
        <w:spacing w:after="120"/>
        <w:ind w:left="431"/>
        <w:jc w:val="both"/>
      </w:pPr>
      <w:r>
        <w:rPr>
          <w:rFonts w:ascii="Garamond" w:eastAsia="Garamond" w:hAnsi="Garamond" w:cs="Garamond"/>
          <w:color w:val="2A2A2A"/>
          <w:sz w:val="22"/>
          <w:szCs w:val="22"/>
        </w:rPr>
        <w:t xml:space="preserve">(3)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w:t>
      </w:r>
    </w:p>
    <w:p>
      <w:pPr>
        <w:spacing w:after="120"/>
        <w:ind w:left="431"/>
        <w:jc w:val="both"/>
      </w:pPr>
      <w:r>
        <w:rPr>
          <w:rFonts w:ascii="Garamond" w:eastAsia="Garamond" w:hAnsi="Garamond" w:cs="Garamond"/>
          <w:color w:val="2A2A2A"/>
          <w:sz w:val="22"/>
          <w:szCs w:val="22"/>
        </w:rPr>
        <w:t xml:space="preserve">(4) Court decisions on State sponsorship challenges brought on §1.6 grounds are published to the NRS; personally identifying information of applicants who are not public figures as defined by statute is protected consistent with §1.7.</w:t>
      </w:r>
    </w:p>
    <w:p>
      <w:pPr>
        <w:spacing w:after="120"/>
        <w:ind w:left="431"/>
        <w:jc w:val="both"/>
      </w:pPr>
      <w:r>
        <w:rPr>
          <w:rFonts w:ascii="Garamond" w:eastAsia="Garamond" w:hAnsi="Garamond" w:cs="Garamond"/>
          <w:color w:val="2A2A2A"/>
          <w:sz w:val="22"/>
          <w:szCs w:val="22"/>
        </w:rPr>
        <w:t xml:space="preserve">(5)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w:t>
      </w:r>
    </w:p>
    <w:p>
      <w:pPr>
        <w:spacing w:after="120"/>
        <w:ind w:left="431"/>
        <w:jc w:val="both"/>
      </w:pPr>
      <w:r>
        <w:rPr>
          <w:rFonts w:ascii="Garamond" w:eastAsia="Garamond" w:hAnsi="Garamond" w:cs="Garamond"/>
          <w:color w:val="2A2A2A"/>
          <w:sz w:val="22"/>
          <w:szCs w:val="22"/>
        </w:rPr>
        <w:t xml:space="preserve">(6) All removal proceedings and challenge proceedings under this section carry the right to legal representation; where an applicant cannot afford representation, counsel is appointed at public expense.</w:t>
      </w:r>
    </w:p>
    <w:p w14:paraId="06C80B34" w14:textId="77777777" w:rsidR="00AF3D56" w:rsidRDefault="00000000">
      <w:pPr>
        <w:spacing w:before="200" w:after="60"/>
        <w:ind w:left="431"/>
      </w:pPr>
      <w:r>
        <w:rPr>
          <w:rFonts w:ascii="Courier New" w:eastAsia="Courier New" w:hAnsi="Courier New" w:cs="Courier New"/>
          <w:b/>
          <w:bCs/>
          <w:color w:val="2A2A2A"/>
          <w:sz w:val="18"/>
          <w:szCs w:val="18"/>
        </w:rPr>
        <w:t xml:space="preserve">§6.3  </w:t>
      </w:r>
      <w:r>
        <w:rPr>
          <w:rFonts w:ascii="Garamond" w:eastAsia="Garamond" w:hAnsi="Garamond" w:cs="Garamond"/>
          <w:i/>
          <w:iCs/>
          <w:color w:val="1B2A4A"/>
          <w:sz w:val="22"/>
          <w:szCs w:val="22"/>
        </w:rPr>
        <w:t>Asylum and Protection</w:t>
      </w:r>
    </w:p>
    <w:p>
      <w:pPr>
        <w:spacing w:after="120"/>
        <w:ind w:left="431"/>
        <w:jc w:val="both"/>
      </w:pPr>
      <w:r>
        <w:rPr>
          <w:rFonts w:ascii="Garamond" w:eastAsia="Garamond" w:hAnsi="Garamond" w:cs="Garamond"/>
          <w:color w:val="2A2A2A"/>
          <w:sz w:val="22"/>
          <w:szCs w:val="22"/>
        </w:rPr>
        <w:t xml:space="preserve">(1) Asylum proceedings operate on a separate constitutional track from the dual-gate system. Any person who files an asylum claim under §1.21 is an Inhabitant from the date of filing — entitled to Article I protections and social state access.</w:t>
      </w:r>
    </w:p>
    <w:p>
      <w:pPr>
        <w:spacing w:after="120"/>
        <w:ind w:left="431"/>
        <w:jc w:val="both"/>
      </w:pPr>
      <w:r>
        <w:rPr>
          <w:rFonts w:ascii="Garamond" w:eastAsia="Garamond" w:hAnsi="Garamond" w:cs="Garamond"/>
          <w:color w:val="2A2A2A"/>
          <w:sz w:val="22"/>
          <w:szCs w:val="22"/>
        </w:rPr>
        <w:t xml:space="preserve">(2) Claims must be determined before any removal order takes effect. A claim filed solely to delay a final removal order may be expedited under procedures the Legislature defines, consistent with the right to a fair hearing.</w:t>
      </w:r>
    </w:p>
    <w:p>
      <w:pPr>
        <w:spacing w:after="120"/>
        <w:ind w:left="431"/>
        <w:jc w:val="both"/>
      </w:pPr>
      <w:r>
        <w:rPr>
          <w:rFonts w:ascii="Garamond" w:eastAsia="Garamond" w:hAnsi="Garamond" w:cs="Garamond"/>
          <w:color w:val="2A2A2A"/>
          <w:sz w:val="22"/>
          <w:szCs w:val="22"/>
        </w:rPr>
        <w:t xml:space="preserve">(3) Where the Asylum Court grants protection, the person receives federal residency credentials by operation of that grant; State sponsorship and federal certification are not required conditions.</w:t>
      </w:r>
    </w:p>
    <w:p>
      <w:pPr>
        <w:spacing w:after="120"/>
        <w:ind w:left="431"/>
        <w:jc w:val="both"/>
      </w:pPr>
      <w:r>
        <w:rPr>
          <w:rFonts w:ascii="Garamond" w:eastAsia="Garamond" w:hAnsi="Garamond" w:cs="Garamond"/>
          <w:color w:val="2A2A2A"/>
          <w:sz w:val="22"/>
          <w:szCs w:val="22"/>
        </w:rPr>
        <w:t xml:space="preserve">(4) The manner of entry does not affect the right to claim asylum or have that claim determined. No penalty arising solely from irregular entry may be imposed on a person whose claim is pending or has been granted.</w:t>
      </w:r>
    </w:p>
    <w:p>
      <w:pPr>
        <w:spacing w:after="120"/>
        <w:ind w:left="431"/>
        <w:jc w:val="both"/>
      </w:pPr>
      <w:r>
        <w:rPr>
          <w:rFonts w:ascii="Garamond" w:eastAsia="Garamond" w:hAnsi="Garamond" w:cs="Garamond"/>
          <w:color w:val="2A2A2A"/>
          <w:sz w:val="22"/>
          <w:szCs w:val="22"/>
        </w:rPr>
        <w:t xml:space="preserve">(5) Asylum proceedings must provide:</w:t>
      </w:r>
    </w:p>
    <w:p>
      <w:pPr>
        <w:spacing w:after="120"/>
        <w:ind w:left="720"/>
        <w:jc w:val="both"/>
      </w:pPr>
      <w:r>
        <w:rPr>
          <w:rFonts w:ascii="Garamond" w:eastAsia="Garamond" w:hAnsi="Garamond" w:cs="Garamond"/>
          <w:color w:val="2A2A2A"/>
          <w:sz w:val="22"/>
          <w:szCs w:val="22"/>
        </w:rPr>
        <w:t xml:space="preserve">— a qualified adjudicator,</w:t>
      </w:r>
    </w:p>
    <w:p>
      <w:pPr>
        <w:spacing w:after="120"/>
        <w:ind w:left="720"/>
        <w:jc w:val="both"/>
      </w:pPr>
      <w:r>
        <w:rPr>
          <w:rFonts w:ascii="Garamond" w:eastAsia="Garamond" w:hAnsi="Garamond" w:cs="Garamond"/>
          <w:color w:val="2A2A2A"/>
          <w:sz w:val="22"/>
          <w:szCs w:val="22"/>
        </w:rPr>
        <w:t xml:space="preserve">— interpreter access,</w:t>
      </w:r>
    </w:p>
    <w:p>
      <w:pPr>
        <w:spacing w:after="120"/>
        <w:ind w:left="720"/>
        <w:jc w:val="both"/>
      </w:pPr>
      <w:r>
        <w:rPr>
          <w:rFonts w:ascii="Garamond" w:eastAsia="Garamond" w:hAnsi="Garamond" w:cs="Garamond"/>
          <w:color w:val="2A2A2A"/>
          <w:sz w:val="22"/>
          <w:szCs w:val="22"/>
        </w:rPr>
        <w:t xml:space="preserve">— the right to present evidence and witnesses,</w:t>
      </w:r>
    </w:p>
    <w:p>
      <w:pPr>
        <w:spacing w:after="120"/>
        <w:ind w:left="720"/>
        <w:jc w:val="both"/>
      </w:pPr>
      <w:r>
        <w:rPr>
          <w:rFonts w:ascii="Garamond" w:eastAsia="Garamond" w:hAnsi="Garamond" w:cs="Garamond"/>
          <w:color w:val="2A2A2A"/>
          <w:sz w:val="22"/>
          <w:szCs w:val="22"/>
        </w:rPr>
        <w:t xml:space="preserve">— the right to legal representation with appointed counsel at public expense where the applicant cannot afford representation,</w:t>
      </w:r>
    </w:p>
    <w:p>
      <w:pPr>
        <w:spacing w:after="120"/>
        <w:ind w:left="720"/>
        <w:jc w:val="both"/>
      </w:pPr>
      <w:r>
        <w:rPr>
          <w:rFonts w:ascii="Garamond" w:eastAsia="Garamond" w:hAnsi="Garamond" w:cs="Garamond"/>
          <w:color w:val="2A2A2A"/>
          <w:sz w:val="22"/>
          <w:szCs w:val="22"/>
        </w:rPr>
        <w:t xml:space="preserve">— a written decision with grounds,</w:t>
      </w:r>
    </w:p>
    <w:p>
      <w:pPr>
        <w:spacing w:after="120"/>
        <w:ind w:left="720"/>
        <w:jc w:val="both"/>
      </w:pPr>
      <w:r>
        <w:rPr>
          <w:rFonts w:ascii="Garamond" w:eastAsia="Garamond" w:hAnsi="Garamond" w:cs="Garamond"/>
          <w:color w:val="2A2A2A"/>
          <w:sz w:val="22"/>
          <w:szCs w:val="22"/>
        </w:rPr>
        <w:t xml:space="preserve">— and a right of appeal — regardless of point of entry.</w:t>
      </w:r>
    </w:p>
    <w:p>
      <w:pPr>
        <w:spacing w:after="120"/>
        <w:ind w:left="431"/>
        <w:jc w:val="both"/>
      </w:pPr>
      <w:r>
        <w:rPr>
          <w:rFonts w:ascii="Garamond" w:eastAsia="Garamond" w:hAnsi="Garamond" w:cs="Garamond"/>
          <w:color w:val="2A2A2A"/>
          <w:sz w:val="22"/>
          <w:szCs w:val="22"/>
        </w:rPr>
        <w:t xml:space="preserve">The asylum proceedings statute must ensure accessibility to persons in Territories and geographically remote areas.</w:t>
      </w:r>
    </w:p>
    <w:p>
      <w:pPr>
        <w:spacing w:after="120"/>
        <w:ind w:left="431"/>
        <w:jc w:val="both"/>
      </w:pPr>
      <w:r>
        <w:rPr>
          <w:rFonts w:ascii="Garamond" w:eastAsia="Garamond" w:hAnsi="Garamond" w:cs="Garamond"/>
          <w:color w:val="2A2A2A"/>
          <w:sz w:val="22"/>
          <w:szCs w:val="22"/>
        </w:rPr>
        <w:t xml:space="preserve">(6)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120"/>
        <w:ind w:left="431"/>
        <w:jc w:val="both"/>
      </w:pPr>
      <w:r>
        <w:rPr>
          <w:rFonts w:ascii="Garamond" w:eastAsia="Garamond" w:hAnsi="Garamond" w:cs="Garamond"/>
          <w:color w:val="2A2A2A"/>
          <w:sz w:val="22"/>
          <w:szCs w:val="22"/>
        </w:rPr>
        <w:t xml:space="preserve">(7) An unaccompanied minor arriving in the Republic is an Inhabitant from the moment of contact and holds full §1.21 protection. A federal legal guardian must be appointed by the federal court with jurisdiction over the point of contact within 72 hours.</w:t>
      </w:r>
    </w:p>
    <w:p>
      <w:pPr>
        <w:spacing w:after="120"/>
        <w:ind w:left="431"/>
        <w:jc w:val="both"/>
      </w:pPr>
      <w:r>
        <w:rPr>
          <w:rFonts w:ascii="Garamond" w:eastAsia="Garamond" w:hAnsi="Garamond" w:cs="Garamond"/>
          <w:color w:val="2A2A2A"/>
          <w:sz w:val="22"/>
          <w:szCs w:val="22"/>
        </w:rPr>
        <w:t xml:space="preserve">(8) No unaccompanied minor may be detained in a facility not specifically designated and resourced for children.</w:t>
      </w:r>
    </w:p>
    <w:p w14:paraId="35B24256" w14:textId="77777777" w:rsidR="00AF3D56" w:rsidRDefault="00000000">
      <w:pPr>
        <w:spacing w:before="200" w:after="60"/>
        <w:ind w:left="431"/>
      </w:pPr>
      <w:r>
        <w:rPr>
          <w:rFonts w:ascii="Courier New" w:eastAsia="Courier New" w:hAnsi="Courier New" w:cs="Courier New"/>
          <w:b/>
          <w:bCs/>
          <w:color w:val="2A2A2A"/>
          <w:sz w:val="18"/>
          <w:szCs w:val="18"/>
        </w:rPr>
        <w:t xml:space="preserve">§6.3.a  </w:t>
      </w:r>
      <w:r>
        <w:rPr>
          <w:rFonts w:ascii="Garamond" w:eastAsia="Garamond" w:hAnsi="Garamond" w:cs="Garamond"/>
          <w:i/>
          <w:iCs/>
          <w:color w:val="1B2A4A"/>
          <w:sz w:val="22"/>
          <w:szCs w:val="22"/>
        </w:rPr>
        <w:t>Unresolvable and Security Cases</w:t>
      </w:r>
    </w:p>
    <w:p w14:paraId="12A7B570"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for detention beyond 5 years, an affirmative judicial finding at each subsequent review that no less restrictive alternative exists; absent that finding, the person is released to the statutory minimum-status conditions defined under this section.</w:t>
      </w:r>
    </w:p>
    <w:p w14:paraId="46E8352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2937B7BA"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Consular Election System</w:t>
      </w:r>
    </w:p>
    <w:p>
      <w:pPr>
        <w:spacing w:after="120"/>
        <w:ind w:left="431"/>
        <w:jc w:val="both"/>
      </w:pPr>
      <w:r>
        <w:rPr>
          <w:rFonts w:ascii="Garamond" w:eastAsia="Garamond" w:hAnsi="Garamond" w:cs="Garamond"/>
          <w:color w:val="2A2A2A"/>
          <w:sz w:val="22"/>
          <w:szCs w:val="22"/>
        </w:rPr>
        <w:t xml:space="preserve">(1) The Legat Consul is elected through two concurrent requirements: a national RCV majority and a State plurality qualification. A candidate wins outright by satisfying both.</w:t>
      </w:r>
    </w:p>
    <w:p>
      <w:pPr>
        <w:spacing w:after="120"/>
        <w:ind w:left="431"/>
        <w:jc w:val="both"/>
      </w:pPr>
      <w:r>
        <w:rPr>
          <w:rFonts w:ascii="Garamond" w:eastAsia="Garamond" w:hAnsi="Garamond" w:cs="Garamond"/>
          <w:color w:val="2A2A2A"/>
          <w:sz w:val="22"/>
          <w:szCs w:val="22"/>
        </w:rPr>
        <w:t xml:space="preserve">(2) Where a candidate's national RCV majority reaches or exceeds 60% of votes cast, the State plurality requirement is waived.</w:t>
      </w:r>
    </w:p>
    <w:p>
      <w:pPr>
        <w:spacing w:after="120"/>
        <w:ind w:left="431"/>
        <w:jc w:val="both"/>
      </w:pPr>
      <w:r>
        <w:rPr>
          <w:rFonts w:ascii="Garamond" w:eastAsia="Garamond" w:hAnsi="Garamond" w:cs="Garamond"/>
          <w:color w:val="2A2A2A"/>
          <w:sz w:val="22"/>
          <w:szCs w:val="22"/>
        </w:rPr>
        <w:t xml:space="preserve">(3)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w:t>
      </w:r>
    </w:p>
    <w:p>
      <w:pPr>
        <w:spacing w:after="120"/>
        <w:ind w:left="431"/>
        <w:jc w:val="both"/>
      </w:pPr>
      <w:r>
        <w:rPr>
          <w:rFonts w:ascii="Garamond" w:eastAsia="Garamond" w:hAnsi="Garamond" w:cs="Garamond"/>
          <w:color w:val="2A2A2A"/>
          <w:sz w:val="22"/>
          <w:szCs w:val="22"/>
        </w:rPr>
        <w:t xml:space="preserve">(4) Where the runoff itself produces a tied result, the Elections Panel determines the winner by lot in a public session; the result is published to the NRS and is final. The Elections Panel administers and certifies all consular elections.</w:t>
      </w:r>
    </w:p>
    <w:p>
      <w:pPr>
        <w:spacing w:after="120"/>
        <w:ind w:left="431"/>
        <w:jc w:val="both"/>
      </w:pPr>
      <w:r>
        <w:rPr>
          <w:rFonts w:ascii="Garamond" w:eastAsia="Garamond" w:hAnsi="Garamond" w:cs="Garamond"/>
          <w:color w:val="2A2A2A"/>
          <w:sz w:val="22"/>
          <w:szCs w:val="22"/>
        </w:rPr>
        <w:t xml:space="preserve">(5) Territory citizens vote in consular elections and their votes count in the national RCV total; Territories are not included in the State plurality calculation.</w:t>
      </w:r>
    </w:p>
    <w:p>
      <w:pPr>
        <w:spacing w:after="120"/>
        <w:ind w:left="431"/>
        <w:jc w:val="both"/>
      </w:pPr>
      <w:r>
        <w:rPr>
          <w:rFonts w:ascii="Garamond" w:eastAsia="Garamond" w:hAnsi="Garamond" w:cs="Garamond"/>
          <w:color w:val="2A2A2A"/>
          <w:sz w:val="22"/>
          <w:szCs w:val="22"/>
        </w:rPr>
        <w:t xml:space="preserve">(6) A candidate satisfies the State plurality requirement by receiving more first-preference votes than any other candidate in a majority of the Republic's States. The Elections Panel certifies State-by-State first-preference results as part of overall election certification.</w:t>
      </w:r>
    </w:p>
    <w:p>
      <w:pPr>
        <w:spacing w:after="120"/>
        <w:ind w:left="431"/>
        <w:jc w:val="both"/>
      </w:pPr>
      <w:r>
        <w:rPr>
          <w:rFonts w:ascii="Garamond" w:eastAsia="Garamond" w:hAnsi="Garamond" w:cs="Garamond"/>
          <w:color w:val="2A2A2A"/>
          <w:sz w:val="22"/>
          <w:szCs w:val="22"/>
        </w:rPr>
        <w:t xml:space="preserve">(7)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1575E7" w14:textId="77777777" w:rsidR="00AF3D56" w:rsidRDefault="00000000">
      <w:pPr>
        <w:spacing w:before="200" w:after="60"/>
        <w:ind w:left="431"/>
      </w:pPr>
      <w:r>
        <w:rPr>
          <w:rFonts w:ascii="Courier New" w:eastAsia="Courier New" w:hAnsi="Courier New" w:cs="Courier New"/>
          <w:b/>
          <w:bCs/>
          <w:color w:val="2A2A2A"/>
          <w:sz w:val="18"/>
          <w:szCs w:val="18"/>
        </w:rPr>
        <w:t xml:space="preserve">§7.2  </w:t>
      </w:r>
      <w:r>
        <w:rPr>
          <w:rFonts w:ascii="Garamond" w:eastAsia="Garamond" w:hAnsi="Garamond" w:cs="Garamond"/>
          <w:i/>
          <w:iCs/>
          <w:color w:val="1B2A4A"/>
          <w:sz w:val="22"/>
          <w:szCs w:val="22"/>
        </w:rPr>
        <w:t>Federal Elections</w:t>
      </w:r>
    </w:p>
    <w:p>
      <w:pPr>
        <w:spacing w:after="120"/>
        <w:ind w:left="431"/>
        <w:jc w:val="both"/>
      </w:pPr>
      <w:r>
        <w:rPr>
          <w:rFonts w:ascii="Garamond" w:eastAsia="Garamond" w:hAnsi="Garamond" w:cs="Garamond"/>
          <w:color w:val="2A2A2A"/>
          <w:sz w:val="22"/>
          <w:szCs w:val="22"/>
        </w:rPr>
        <w:t xml:space="preserve">(1) Federal elections are held at regular intervals: Assembly elections every two years; Senate elections on the staggered six-year cycle; Consular elections every six years.</w:t>
      </w:r>
    </w:p>
    <w:p>
      <w:pPr>
        <w:spacing w:after="120"/>
        <w:ind w:left="431"/>
        <w:jc w:val="both"/>
      </w:pPr>
      <w:r>
        <w:rPr>
          <w:rFonts w:ascii="Garamond" w:eastAsia="Garamond" w:hAnsi="Garamond" w:cs="Garamond"/>
          <w:color w:val="2A2A2A"/>
          <w:sz w:val="22"/>
          <w:szCs w:val="22"/>
        </w:rPr>
        <w:t xml:space="preserve">(2) All federal elections use Ranked Choice Voting — majority required, not plurality; Consular elections use RCV within the framework of §7.1, which adds the State plurality requirement.</w:t>
      </w:r>
    </w:p>
    <w:p>
      <w:pPr>
        <w:spacing w:after="120"/>
        <w:ind w:left="431"/>
        <w:jc w:val="both"/>
      </w:pPr>
      <w:r>
        <w:rPr>
          <w:rFonts w:ascii="Garamond" w:eastAsia="Garamond" w:hAnsi="Garamond" w:cs="Garamond"/>
          <w:color w:val="2A2A2A"/>
          <w:sz w:val="22"/>
          <w:szCs w:val="22"/>
        </w:rPr>
        <w:t xml:space="preserve">(3) The Legislature defines by statute the specific timing, duration, and structure of the federal electoral period within these constitutional floors.</w:t>
      </w:r>
    </w:p>
    <w:p>
      <w:pPr>
        <w:spacing w:after="120"/>
        <w:ind w:left="431"/>
        <w:jc w:val="both"/>
      </w:pPr>
      <w:r>
        <w:rPr>
          <w:rFonts w:ascii="Garamond" w:eastAsia="Garamond" w:hAnsi="Garamond" w:cs="Garamond"/>
          <w:color w:val="2A2A2A"/>
          <w:sz w:val="22"/>
          <w:szCs w:val="22"/>
        </w:rPr>
        <w:t xml:space="preserve">(4) Federal elections are administered by the States within standards established and enforced by the Elections Panel; all state election systems must connect to and operate through the National Voting System, free from executive interference.</w:t>
      </w:r>
    </w:p>
    <w:p>
      <w:pPr>
        <w:spacing w:after="120"/>
        <w:ind w:left="431"/>
        <w:jc w:val="both"/>
      </w:pPr>
      <w:r>
        <w:rPr>
          <w:rFonts w:ascii="Garamond" w:eastAsia="Garamond" w:hAnsi="Garamond" w:cs="Garamond"/>
          <w:color w:val="2A2A2A"/>
          <w:sz w:val="22"/>
          <w:szCs w:val="22"/>
        </w:rPr>
        <w:t xml:space="preserve">(5)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w:t>
      </w:r>
    </w:p>
    <w:p>
      <w:pPr>
        <w:spacing w:after="120"/>
        <w:ind w:left="431"/>
        <w:jc w:val="both"/>
      </w:pPr>
      <w:r>
        <w:rPr>
          <w:rFonts w:ascii="Garamond" w:eastAsia="Garamond" w:hAnsi="Garamond" w:cs="Garamond"/>
          <w:color w:val="2A2A2A"/>
          <w:sz w:val="22"/>
          <w:szCs w:val="22"/>
        </w:rPr>
        <w:t xml:space="preserve">(6)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454FE114" w14:textId="77777777" w:rsidR="00AF3D56" w:rsidRDefault="00000000">
      <w:pPr>
        <w:spacing w:before="200" w:after="60"/>
        <w:ind w:left="431"/>
      </w:pPr>
      <w:r>
        <w:rPr>
          <w:rFonts w:ascii="Courier New" w:eastAsia="Courier New" w:hAnsi="Courier New" w:cs="Courier New"/>
          <w:b/>
          <w:bCs/>
          <w:color w:val="2A2A2A"/>
          <w:sz w:val="18"/>
          <w:szCs w:val="18"/>
        </w:rPr>
        <w:t xml:space="preserve">§7.2.a  </w:t>
      </w:r>
      <w:r>
        <w:rPr>
          <w:rFonts w:ascii="Garamond" w:eastAsia="Garamond" w:hAnsi="Garamond" w:cs="Garamond"/>
          <w:i/>
          <w:iCs/>
          <w:color w:val="1B2A4A"/>
          <w:sz w:val="22"/>
          <w:szCs w:val="22"/>
        </w:rPr>
        <w:t>Special Elections and Postponements</w:t>
      </w:r>
    </w:p>
    <w:p w14:paraId="247A9F79" w14:textId="77777777" w:rsidR="00AF3D56" w:rsidRDefault="00000000">
      <w:pPr>
        <w:spacing w:after="120"/>
        <w:ind w:left="431"/>
        <w:jc w:val="both"/>
      </w:pPr>
      <w:r>
        <w:rPr>
          <w:rFonts w:ascii="Garamond" w:eastAsia="Garamond" w:hAnsi="Garamond" w:cs="Garamond"/>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w:t>
        <w:lastRenderedPageBreak/>
        <w:t>publishing the determination to the NRS; the mandates of sitting members extend automatically until certification of the postponed election. The Elections Panel publishes a finding when conditions have normalized sufficiently for elections to proceed; elections must be held within 30 days of that publication. Either chamber may seek expedited judicial review of the Elections Panel’s finding; the applicable court and expedited process are defined by statute. No further postponement may be granted without a new Elections Panel finding of impossibility and a new 2/3 legislative determination.</w:t>
      </w:r>
    </w:p>
    <w:p w14:paraId="0F44AB5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586D0B68" w14:textId="77777777" w:rsidR="00AF3D56" w:rsidRDefault="00000000">
      <w:pPr>
        <w:spacing w:before="200" w:after="60"/>
        <w:ind w:left="431"/>
      </w:pPr>
      <w:r>
        <w:rPr>
          <w:rFonts w:ascii="Courier New" w:eastAsia="Courier New" w:hAnsi="Courier New" w:cs="Courier New"/>
          <w:b/>
          <w:bCs/>
          <w:color w:val="2A2A2A"/>
          <w:sz w:val="18"/>
          <w:szCs w:val="18"/>
        </w:rPr>
        <w:t xml:space="preserve">§8.1  </w:t>
      </w:r>
      <w:r>
        <w:rPr>
          <w:rFonts w:ascii="Garamond" w:eastAsia="Garamond" w:hAnsi="Garamond" w:cs="Garamond"/>
          <w:i/>
          <w:iCs/>
          <w:color w:val="1B2A4A"/>
          <w:sz w:val="22"/>
          <w:szCs w:val="22"/>
        </w:rPr>
        <w:t>Electoral Finance</w:t>
      </w:r>
    </w:p>
    <w:p w14:paraId="6A5B6B79"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036E0DD" w14:textId="77777777" w:rsidR="00AF3D56" w:rsidRDefault="00000000">
      <w:pPr>
        <w:spacing w:before="200" w:after="60"/>
        <w:ind w:left="431"/>
      </w:pPr>
      <w:r>
        <w:rPr>
          <w:rFonts w:ascii="Courier New" w:eastAsia="Courier New" w:hAnsi="Courier New" w:cs="Courier New"/>
          <w:b/>
          <w:bCs/>
          <w:color w:val="2A2A2A"/>
          <w:sz w:val="18"/>
          <w:szCs w:val="18"/>
        </w:rPr>
        <w:t xml:space="preserve">§8.2  </w:t>
      </w:r>
      <w:r>
        <w:rPr>
          <w:rFonts w:ascii="Garamond" w:eastAsia="Garamond" w:hAnsi="Garamond" w:cs="Garamond"/>
          <w:i/>
          <w:iCs/>
          <w:color w:val="1B2A4A"/>
          <w:sz w:val="22"/>
          <w:szCs w:val="22"/>
        </w:rPr>
        <w:t>Campaign Conduct</w:t>
      </w:r>
    </w:p>
    <w:p w14:paraId="645D6B4E" w14:textId="7E70F6F4" w:rsidR="00AF3D56" w:rsidRDefault="00000000">
      <w:pPr>
        <w:spacing w:after="120"/>
        <w:ind w:left="431"/>
        <w:jc w:val="both"/>
      </w:pPr>
      <w:r>
        <w:rPr>
          <w:rFonts w:ascii="Garamond" w:eastAsia="Garamond" w:hAnsi="Garamond" w:cs="Garamond"/>
          <w:color w:val="2A2A2A"/>
          <w:sz w:val="22"/>
          <w:szCs w:val="22"/>
        </w:rPr>
        <w:t>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This constitution does not bar private civil litigation arising from campaign communications.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 The Elections Panel publishes findings of violation of the prohibitions enumerated in this section to the NRS; the Legislature shall define sanctions for such violations by statute. This enforcement authority does not extend to the truthfulness or content of campaign communications, which remain subject only to private civil litigation as provided above.</w:t>
      </w:r>
    </w:p>
    <w:p w14:paraId="6EEA7430" w14:textId="77777777" w:rsidR="00AF3D56" w:rsidRDefault="00000000">
      <w:pPr>
        <w:spacing w:before="200" w:after="60"/>
        <w:ind w:left="431"/>
      </w:pPr>
      <w:r>
        <w:rPr>
          <w:rFonts w:ascii="Courier New" w:eastAsia="Courier New" w:hAnsi="Courier New" w:cs="Courier New"/>
          <w:b/>
          <w:bCs/>
          <w:color w:val="2A2A2A"/>
          <w:sz w:val="18"/>
          <w:szCs w:val="18"/>
        </w:rPr>
        <w:t xml:space="preserve">§8.3  </w:t>
      </w:r>
      <w:r>
        <w:rPr>
          <w:rFonts w:ascii="Garamond" w:eastAsia="Garamond" w:hAnsi="Garamond" w:cs="Garamond"/>
          <w:i/>
          <w:iCs/>
          <w:color w:val="1B2A4A"/>
          <w:sz w:val="22"/>
          <w:szCs w:val="22"/>
        </w:rPr>
        <w:t>Public Spectrum Access for Campaigns</w:t>
      </w:r>
    </w:p>
    <w:p w14:paraId="33784202"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0261D33F" w14:textId="30F2C8E5" w:rsidR="00F645C1" w:rsidRDefault="00F645C1" w:rsidP="00F645C1">
      <w:pPr>
        <w:spacing w:before="200" w:after="60"/>
        <w:ind w:left="431"/>
      </w:pPr>
      <w:r>
        <w:rPr>
          <w:rFonts w:ascii="Courier New" w:eastAsia="Courier New" w:hAnsi="Courier New" w:cs="Courier New"/>
          <w:b/>
          <w:bCs/>
          <w:color w:val="2A2A2A"/>
          <w:sz w:val="18"/>
          <w:szCs w:val="18"/>
        </w:rPr>
        <w:t xml:space="preserve">§8.4  </w:t>
      </w:r>
      <w:r>
        <w:rPr>
          <w:rFonts w:ascii="Garamond" w:eastAsia="Garamond" w:hAnsi="Garamond" w:cs="Garamond"/>
          <w:i/>
          <w:iCs/>
          <w:color w:val="1B2A4A"/>
          <w:sz w:val="22"/>
          <w:szCs w:val="22"/>
        </w:rPr>
        <w:t>Public Campaign Financing</w:t>
      </w:r>
    </w:p>
    <w:p w14:paraId="76F049D1" w14:textId="2C6B9380" w:rsidR="00F645C1" w:rsidRDefault="00F645C1">
      <w:pPr>
        <w:spacing w:after="120"/>
        <w:ind w:left="431"/>
        <w:jc w:val="both"/>
      </w:pPr>
      <w:r>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Funding for the system must be set at no less than the average total campaign expenditure recorded in the National Record System for that office — or, where no prior cycle exists, a comparable office — across the preceding election cycle. The Elections Panel administers the system and publishes annual compliance findings to the NRS.</w:t>
      </w:r>
    </w:p>
    <w:p w14:paraId="2789283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53D85F28" w14:textId="77777777" w:rsidR="00AF3D56" w:rsidRDefault="00000000">
      <w:pPr>
        <w:spacing w:before="200" w:after="60"/>
        <w:ind w:left="431"/>
      </w:pPr>
      <w:r>
        <w:rPr>
          <w:rFonts w:ascii="Courier New" w:eastAsia="Courier New" w:hAnsi="Courier New" w:cs="Courier New"/>
          <w:b/>
          <w:bCs/>
          <w:color w:val="2A2A2A"/>
          <w:sz w:val="18"/>
          <w:szCs w:val="18"/>
        </w:rPr>
        <w:t xml:space="preserve">§9.1  </w:t>
      </w:r>
      <w:r>
        <w:rPr>
          <w:rFonts w:ascii="Garamond" w:eastAsia="Garamond" w:hAnsi="Garamond" w:cs="Garamond"/>
          <w:i/>
          <w:iCs/>
          <w:color w:val="1B2A4A"/>
          <w:sz w:val="22"/>
          <w:szCs w:val="22"/>
        </w:rPr>
        <w:t>Three Monitors</w:t>
      </w:r>
    </w:p>
    <w:p w14:paraId="2EC75C92"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31371B1E" w14:textId="77777777" w:rsidR="00AF3D56" w:rsidRDefault="00000000">
      <w:pPr>
        <w:spacing w:before="200" w:after="60"/>
        <w:ind w:left="431"/>
      </w:pPr>
      <w:r>
        <w:rPr>
          <w:rFonts w:ascii="Courier New" w:eastAsia="Courier New" w:hAnsi="Courier New" w:cs="Courier New"/>
          <w:b/>
          <w:bCs/>
          <w:color w:val="2A2A2A"/>
          <w:sz w:val="18"/>
          <w:szCs w:val="18"/>
        </w:rPr>
        <w:t xml:space="preserve">§9.1.a  </w:t>
      </w:r>
      <w:r>
        <w:rPr>
          <w:rFonts w:ascii="Garamond" w:eastAsia="Garamond" w:hAnsi="Garamond" w:cs="Garamond"/>
          <w:i/>
          <w:iCs/>
          <w:color w:val="1B2A4A"/>
          <w:sz w:val="22"/>
          <w:szCs w:val="22"/>
        </w:rPr>
        <w:t>The Legislative Monitor</w:t>
      </w:r>
    </w:p>
    <w:p w14:paraId="2A180BB7"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77863FB2" w14:textId="77777777" w:rsidR="00AF3D56" w:rsidRDefault="00000000">
      <w:pPr>
        <w:spacing w:before="200" w:after="60"/>
        <w:ind w:left="431"/>
      </w:pPr>
      <w:r>
        <w:rPr>
          <w:rFonts w:ascii="Courier New" w:eastAsia="Courier New" w:hAnsi="Courier New" w:cs="Courier New"/>
          <w:b/>
          <w:bCs/>
          <w:color w:val="2A2A2A"/>
          <w:sz w:val="18"/>
          <w:szCs w:val="18"/>
        </w:rPr>
        <w:t xml:space="preserve">§9.1.b  </w:t>
      </w:r>
      <w:r>
        <w:rPr>
          <w:rFonts w:ascii="Garamond" w:eastAsia="Garamond" w:hAnsi="Garamond" w:cs="Garamond"/>
          <w:i/>
          <w:iCs/>
          <w:color w:val="1B2A4A"/>
          <w:sz w:val="22"/>
          <w:szCs w:val="22"/>
        </w:rPr>
        <w:t>The Executive Monitor</w:t>
      </w:r>
    </w:p>
    <w:p w14:paraId="74469628"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52FB7E88" w14:textId="77777777" w:rsidR="00AF3D56" w:rsidRDefault="00000000">
      <w:pPr>
        <w:spacing w:before="200" w:after="60"/>
        <w:ind w:left="431"/>
      </w:pPr>
      <w:r>
        <w:rPr>
          <w:rFonts w:ascii="Courier New" w:eastAsia="Courier New" w:hAnsi="Courier New" w:cs="Courier New"/>
          <w:b/>
          <w:bCs/>
          <w:color w:val="2A2A2A"/>
          <w:sz w:val="18"/>
          <w:szCs w:val="18"/>
        </w:rPr>
        <w:t xml:space="preserve">§9.1.c  </w:t>
      </w:r>
      <w:r>
        <w:rPr>
          <w:rFonts w:ascii="Garamond" w:eastAsia="Garamond" w:hAnsi="Garamond" w:cs="Garamond"/>
          <w:i/>
          <w:iCs/>
          <w:color w:val="1B2A4A"/>
          <w:sz w:val="22"/>
          <w:szCs w:val="22"/>
        </w:rPr>
        <w:t>The Judicial Monitor</w:t>
      </w:r>
    </w:p>
    <w:p w14:paraId="153206F1"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treaty obligations under Article XVI and Associated Community compact agreements under Article XX. The JM administers all constitutional lottery draws and candidate certification functions.</w:t>
      </w:r>
    </w:p>
    <w:p w14:paraId="3B4115BB" w14:textId="77777777" w:rsidR="00AF3D56" w:rsidRDefault="00000000">
      <w:pPr>
        <w:spacing w:before="200" w:after="60"/>
        <w:ind w:left="431"/>
      </w:pPr>
      <w:r>
        <w:rPr>
          <w:rFonts w:ascii="Courier New" w:eastAsia="Courier New" w:hAnsi="Courier New" w:cs="Courier New"/>
          <w:b/>
          <w:bCs/>
          <w:color w:val="2A2A2A"/>
          <w:sz w:val="18"/>
          <w:szCs w:val="18"/>
        </w:rPr>
        <w:t xml:space="preserve">§9.1.d  </w:t>
      </w:r>
      <w:r>
        <w:rPr>
          <w:rFonts w:ascii="Garamond" w:eastAsia="Garamond" w:hAnsi="Garamond" w:cs="Garamond"/>
          <w:i/>
          <w:iCs/>
          <w:color w:val="1B2A4A"/>
          <w:sz w:val="22"/>
          <w:szCs w:val="22"/>
        </w:rPr>
        <w:t>Monitor General Term Expiry and Incapacity</w:t>
      </w:r>
    </w:p>
    <w:p w14:paraId="4AEB7A07"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lastRenderedPageBreak/>
        <w:t>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46B5493E" w14:textId="77777777" w:rsidR="00AF3D56" w:rsidRDefault="00000000">
      <w:pPr>
        <w:spacing w:before="200" w:after="60"/>
        <w:ind w:left="431"/>
      </w:pPr>
      <w:r>
        <w:rPr>
          <w:rFonts w:ascii="Courier New" w:eastAsia="Courier New" w:hAnsi="Courier New" w:cs="Courier New"/>
          <w:b/>
          <w:bCs/>
          <w:color w:val="2A2A2A"/>
          <w:sz w:val="18"/>
          <w:szCs w:val="18"/>
        </w:rPr>
        <w:t xml:space="preserve">§9.2  </w:t>
      </w:r>
      <w:r>
        <w:rPr>
          <w:rFonts w:ascii="Garamond" w:eastAsia="Garamond" w:hAnsi="Garamond" w:cs="Garamond"/>
          <w:i/>
          <w:iCs/>
          <w:color w:val="1B2A4A"/>
          <w:sz w:val="22"/>
          <w:szCs w:val="22"/>
        </w:rPr>
        <w:t>Selection and Independence</w:t>
      </w:r>
    </w:p>
    <w:p w14:paraId="33C79C2D"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0BBF3D39" w14:textId="77777777" w:rsidR="00AF3D56" w:rsidRDefault="00000000">
      <w:pPr>
        <w:spacing w:before="200" w:after="60"/>
        <w:ind w:left="431"/>
      </w:pPr>
      <w:r>
        <w:rPr>
          <w:rFonts w:ascii="Courier New" w:eastAsia="Courier New" w:hAnsi="Courier New" w:cs="Courier New"/>
          <w:b/>
          <w:bCs/>
          <w:color w:val="2A2A2A"/>
          <w:sz w:val="18"/>
          <w:szCs w:val="18"/>
        </w:rPr>
        <w:t xml:space="preserve">§9.3  </w:t>
      </w:r>
      <w:r>
        <w:rPr>
          <w:rFonts w:ascii="Garamond" w:eastAsia="Garamond" w:hAnsi="Garamond" w:cs="Garamond"/>
          <w:i/>
          <w:iCs/>
          <w:color w:val="1B2A4A"/>
          <w:sz w:val="22"/>
          <w:szCs w:val="22"/>
        </w:rPr>
        <w:t>Monitor General Selection</w:t>
      </w:r>
    </w:p>
    <w:p w14:paraId="429C6323" w14:textId="77777777" w:rsidR="00AF3D56" w:rsidRDefault="00000000">
      <w:pPr>
        <w:spacing w:after="120"/>
        <w:ind w:left="431"/>
        <w:jc w:val="both"/>
      </w:pPr>
      <w:r>
        <w:rPr>
          <w:rFonts w:ascii="Garamond" w:eastAsia="Garamond" w:hAnsi="Garamond" w:cs="Garamond"/>
          <w:color w:val="2A2A2A"/>
          <w:sz w:val="22"/>
          <w:szCs w:val="22"/>
        </w:rPr>
        <w:t>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§9.8 from the JM Candidate Pool under §9.4. A Monitor General confirmed following an unscheduled vacancy serves only the remainder of the original term. No two Monitor General full terms may be scheduled to begin within 18 months of each other; service for the remainder of a predecessor's term does not commence a new term for the purposes of this spacing requirement. The confirmed successor assumes full authority at the precise moment the incumbent’s term concludes.</w:t>
      </w:r>
    </w:p>
    <w:p w14:paraId="04940EBC" w14:textId="77777777" w:rsidR="00AF3D56" w:rsidRDefault="00000000">
      <w:pPr>
        <w:spacing w:before="200" w:after="60"/>
        <w:ind w:left="431"/>
      </w:pPr>
      <w:r>
        <w:rPr>
          <w:rFonts w:ascii="Courier New" w:eastAsia="Courier New" w:hAnsi="Courier New" w:cs="Courier New"/>
          <w:b/>
          <w:bCs/>
          <w:color w:val="2A2A2A"/>
          <w:sz w:val="18"/>
          <w:szCs w:val="18"/>
        </w:rPr>
        <w:t xml:space="preserve">§9.4  </w:t>
      </w:r>
      <w:r>
        <w:rPr>
          <w:rFonts w:ascii="Garamond" w:eastAsia="Garamond" w:hAnsi="Garamond" w:cs="Garamond"/>
          <w:i/>
          <w:iCs/>
          <w:color w:val="1B2A4A"/>
          <w:sz w:val="22"/>
          <w:szCs w:val="22"/>
        </w:rPr>
        <w:t>Judicial Monitor Audit and Lottery Administration Mandate</w:t>
      </w:r>
    </w:p>
    <w:p>
      <w:pPr>
        <w:spacing w:after="120"/>
        <w:ind w:left="431"/>
        <w:jc w:val="both"/>
      </w:pPr>
      <w:r>
        <w:rPr>
          <w:rFonts w:ascii="Garamond" w:eastAsia="Garamond" w:hAnsi="Garamond" w:cs="Garamond"/>
          <w:color w:val="2A2A2A"/>
          <w:sz w:val="22"/>
          <w:szCs w:val="22"/>
        </w:rPr>
        <w:t xml:space="preserve">(1) 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w:t>
      </w:r>
    </w:p>
    <w:p>
      <w:pPr>
        <w:spacing w:after="120"/>
        <w:ind w:left="431"/>
        <w:jc w:val="both"/>
      </w:pPr>
      <w:r>
        <w:rPr>
          <w:rFonts w:ascii="Garamond" w:eastAsia="Garamond" w:hAnsi="Garamond" w:cs="Garamond"/>
          <w:color w:val="2A2A2A"/>
          <w:sz w:val="22"/>
          <w:szCs w:val="22"/>
        </w:rPr>
        <w:t xml:space="preserve">(2) The audit mandate is information-only; the lottery administration mandate is ministerial — the JM administers the process and certifies the result, but cannot influence the outcome.</w:t>
      </w:r>
    </w:p>
    <w:p>
      <w:pPr>
        <w:spacing w:after="120"/>
        <w:ind w:left="431"/>
        <w:jc w:val="both"/>
      </w:pPr>
      <w:r>
        <w:rPr>
          <w:rFonts w:ascii="Garamond" w:eastAsia="Garamond" w:hAnsi="Garamond" w:cs="Garamond"/>
          <w:color w:val="2A2A2A"/>
          <w:sz w:val="22"/>
          <w:szCs w:val="22"/>
        </w:rPr>
        <w:t xml:space="preserve">(3) Annual audit responsibilities include: court operations for scope compliance and independence; the Elections Panel for electoral integrity; SC independence; inferior court compliance with jurisdictional limits; and compliance under Article XIV, Article XIX, Article XVI treaty obligations, and Article XX compacts.</w:t>
      </w:r>
    </w:p>
    <w:p>
      <w:pPr>
        <w:spacing w:after="120"/>
        <w:ind w:left="431"/>
        <w:jc w:val="both"/>
      </w:pPr>
      <w:r>
        <w:rPr>
          <w:rFonts w:ascii="Garamond" w:eastAsia="Garamond" w:hAnsi="Garamond" w:cs="Garamond"/>
          <w:color w:val="2A2A2A"/>
          <w:sz w:val="22"/>
          <w:szCs w:val="22"/>
        </w:rPr>
        <w:t xml:space="preserve">(4) Any candidate removed from a ballot by the Elections Panel may appeal to the Appellate Court within 14 days; the Court reviews only whether eligibility criteria were correctly applied and must rule within 21 days.</w:t>
      </w:r>
    </w:p>
    <w:p>
      <w:pPr>
        <w:spacing w:after="120"/>
        <w:ind w:left="431"/>
        <w:jc w:val="both"/>
      </w:pPr>
      <w:r>
        <w:rPr>
          <w:rFonts w:ascii="Garamond" w:eastAsia="Garamond" w:hAnsi="Garamond" w:cs="Garamond"/>
          <w:color w:val="2A2A2A"/>
          <w:sz w:val="22"/>
          <w:szCs w:val="22"/>
        </w:rPr>
        <w:t xml:space="preserve">(5)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w:t>
      </w:r>
    </w:p>
    <w:p>
      <w:pPr>
        <w:spacing w:after="120"/>
        <w:ind w:left="431"/>
        <w:jc w:val="both"/>
      </w:pPr>
      <w:r>
        <w:rPr>
          <w:rFonts w:ascii="Garamond" w:eastAsia="Garamond" w:hAnsi="Garamond" w:cs="Garamond"/>
          <w:color w:val="2A2A2A"/>
          <w:sz w:val="22"/>
          <w:szCs w:val="22"/>
        </w:rPr>
        <w:t xml:space="preserve">(6) The JM holds no role in constituting or certifying its own candidate pool. The Elections Panel applies the eligibility criteria and enters qualifying applicants into the pool.</w:t>
      </w:r>
    </w:p>
    <w:p>
      <w:pPr>
        <w:spacing w:after="120"/>
        <w:ind w:left="431"/>
        <w:jc w:val="both"/>
      </w:pPr>
      <w:r>
        <w:rPr>
          <w:rFonts w:ascii="Garamond" w:eastAsia="Garamond" w:hAnsi="Garamond" w:cs="Garamond"/>
          <w:color w:val="2A2A2A"/>
          <w:sz w:val="22"/>
          <w:szCs w:val="22"/>
        </w:rPr>
        <w:t xml:space="preserve">(7) The LM's ongoing audit encompasses verification of judicial service records; the EM's ongoing audit encompasses financial disclosure review; both publish findings to the NRS.</w:t>
      </w:r>
    </w:p>
    <w:p>
      <w:pPr>
        <w:spacing w:after="120"/>
        <w:ind w:left="431"/>
        <w:jc w:val="both"/>
      </w:pPr>
      <w:r>
        <w:rPr>
          <w:rFonts w:ascii="Garamond" w:eastAsia="Garamond" w:hAnsi="Garamond" w:cs="Garamond"/>
          <w:color w:val="2A2A2A"/>
          <w:sz w:val="22"/>
          <w:szCs w:val="22"/>
        </w:rPr>
        <w:t xml:space="preserve">(8) The JMC conducts the lottery in a public session; the outgoing JM Monitor General does not participate. The pool is publicly accessible at all times.</w:t>
      </w:r>
    </w:p>
    <w:p w14:paraId="617C0C91" w14:textId="77777777" w:rsidR="00AF3D56" w:rsidRDefault="00000000">
      <w:pPr>
        <w:spacing w:before="200" w:after="60"/>
        <w:ind w:left="431"/>
      </w:pPr>
      <w:r>
        <w:rPr>
          <w:rFonts w:ascii="Courier New" w:eastAsia="Courier New" w:hAnsi="Courier New" w:cs="Courier New"/>
          <w:b/>
          <w:bCs/>
          <w:color w:val="2A2A2A"/>
          <w:sz w:val="18"/>
          <w:szCs w:val="18"/>
        </w:rPr>
        <w:t xml:space="preserve">§9.4.a  </w:t>
      </w:r>
      <w:r>
        <w:rPr>
          <w:rFonts w:ascii="Garamond" w:eastAsia="Garamond" w:hAnsi="Garamond" w:cs="Garamond"/>
          <w:i/>
          <w:iCs/>
          <w:color w:val="1B2A4A"/>
          <w:sz w:val="22"/>
          <w:szCs w:val="22"/>
        </w:rPr>
        <w:t>Judicial Pool — Eligibility Criteria</w:t>
      </w:r>
    </w:p>
    <w:p w14:paraId="6EFB0724" w14:textId="77777777" w:rsidR="00AF3D56" w:rsidRDefault="00000000">
      <w:pPr>
        <w:spacing w:after="120"/>
        <w:ind w:left="431"/>
        <w:jc w:val="both"/>
      </w:pPr>
      <w:r>
        <w:rPr>
          <w:rFonts w:ascii="Garamond" w:eastAsia="Garamond" w:hAnsi="Garamond" w:cs="Garamond"/>
          <w:color w:val="2A2A2A"/>
          <w:sz w:val="22"/>
          <w:szCs w:val="22"/>
        </w:rPr>
        <w:lastRenderedPageBreak/>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2F4DE292" w14:textId="77777777" w:rsidR="00AF3D56" w:rsidRDefault="00000000">
      <w:pPr>
        <w:spacing w:before="200" w:after="60"/>
        <w:ind w:left="431"/>
      </w:pPr>
      <w:r>
        <w:rPr>
          <w:rFonts w:ascii="Courier New" w:eastAsia="Courier New" w:hAnsi="Courier New" w:cs="Courier New"/>
          <w:b/>
          <w:bCs/>
          <w:color w:val="2A2A2A"/>
          <w:sz w:val="18"/>
          <w:szCs w:val="18"/>
        </w:rPr>
        <w:t xml:space="preserve">§9.5  </w:t>
      </w:r>
      <w:r>
        <w:rPr>
          <w:rFonts w:ascii="Garamond" w:eastAsia="Garamond" w:hAnsi="Garamond" w:cs="Garamond"/>
          <w:i/>
          <w:iCs/>
          <w:color w:val="1B2A4A"/>
          <w:sz w:val="22"/>
          <w:szCs w:val="22"/>
        </w:rPr>
        <w:t>Monitor Operations</w:t>
      </w:r>
    </w:p>
    <w:p w14:paraId="59F9C37E"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6A6B7C01" w14:textId="77777777" w:rsidR="00AF3D56" w:rsidRDefault="00000000">
      <w:pPr>
        <w:spacing w:before="200" w:after="60"/>
        <w:ind w:left="431"/>
      </w:pPr>
      <w:r>
        <w:rPr>
          <w:rFonts w:ascii="Courier New" w:eastAsia="Courier New" w:hAnsi="Courier New" w:cs="Courier New"/>
          <w:b/>
          <w:bCs/>
          <w:color w:val="2A2A2A"/>
          <w:sz w:val="18"/>
          <w:szCs w:val="18"/>
        </w:rPr>
        <w:t xml:space="preserve">§9.5.a  </w:t>
      </w:r>
      <w:r>
        <w:rPr>
          <w:rFonts w:ascii="Garamond" w:eastAsia="Garamond" w:hAnsi="Garamond" w:cs="Garamond"/>
          <w:i/>
          <w:iCs/>
          <w:color w:val="1B2A4A"/>
          <w:sz w:val="22"/>
          <w:szCs w:val="22"/>
        </w:rPr>
        <w:t>Compliance Standards and Findings</w:t>
      </w:r>
    </w:p>
    <w:p w14:paraId="6A6B7C02" w14:textId="77777777" w:rsidR="00AF3D56" w:rsidRDefault="00000000">
      <w:pPr>
        <w:spacing w:after="120"/>
        <w:ind w:left="431"/>
        <w:jc w:val="both"/>
      </w:pPr>
      <w:r>
        <w:rPr>
          <w:rFonts w:ascii="Garamond" w:eastAsia="Garamond" w:hAnsi="Garamond" w:cs="Garamond"/>
          <w:color w:val="2A2A2A"/>
          <w:sz w:val="22"/>
          <w:szCs w:val="22"/>
        </w:rPr>
        <w:t>The JMC defines and publishes to the NRS the compliance standard for each category of audit — the criteria by which each aspect of a finding is determined Pass or Fail, evaluated separately rather than as a single whole-entity judgment. No Monitor may issue a Pass or Fail finding for a category of audit for which the JMC has not yet published a standard; the underlying audit function continues, but produces no Pass or Fail determination until a standard exists. The JMC may adopt a single standard or separate standards tailored to distinct categories of audit. For each standard, the JMC publishes both the criteria and the methodology by which the criteria were developed. Where more than one standard exists, every published finding identifies which standard was applied. Each Fail is reported to the body responsible for that aspect, which publishes its own account of the matter for the public record. A change to any standard takes effect only for findings arising after the change is published. This prospective-only protection applies equally to the adoption of a new category of standard for any audit subject with a finding already pending at the time of publication. Where the JMC cannot reach consensus, each Monitor General’s proposed standard and methodology are published individually under §9.7’s dissent procedure.</w:t>
      </w:r>
    </w:p>
    <w:p w14:paraId="1C2D3E01" w14:textId="77777777" w:rsidR="00AF3D56" w:rsidRDefault="00000000">
      <w:pPr>
        <w:spacing w:before="200" w:after="60"/>
        <w:ind w:left="431"/>
      </w:pPr>
      <w:r>
        <w:rPr>
          <w:rFonts w:ascii="Courier New" w:eastAsia="Courier New" w:hAnsi="Courier New" w:cs="Courier New"/>
          <w:b/>
          <w:bCs/>
          <w:color w:val="2A2A2A"/>
          <w:sz w:val="18"/>
          <w:szCs w:val="18"/>
        </w:rPr>
        <w:t xml:space="preserve">§9.5.b  </w:t>
      </w:r>
      <w:r>
        <w:rPr>
          <w:rFonts w:ascii="Garamond" w:eastAsia="Garamond" w:hAnsi="Garamond" w:cs="Garamond"/>
          <w:i/>
          <w:iCs/>
          <w:color w:val="1B2A4A"/>
          <w:sz w:val="22"/>
          <w:szCs w:val="22"/>
        </w:rPr>
        <w:t>Agency Accountability</w:t>
      </w:r>
    </w:p>
    <w:p w14:paraId="1C2D3E02" w14:textId="77777777" w:rsidR="00AF3D56" w:rsidRDefault="00000000">
      <w:pPr>
        <w:spacing w:after="120"/>
        <w:ind w:left="431"/>
        <w:jc w:val="both"/>
      </w:pPr>
      <w:r>
        <w:rPr>
          <w:rFonts w:ascii="Garamond" w:eastAsia="Garamond" w:hAnsi="Garamond" w:cs="Garamond"/>
          <w:color w:val="2A2A2A"/>
          <w:sz w:val="22"/>
          <w:szCs w:val="22"/>
        </w:rPr>
        <w:t>Every agency the Legislature establishes is bound both by whatever this constitution specifies for it and by whatever mandate the Legislature has assigned to it by statute. A Fail reported under §9.5.a does not substitute for the responsible body’s own independent obligation to act on matters within its operational control.</w:t>
      </w:r>
    </w:p>
    <w:p w14:paraId="5DCDAB6A" w14:textId="77777777" w:rsidR="00AF3D56" w:rsidRDefault="00000000">
      <w:pPr>
        <w:spacing w:before="200" w:after="60"/>
        <w:ind w:left="431"/>
      </w:pPr>
      <w:r>
        <w:rPr>
          <w:rFonts w:ascii="Courier New" w:eastAsia="Courier New" w:hAnsi="Courier New" w:cs="Courier New"/>
          <w:b/>
          <w:bCs/>
          <w:color w:val="2A2A2A"/>
          <w:sz w:val="18"/>
          <w:szCs w:val="18"/>
        </w:rPr>
        <w:t xml:space="preserve">§9.6  </w:t>
      </w:r>
      <w:r>
        <w:rPr>
          <w:rFonts w:ascii="Garamond" w:eastAsia="Garamond" w:hAnsi="Garamond" w:cs="Garamond"/>
          <w:i/>
          <w:iCs/>
          <w:color w:val="1B2A4A"/>
          <w:sz w:val="22"/>
          <w:szCs w:val="22"/>
        </w:rPr>
        <w:t>Monitor Minimum Funding Guarantee</w:t>
      </w:r>
    </w:p>
    <w:p w14:paraId="3635D7E7"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4AA87CF4" w14:textId="77777777" w:rsidR="00AF3D56" w:rsidRDefault="00000000">
      <w:pPr>
        <w:spacing w:before="200" w:after="60"/>
        <w:ind w:left="431"/>
      </w:pPr>
      <w:r>
        <w:rPr>
          <w:rFonts w:ascii="Courier New" w:eastAsia="Courier New" w:hAnsi="Courier New" w:cs="Courier New"/>
          <w:b/>
          <w:bCs/>
          <w:color w:val="2A2A2A"/>
          <w:sz w:val="18"/>
          <w:szCs w:val="18"/>
        </w:rPr>
        <w:t xml:space="preserve">§9.7  </w:t>
      </w:r>
      <w:r>
        <w:rPr>
          <w:rFonts w:ascii="Garamond" w:eastAsia="Garamond" w:hAnsi="Garamond" w:cs="Garamond"/>
          <w:i/>
          <w:iCs/>
          <w:color w:val="1B2A4A"/>
          <w:sz w:val="22"/>
          <w:szCs w:val="22"/>
        </w:rPr>
        <w:t>Joint Monitor Council</w:t>
      </w:r>
    </w:p>
    <w:p>
      <w:pPr>
        <w:spacing w:after="120"/>
        <w:ind w:left="431"/>
        <w:jc w:val="both"/>
      </w:pPr>
      <w:r>
        <w:rPr>
          <w:rFonts w:ascii="Garamond" w:eastAsia="Garamond" w:hAnsi="Garamond" w:cs="Garamond"/>
          <w:color w:val="2A2A2A"/>
          <w:sz w:val="22"/>
          <w:szCs w:val="22"/>
        </w:rPr>
        <w:t xml:space="preserve">(1) The three Monitor Generals jointly constitute the JMC as the standing coordination body for matters crossing Monitor jurisdictions.</w:t>
      </w:r>
    </w:p>
    <w:p>
      <w:pPr>
        <w:spacing w:after="120"/>
        <w:ind w:left="431"/>
        <w:jc w:val="both"/>
      </w:pPr>
      <w:r>
        <w:rPr>
          <w:rFonts w:ascii="Garamond" w:eastAsia="Garamond" w:hAnsi="Garamond" w:cs="Garamond"/>
          <w:color w:val="2A2A2A"/>
          <w:sz w:val="22"/>
          <w:szCs w:val="22"/>
        </w:rPr>
        <w:t xml:space="preserve">(2) The JMC formally houses all jointly administered constitutional functions — including lottery draws and selection processes throughout the constitution.</w:t>
      </w:r>
    </w:p>
    <w:p>
      <w:pPr>
        <w:spacing w:after="120"/>
        <w:ind w:left="431"/>
        <w:jc w:val="both"/>
      </w:pPr>
      <w:r>
        <w:rPr>
          <w:rFonts w:ascii="Garamond" w:eastAsia="Garamond" w:hAnsi="Garamond" w:cs="Garamond"/>
          <w:color w:val="2A2A2A"/>
          <w:sz w:val="22"/>
          <w:szCs w:val="22"/>
        </w:rPr>
        <w:t xml:space="preserve">(3) The chair of any joint session is the Monitor General whose domain covers the primary subject matter; where all domains are equally engaged, the chair rotates annually.</w:t>
      </w:r>
    </w:p>
    <w:p>
      <w:pPr>
        <w:spacing w:after="120"/>
        <w:ind w:left="431"/>
        <w:jc w:val="both"/>
      </w:pPr>
      <w:r>
        <w:rPr>
          <w:rFonts w:ascii="Garamond" w:eastAsia="Garamond" w:hAnsi="Garamond" w:cs="Garamond"/>
          <w:color w:val="2A2A2A"/>
          <w:sz w:val="22"/>
          <w:szCs w:val="22"/>
        </w:rPr>
        <w:t xml:space="preserve">(4)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w:t>
      </w:r>
    </w:p>
    <w:p>
      <w:pPr>
        <w:spacing w:after="120"/>
        <w:ind w:left="431"/>
        <w:jc w:val="both"/>
      </w:pPr>
      <w:r>
        <w:rPr>
          <w:rFonts w:ascii="Garamond" w:eastAsia="Garamond" w:hAnsi="Garamond" w:cs="Garamond"/>
          <w:color w:val="2A2A2A"/>
          <w:sz w:val="22"/>
          <w:szCs w:val="22"/>
        </w:rPr>
        <w:t xml:space="preserve">(5) Where the Monitor Generals cannot reach consensus on a joint matter, each publishes their individual assessment and the disagreement is noted in the permanent NRS record. Sustained non-participation by a single Monitor General is subject to the §9.7.a Institutional Compromise Protocol.</w:t>
      </w:r>
    </w:p>
    <w:p>
      <w:pPr>
        <w:spacing w:after="120"/>
        <w:ind w:left="431"/>
        <w:jc w:val="both"/>
      </w:pPr>
      <w:r>
        <w:rPr>
          <w:rFonts w:ascii="Garamond" w:eastAsia="Garamond" w:hAnsi="Garamond" w:cs="Garamond"/>
          <w:color w:val="2A2A2A"/>
          <w:sz w:val="22"/>
          <w:szCs w:val="22"/>
        </w:rPr>
        <w:t xml:space="preserve">(6)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w:t>
      </w:r>
    </w:p>
    <w:p>
      <w:pPr>
        <w:spacing w:after="120"/>
        <w:ind w:left="431"/>
        <w:jc w:val="both"/>
      </w:pPr>
      <w:r>
        <w:rPr>
          <w:rFonts w:ascii="Garamond" w:eastAsia="Garamond" w:hAnsi="Garamond" w:cs="Garamond"/>
          <w:color w:val="2A2A2A"/>
          <w:sz w:val="22"/>
          <w:szCs w:val="22"/>
        </w:rPr>
        <w:t xml:space="preserve">(7) The JMC has no authority to override the individual mandate of any Monitor. Where this Constitution assigns a function to the JMC, the JMC exercises that function collectively by majority vote of participating Monitor Generals and publishes its determinations to the NRS; a dissenting Monitor General's position is published alongside.</w:t>
      </w:r>
    </w:p>
    <w:p>
      <w:pPr>
        <w:spacing w:after="120"/>
        <w:ind w:left="431"/>
        <w:jc w:val="both"/>
      </w:pPr>
      <w:r>
        <w:rPr>
          <w:rFonts w:ascii="Garamond" w:eastAsia="Garamond" w:hAnsi="Garamond" w:cs="Garamond"/>
          <w:color w:val="2A2A2A"/>
          <w:sz w:val="22"/>
          <w:szCs w:val="22"/>
        </w:rPr>
        <w:t xml:space="preserve">(8) The JMC may delegate operational responsibility for any assigned function to one or more individual Monitor Generals without transferring constitutional accountability for the function; it may also coordinate resource allocation across Monitor offices as needed to fulfill assigned functions, provided no Monitor's capacity to fulfill their individual mandate is diminished.</w:t>
      </w:r>
    </w:p>
    <w:p w14:paraId="573CA303"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§9.7.a  </w:t>
      </w:r>
      <w:r>
        <w:rPr>
          <w:rFonts w:ascii="Garamond" w:eastAsia="Garamond" w:hAnsi="Garamond" w:cs="Garamond"/>
          <w:i/>
          <w:iCs/>
          <w:color w:val="1B2A4A"/>
          <w:sz w:val="22"/>
          <w:szCs w:val="22"/>
        </w:rPr>
        <w:t>Institutional Compromise Protocol</w:t>
      </w:r>
    </w:p>
    <w:p w14:paraId="4C467E62" w14:textId="77777777" w:rsidR="00AF3D56" w:rsidRDefault="00000000">
      <w:pPr>
        <w:spacing w:after="120"/>
        <w:ind w:left="431"/>
        <w:jc w:val="both"/>
      </w:pPr>
      <w:r>
        <w:rPr>
          <w:rFonts w:ascii="Garamond" w:eastAsia="Garamond" w:hAnsi="Garamond" w:cs="Garamond"/>
          <w:color w:val="2A2A2A"/>
          <w:sz w:val="22"/>
          <w:szCs w:val="22"/>
        </w:rPr>
        <w:t>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14:paraId="476B5CB4" w14:textId="77777777" w:rsidR="00AF3D56" w:rsidRDefault="00000000">
      <w:pPr>
        <w:spacing w:before="200" w:after="60"/>
        <w:ind w:left="431"/>
      </w:pPr>
      <w:r>
        <w:rPr>
          <w:rFonts w:ascii="Courier New" w:eastAsia="Courier New" w:hAnsi="Courier New" w:cs="Courier New"/>
          <w:b/>
          <w:bCs/>
          <w:color w:val="2A2A2A"/>
          <w:sz w:val="18"/>
          <w:szCs w:val="18"/>
        </w:rPr>
        <w:t xml:space="preserve">§9.8  </w:t>
      </w:r>
      <w:r>
        <w:rPr>
          <w:rFonts w:ascii="Garamond" w:eastAsia="Garamond" w:hAnsi="Garamond" w:cs="Garamond"/>
          <w:i/>
          <w:iCs/>
          <w:color w:val="1B2A4A"/>
          <w:sz w:val="22"/>
          <w:szCs w:val="22"/>
        </w:rPr>
        <w:t>Constitutional Pool Framework</w:t>
      </w:r>
    </w:p>
    <w:p>
      <w:pPr>
        <w:spacing w:after="120"/>
        <w:ind w:left="431"/>
        <w:jc w:val="both"/>
      </w:pPr>
      <w:r>
        <w:rPr>
          <w:rFonts w:ascii="Garamond" w:eastAsia="Garamond" w:hAnsi="Garamond" w:cs="Garamond"/>
          <w:color w:val="2A2A2A"/>
          <w:sz w:val="22"/>
          <w:szCs w:val="22"/>
        </w:rPr>
        <w:t xml:space="preserve">(1) The Elections Panel maintains all constitutional candidate registries and pools, including the Judicial Pool, and administers public access to their records via the NRS.</w:t>
      </w:r>
    </w:p>
    <w:p>
      <w:pPr>
        <w:spacing w:after="120"/>
        <w:ind w:left="431"/>
        <w:jc w:val="both"/>
      </w:pPr>
      <w:r>
        <w:rPr>
          <w:rFonts w:ascii="Garamond" w:eastAsia="Garamond" w:hAnsi="Garamond" w:cs="Garamond"/>
          <w:color w:val="2A2A2A"/>
          <w:sz w:val="22"/>
          <w:szCs w:val="22"/>
        </w:rPr>
        <w:t xml:space="preserve">(2) Each pool is subject to ongoing Monitor audit; findings are published to the NRS.</w:t>
      </w:r>
    </w:p>
    <w:p>
      <w:pPr>
        <w:spacing w:after="120"/>
        <w:ind w:left="431"/>
        <w:jc w:val="both"/>
      </w:pPr>
      <w:r>
        <w:rPr>
          <w:rFonts w:ascii="Garamond" w:eastAsia="Garamond" w:hAnsi="Garamond" w:cs="Garamond"/>
          <w:color w:val="2A2A2A"/>
          <w:sz w:val="22"/>
          <w:szCs w:val="22"/>
        </w:rPr>
        <w:t xml:space="preserve">(3) Lottery draws are conducted by the JMC in a public session and published to the NRS.</w:t>
      </w:r>
    </w:p>
    <w:p>
      <w:pPr>
        <w:spacing w:after="120"/>
        <w:ind w:left="431"/>
        <w:jc w:val="both"/>
      </w:pPr>
      <w:r>
        <w:rPr>
          <w:rFonts w:ascii="Garamond" w:eastAsia="Garamond" w:hAnsi="Garamond" w:cs="Garamond"/>
          <w:color w:val="2A2A2A"/>
          <w:sz w:val="22"/>
          <w:szCs w:val="22"/>
        </w:rPr>
        <w:t xml:space="preserve">(4) The constitutional minimum for all pools is five eligible members; where a pool falls below five, the JM publishes a compliance breach and the relevant nominating bodies must act to restore the minimum within the period defined by statute.</w:t>
      </w:r>
    </w:p>
    <w:p>
      <w:pPr>
        <w:spacing w:after="120"/>
        <w:ind w:left="431"/>
        <w:jc w:val="both"/>
      </w:pPr>
      <w:r>
        <w:rPr>
          <w:rFonts w:ascii="Garamond" w:eastAsia="Garamond" w:hAnsi="Garamond" w:cs="Garamond"/>
          <w:color w:val="2A2A2A"/>
          <w:sz w:val="22"/>
          <w:szCs w:val="22"/>
        </w:rPr>
        <w:t xml:space="preserve">(5) Where a pool reaches zero before an acting designation is made, the most senior sitting State court judge by continuous service on a court of record who accepts the designation serves as Acting officer until the pool is restored; where two or more judges have equal continuous service, the oldest by age is designated first; a designee may not exercise State judicial functions while serving, and their State office is otherwise unaffected; this fallback applies only to judicial and Monitor pools.</w:t>
      </w:r>
    </w:p>
    <w:p>
      <w:pPr>
        <w:spacing w:after="120"/>
        <w:ind w:left="431"/>
        <w:jc w:val="both"/>
      </w:pPr>
      <w:r>
        <w:rPr>
          <w:rFonts w:ascii="Garamond" w:eastAsia="Garamond" w:hAnsi="Garamond" w:cs="Garamond"/>
          <w:color w:val="2A2A2A"/>
          <w:sz w:val="22"/>
          <w:szCs w:val="22"/>
        </w:rPr>
        <w:t xml:space="preserve">(6)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w:t>
      </w:r>
    </w:p>
    <w:p>
      <w:pPr>
        <w:spacing w:after="120"/>
        <w:ind w:left="431"/>
        <w:jc w:val="both"/>
      </w:pPr>
      <w:r>
        <w:rPr>
          <w:rFonts w:ascii="Garamond" w:eastAsia="Garamond" w:hAnsi="Garamond" w:cs="Garamond"/>
          <w:color w:val="2A2A2A"/>
          <w:sz w:val="22"/>
          <w:szCs w:val="22"/>
        </w:rPr>
        <w:t xml:space="preserve">(7) Where an applicant is excluded or removed, the administering body must publish the specific grounds to the NRS within 14 days; the applicant may appeal to the SC within 14 days of that publication on the sole ground that the eligibility criteria were misapplied.</w:t>
      </w:r>
    </w:p>
    <w:p>
      <w:pPr>
        <w:spacing w:after="120"/>
        <w:ind w:left="431"/>
        <w:jc w:val="both"/>
      </w:pPr>
      <w:r>
        <w:rPr>
          <w:rFonts w:ascii="Garamond" w:eastAsia="Garamond" w:hAnsi="Garamond" w:cs="Garamond"/>
          <w:color w:val="2A2A2A"/>
          <w:sz w:val="22"/>
          <w:szCs w:val="22"/>
        </w:rPr>
        <w:t xml:space="preserve">(8) Changes to eligibility criteria apply prospectively only and do not affect persons already entered in a constitutional pool or registry under the criteria applicable at the time of their entry.</w:t>
      </w:r>
    </w:p>
    <w:p w14:paraId="5BBA903E" w14:textId="77777777" w:rsidR="00AF3D56" w:rsidRDefault="00000000">
      <w:pPr>
        <w:spacing w:before="200" w:after="60"/>
        <w:ind w:left="431"/>
      </w:pPr>
      <w:r>
        <w:rPr>
          <w:rFonts w:ascii="Courier New" w:eastAsia="Courier New" w:hAnsi="Courier New" w:cs="Courier New"/>
          <w:b/>
          <w:bCs/>
          <w:color w:val="2A2A2A"/>
          <w:sz w:val="18"/>
          <w:szCs w:val="18"/>
        </w:rPr>
        <w:t xml:space="preserve">§9.9  </w:t>
      </w:r>
      <w:r>
        <w:rPr>
          <w:rFonts w:ascii="Garamond" w:eastAsia="Garamond" w:hAnsi="Garamond" w:cs="Garamond"/>
          <w:i/>
          <w:iCs/>
          <w:color w:val="1B2A4A"/>
          <w:sz w:val="22"/>
          <w:szCs w:val="22"/>
        </w:rPr>
        <w:t>Constitutional Officer Removal — Standard Track</w:t>
      </w:r>
    </w:p>
    <w:p>
      <w:pPr>
        <w:spacing w:after="120"/>
        <w:ind w:left="431"/>
        <w:jc w:val="both"/>
      </w:pPr>
      <w:r>
        <w:rPr>
          <w:rFonts w:ascii="Garamond" w:eastAsia="Garamond" w:hAnsi="Garamond" w:cs="Garamond"/>
          <w:color w:val="2A2A2A"/>
          <w:sz w:val="22"/>
          <w:szCs w:val="22"/>
        </w:rPr>
        <w:t xml:space="preserve">(1) This section governs for-cause removal of all constitutionally confirmed independent officers except Supreme Court justices under §4.3.a and elected executives. Monitor Generals are subject to for-cause removal under this section.</w:t>
      </w:r>
    </w:p>
    <w:p>
      <w:pPr>
        <w:spacing w:after="120"/>
        <w:ind w:left="431"/>
        <w:jc w:val="both"/>
      </w:pPr>
      <w:r>
        <w:rPr>
          <w:rFonts w:ascii="Garamond" w:eastAsia="Garamond" w:hAnsi="Garamond" w:cs="Garamond"/>
          <w:color w:val="2A2A2A"/>
          <w:sz w:val="22"/>
          <w:szCs w:val="22"/>
        </w:rPr>
        <w:t xml:space="preserve">(2) A concurrent resolution of 1/3 of either chamber, or two of the three Monitors jointly, may initiate removal by filing stated grounds with the SC.</w:t>
      </w:r>
    </w:p>
    <w:p>
      <w:pPr>
        <w:spacing w:after="120"/>
        <w:ind w:left="431"/>
        <w:jc w:val="both"/>
      </w:pPr>
      <w:r>
        <w:rPr>
          <w:rFonts w:ascii="Garamond" w:eastAsia="Garamond" w:hAnsi="Garamond" w:cs="Garamond"/>
          <w:color w:val="2A2A2A"/>
          <w:sz w:val="22"/>
          <w:szCs w:val="22"/>
        </w:rPr>
        <w:t xml:space="preserve">(3) The SC determines within 14 days whether the stated grounds constitute at least one statutory removal category for the subject office; the SC reviews constitutional category only, not factual merits.</w:t>
      </w:r>
    </w:p>
    <w:p>
      <w:pPr>
        <w:spacing w:after="120"/>
        <w:ind w:left="431"/>
        <w:jc w:val="both"/>
      </w:pPr>
      <w:r>
        <w:rPr>
          <w:rFonts w:ascii="Garamond" w:eastAsia="Garamond" w:hAnsi="Garamond" w:cs="Garamond"/>
          <w:color w:val="2A2A2A"/>
          <w:sz w:val="22"/>
          <w:szCs w:val="22"/>
        </w:rPr>
        <w:t xml:space="preserve">(4) If grounds are confirmed, duty suspension activates immediately and removal requires a 2/3 concurrent vote of both chambers; no removal vote may be held within 180 days of a major national election without prior SC review within 48 hours.</w:t>
      </w:r>
    </w:p>
    <w:p>
      <w:pPr>
        <w:spacing w:after="120"/>
        <w:ind w:left="431"/>
        <w:jc w:val="both"/>
      </w:pPr>
      <w:r>
        <w:rPr>
          <w:rFonts w:ascii="Garamond" w:eastAsia="Garamond" w:hAnsi="Garamond" w:cs="Garamond"/>
          <w:color w:val="2A2A2A"/>
          <w:sz w:val="22"/>
          <w:szCs w:val="22"/>
        </w:rPr>
        <w:t xml:space="preserve">(5) If grounds are not confirmed, the process closes and may not be reinitiated on the same or substantially similar grounds within six months.</w:t>
      </w:r>
    </w:p>
    <w:p>
      <w:pPr>
        <w:spacing w:after="120"/>
        <w:ind w:left="431"/>
        <w:jc w:val="both"/>
      </w:pPr>
      <w:r>
        <w:rPr>
          <w:rFonts w:ascii="Garamond" w:eastAsia="Garamond" w:hAnsi="Garamond" w:cs="Garamond"/>
          <w:color w:val="2A2A2A"/>
          <w:sz w:val="22"/>
          <w:szCs w:val="22"/>
        </w:rPr>
        <w:t xml:space="preserve">(6)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applicable period, the removal proceeding lapses for that session and may be reinitiated under this section.</w:t>
      </w:r>
    </w:p>
    <w:p>
      <w:pPr>
        <w:spacing w:after="120"/>
        <w:ind w:left="431"/>
        <w:jc w:val="both"/>
      </w:pPr>
      <w:r>
        <w:rPr>
          <w:rFonts w:ascii="Garamond" w:eastAsia="Garamond" w:hAnsi="Garamond" w:cs="Garamond"/>
          <w:color w:val="2A2A2A"/>
          <w:sz w:val="22"/>
          <w:szCs w:val="22"/>
        </w:rPr>
        <w:t xml:space="preserve">(7) The Legislature defines enumerated removal categories for each constitutionally confirmed office by statute.</w:t>
      </w:r>
    </w:p>
    <w:p w14:paraId="6FBB894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088DBF10" w14:textId="77777777" w:rsidR="00AF3D56" w:rsidRDefault="00000000">
      <w:pPr>
        <w:spacing w:before="200" w:after="60"/>
        <w:ind w:left="431"/>
      </w:pPr>
      <w:r>
        <w:rPr>
          <w:rFonts w:ascii="Courier New" w:eastAsia="Courier New" w:hAnsi="Courier New" w:cs="Courier New"/>
          <w:b/>
          <w:bCs/>
          <w:color w:val="2A2A2A"/>
          <w:sz w:val="18"/>
          <w:szCs w:val="18"/>
        </w:rPr>
        <w:t xml:space="preserve">§10.1  </w:t>
      </w:r>
      <w:r>
        <w:rPr>
          <w:rFonts w:ascii="Garamond" w:eastAsia="Garamond" w:hAnsi="Garamond" w:cs="Garamond"/>
          <w:i/>
          <w:iCs/>
          <w:color w:val="1B2A4A"/>
          <w:sz w:val="22"/>
          <w:szCs w:val="22"/>
        </w:rPr>
        <w:t>National Record System</w:t>
      </w:r>
    </w:p>
    <w:p>
      <w:pPr>
        <w:spacing w:after="120"/>
        <w:ind w:left="431"/>
        <w:jc w:val="both"/>
      </w:pPr>
      <w:r>
        <w:rPr>
          <w:rFonts w:ascii="Garamond" w:eastAsia="Garamond" w:hAnsi="Garamond" w:cs="Garamond"/>
          <w:color w:val="2A2A2A"/>
          <w:sz w:val="22"/>
          <w:szCs w:val="22"/>
        </w:rPr>
        <w:t xml:space="preserve">(1) The National Record System is the permanent, tamper-evident public record of the Republic — freely accessible to every Inhabitant at no cost.</w:t>
      </w:r>
    </w:p>
    <w:p>
      <w:pPr>
        <w:spacing w:after="120"/>
        <w:ind w:left="431"/>
        <w:jc w:val="both"/>
      </w:pPr>
      <w:r>
        <w:rPr>
          <w:rFonts w:ascii="Garamond" w:eastAsia="Garamond" w:hAnsi="Garamond" w:cs="Garamond"/>
          <w:color w:val="2A2A2A"/>
          <w:sz w:val="22"/>
          <w:szCs w:val="22"/>
        </w:rPr>
        <w:t xml:space="preserve">(2) Every constitutional act, order, finding, certification, designation, declaration, and determination made under this Constitution is published to the NRS as a permanent record; no provision need state this obligation individually.</w:t>
      </w:r>
    </w:p>
    <w:p>
      <w:pPr>
        <w:spacing w:after="120"/>
        <w:ind w:left="431"/>
        <w:jc w:val="both"/>
      </w:pPr>
      <w:r>
        <w:rPr>
          <w:rFonts w:ascii="Garamond" w:eastAsia="Garamond" w:hAnsi="Garamond" w:cs="Garamond"/>
          <w:color w:val="2A2A2A"/>
          <w:sz w:val="22"/>
          <w:szCs w:val="22"/>
        </w:rPr>
        <w:t xml:space="preserve">(3)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w:t>
      </w:r>
    </w:p>
    <w:p>
      <w:pPr>
        <w:spacing w:after="120"/>
        <w:ind w:left="431"/>
        <w:jc w:val="both"/>
      </w:pPr>
      <w:r>
        <w:rPr>
          <w:rFonts w:ascii="Garamond" w:eastAsia="Garamond" w:hAnsi="Garamond" w:cs="Garamond"/>
          <w:color w:val="2A2A2A"/>
          <w:sz w:val="22"/>
          <w:szCs w:val="22"/>
        </w:rPr>
        <w:t xml:space="preserve">(4) Where a specific publication timeline is provided it governs; otherwise publication occurs at or before the effective moment of the act.</w:t>
      </w:r>
    </w:p>
    <w:p>
      <w:pPr>
        <w:spacing w:after="120"/>
        <w:ind w:left="431"/>
        <w:jc w:val="both"/>
      </w:pPr>
      <w:r>
        <w:rPr>
          <w:rFonts w:ascii="Garamond" w:eastAsia="Garamond" w:hAnsi="Garamond" w:cs="Garamond"/>
          <w:color w:val="2A2A2A"/>
          <w:sz w:val="22"/>
          <w:szCs w:val="22"/>
        </w:rPr>
        <w:t xml:space="preserve">(5) Records may not be deleted, altered, or reclassified after publication; corrections are published as new entries alongside the original.</w:t>
      </w:r>
    </w:p>
    <w:p>
      <w:pPr>
        <w:spacing w:after="120"/>
        <w:ind w:left="431"/>
        <w:jc w:val="both"/>
      </w:pPr>
      <w:r>
        <w:rPr>
          <w:rFonts w:ascii="Garamond" w:eastAsia="Garamond" w:hAnsi="Garamond" w:cs="Garamond"/>
          <w:color w:val="2A2A2A"/>
          <w:sz w:val="22"/>
          <w:szCs w:val="22"/>
        </w:rPr>
        <w:t xml:space="preserve">(6)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w:t>
      </w:r>
    </w:p>
    <w:p>
      <w:pPr>
        <w:spacing w:after="120"/>
        <w:ind w:left="431"/>
        <w:jc w:val="both"/>
      </w:pPr>
      <w:r>
        <w:rPr>
          <w:rFonts w:ascii="Garamond" w:eastAsia="Garamond" w:hAnsi="Garamond" w:cs="Garamond"/>
          <w:color w:val="2A2A2A"/>
          <w:sz w:val="22"/>
          <w:szCs w:val="22"/>
        </w:rPr>
        <w:t xml:space="preserve">(7) Government acts take legal effect from the moment of issuance regardless of NRS status — the NRS is the record of government, not a condition of it.</w:t>
      </w:r>
    </w:p>
    <w:p>
      <w:pPr>
        <w:spacing w:after="120"/>
        <w:ind w:left="431"/>
        <w:jc w:val="both"/>
      </w:pPr>
      <w:r>
        <w:rPr>
          <w:rFonts w:ascii="Garamond" w:eastAsia="Garamond" w:hAnsi="Garamond" w:cs="Garamond"/>
          <w:color w:val="2A2A2A"/>
          <w:sz w:val="22"/>
          <w:szCs w:val="22"/>
        </w:rPr>
        <w:t xml:space="preserve">(8)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w:t>
      </w:r>
    </w:p>
    <w:p>
      <w:pPr>
        <w:spacing w:after="120"/>
        <w:ind w:left="431"/>
        <w:jc w:val="both"/>
      </w:pPr>
      <w:r>
        <w:rPr>
          <w:rFonts w:ascii="Garamond" w:eastAsia="Garamond" w:hAnsi="Garamond" w:cs="Garamond"/>
          <w:color w:val="2A2A2A"/>
          <w:sz w:val="22"/>
          <w:szCs w:val="22"/>
        </w:rPr>
        <w:t xml:space="preserve">(9)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w:t>
      </w:r>
    </w:p>
    <w:p w14:paraId="0A9AFFF0" w14:textId="77777777" w:rsidR="00AF3D56" w:rsidRDefault="00000000">
      <w:pPr>
        <w:spacing w:before="200" w:after="60"/>
        <w:ind w:left="431"/>
      </w:pPr>
      <w:r>
        <w:rPr>
          <w:rFonts w:ascii="Courier New" w:eastAsia="Courier New" w:hAnsi="Courier New" w:cs="Courier New"/>
          <w:b/>
          <w:bCs/>
          <w:color w:val="2A2A2A"/>
          <w:sz w:val="18"/>
          <w:szCs w:val="18"/>
        </w:rPr>
        <w:t xml:space="preserve">§10.2  </w:t>
      </w:r>
      <w:r>
        <w:rPr>
          <w:rFonts w:ascii="Garamond" w:eastAsia="Garamond" w:hAnsi="Garamond" w:cs="Garamond"/>
          <w:i/>
          <w:iCs/>
          <w:color w:val="1B2A4A"/>
          <w:sz w:val="22"/>
          <w:szCs w:val="22"/>
        </w:rPr>
        <w:t>Classification Criteria</w:t>
      </w:r>
    </w:p>
    <w:p w14:paraId="77595E98"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3A8EE73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174884A5"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NRS Panel and Elections Panel</w:t>
      </w:r>
    </w:p>
    <w:p>
      <w:pPr>
        <w:spacing w:after="120"/>
        <w:ind w:left="431"/>
        <w:jc w:val="both"/>
      </w:pPr>
      <w:r>
        <w:rPr>
          <w:rFonts w:ascii="Garamond" w:eastAsia="Garamond" w:hAnsi="Garamond" w:cs="Garamond"/>
          <w:color w:val="2A2A2A"/>
          <w:sz w:val="22"/>
          <w:szCs w:val="22"/>
        </w:rPr>
        <w:t xml:space="preserve">(1) Two constitutionally independent panels — the NRS Panel and the Elections Panel — operate the Republic's permanent record infrastructure and electoral systems respectively.</w:t>
      </w:r>
    </w:p>
    <w:p>
      <w:pPr>
        <w:spacing w:after="120"/>
        <w:ind w:left="431"/>
        <w:jc w:val="both"/>
      </w:pPr>
      <w:r>
        <w:rPr>
          <w:rFonts w:ascii="Garamond" w:eastAsia="Garamond" w:hAnsi="Garamond" w:cs="Garamond"/>
          <w:color w:val="2A2A2A"/>
          <w:sz w:val="22"/>
          <w:szCs w:val="22"/>
        </w:rPr>
        <w:t xml:space="preserve">(2) The NRS Panel operates the National Record System.</w:t>
      </w:r>
    </w:p>
    <w:p>
      <w:pPr>
        <w:spacing w:after="120"/>
        <w:ind w:left="431"/>
        <w:jc w:val="both"/>
      </w:pPr>
      <w:r>
        <w:rPr>
          <w:rFonts w:ascii="Garamond" w:eastAsia="Garamond" w:hAnsi="Garamond" w:cs="Garamond"/>
          <w:color w:val="2A2A2A"/>
          <w:sz w:val="22"/>
          <w:szCs w:val="22"/>
        </w:rPr>
        <w:t xml:space="preserve">(3)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w:t>
      </w:r>
    </w:p>
    <w:p>
      <w:pPr>
        <w:spacing w:after="120"/>
        <w:ind w:left="431"/>
        <w:jc w:val="both"/>
      </w:pPr>
      <w:r>
        <w:rPr>
          <w:rFonts w:ascii="Garamond" w:eastAsia="Garamond" w:hAnsi="Garamond" w:cs="Garamond"/>
          <w:color w:val="2A2A2A"/>
          <w:sz w:val="22"/>
          <w:szCs w:val="22"/>
        </w:rPr>
        <w:t xml:space="preserve">(4) Where the Elections Panel certifies a State's election system as non-compliant before an election, the Panel may withhold result certification for affected districts pending compliance or a special election under §7.2.a.</w:t>
      </w:r>
    </w:p>
    <w:p>
      <w:pPr>
        <w:spacing w:after="120"/>
        <w:ind w:left="431"/>
        <w:jc w:val="both"/>
      </w:pPr>
      <w:r>
        <w:rPr>
          <w:rFonts w:ascii="Garamond" w:eastAsia="Garamond" w:hAnsi="Garamond" w:cs="Garamond"/>
          <w:color w:val="2A2A2A"/>
          <w:sz w:val="22"/>
          <w:szCs w:val="22"/>
        </w:rPr>
        <w:t xml:space="preserve">(5) Each panel is operationally independent of the other, of both executives, and of the Legislature in the exercise of its functions.</w:t>
      </w:r>
    </w:p>
    <w:p>
      <w:pPr>
        <w:spacing w:after="120"/>
        <w:ind w:left="431"/>
        <w:jc w:val="both"/>
      </w:pPr>
      <w:r>
        <w:rPr>
          <w:rFonts w:ascii="Garamond" w:eastAsia="Garamond" w:hAnsi="Garamond" w:cs="Garamond"/>
          <w:color w:val="2A2A2A"/>
          <w:sz w:val="22"/>
          <w:szCs w:val="22"/>
        </w:rPr>
        <w:t xml:space="preserve">(6)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w:t>
      </w:r>
    </w:p>
    <w:p>
      <w:pPr>
        <w:spacing w:after="120"/>
        <w:ind w:left="431"/>
        <w:jc w:val="both"/>
      </w:pPr>
      <w:r>
        <w:rPr>
          <w:rFonts w:ascii="Garamond" w:eastAsia="Garamond" w:hAnsi="Garamond" w:cs="Garamond"/>
          <w:color w:val="2A2A2A"/>
          <w:sz w:val="22"/>
          <w:szCs w:val="22"/>
        </w:rPr>
        <w:t xml:space="preserve">(7) The Chair of each panel is its most senior member by continuous service; where two or more members have equal continuous service, the Chair is determined by lot conducted by the JMC.</w:t>
      </w:r>
    </w:p>
    <w:p>
      <w:pPr>
        <w:spacing w:after="120"/>
        <w:ind w:left="431"/>
        <w:jc w:val="both"/>
      </w:pPr>
      <w:r>
        <w:rPr>
          <w:rFonts w:ascii="Garamond" w:eastAsia="Garamond" w:hAnsi="Garamond" w:cs="Garamond"/>
          <w:color w:val="2A2A2A"/>
          <w:sz w:val="22"/>
          <w:szCs w:val="22"/>
        </w:rPr>
        <w:t xml:space="preserve">(8)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w:t>
      </w:r>
    </w:p>
    <w:p>
      <w:pPr>
        <w:spacing w:after="120"/>
        <w:ind w:left="431"/>
        <w:jc w:val="both"/>
      </w:pPr>
      <w:r>
        <w:rPr>
          <w:rFonts w:ascii="Garamond" w:eastAsia="Garamond" w:hAnsi="Garamond" w:cs="Garamond"/>
          <w:color w:val="2A2A2A"/>
          <w:sz w:val="22"/>
          <w:szCs w:val="22"/>
        </w:rPr>
        <w:t xml:space="preserve">(9)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52BA3DE1"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NVS Properties and Voting Rights</w:t>
      </w:r>
    </w:p>
    <w:p w14:paraId="4DE4C43E" w14:textId="77777777" w:rsidR="00AF3D56" w:rsidRDefault="00000000">
      <w:pPr>
        <w:spacing w:after="120"/>
        <w:ind w:left="431"/>
        <w:jc w:val="both"/>
      </w:pPr>
      <w:r>
        <w:rPr>
          <w:rFonts w:ascii="Garamond" w:eastAsia="Garamond" w:hAnsi="Garamond" w:cs="Garamond"/>
          <w:color w:val="2A2A2A"/>
          <w:sz w:val="22"/>
          <w:szCs w:val="22"/>
        </w:rPr>
        <w:t>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14:paraId="5C4960C1"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State Election Non-Compliance</w:t>
      </w:r>
    </w:p>
    <w:p w14:paraId="0611AAFA" w14:textId="77777777" w:rsidR="00AF3D56" w:rsidRDefault="00000000">
      <w:pPr>
        <w:spacing w:after="120"/>
        <w:ind w:left="431"/>
        <w:jc w:val="both"/>
      </w:pPr>
      <w:r>
        <w:rPr>
          <w:rFonts w:ascii="Garamond" w:eastAsia="Garamond" w:hAnsi="Garamond" w:cs="Garamond"/>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w:t>
        <w:lastRenderedPageBreak/>
        <w:t>that State for that electoral period only; State administration resumes automatically at the conclusion of that period. The State may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6ED8EAA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12AEB42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The Social State and Monetary Authority</w:t>
      </w:r>
    </w:p>
    <w:p w14:paraId="534116F3"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031A54A1" w14:textId="77777777" w:rsidR="00AF3D56" w:rsidRDefault="00000000">
      <w:pPr>
        <w:spacing w:before="200" w:after="60"/>
        <w:ind w:left="431"/>
      </w:pPr>
      <w:r>
        <w:rPr>
          <w:rFonts w:ascii="Courier New" w:eastAsia="Courier New" w:hAnsi="Courier New" w:cs="Courier New"/>
          <w:b/>
          <w:bCs/>
          <w:color w:val="2A2A2A"/>
          <w:sz w:val="18"/>
          <w:szCs w:val="18"/>
        </w:rPr>
        <w:t xml:space="preserve">§12.1.a  </w:t>
      </w:r>
      <w:r>
        <w:rPr>
          <w:rFonts w:ascii="Garamond" w:eastAsia="Garamond" w:hAnsi="Garamond" w:cs="Garamond"/>
          <w:i/>
          <w:iCs/>
          <w:color w:val="1B2A4A"/>
          <w:sz w:val="22"/>
          <w:szCs w:val="22"/>
        </w:rPr>
        <w:t>The Monetary Authority</w:t>
      </w:r>
    </w:p>
    <w:p w14:paraId="242D4AA1"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7B1C2D01" w14:textId="77777777" w:rsidR="00AF3D56" w:rsidRDefault="00000000">
      <w:pPr>
        <w:spacing w:before="200" w:after="60"/>
        <w:ind w:left="431"/>
      </w:pPr>
      <w:r>
        <w:rPr>
          <w:rFonts w:ascii="Courier New" w:eastAsia="Courier New" w:hAnsi="Courier New" w:cs="Courier New"/>
          <w:b/>
          <w:bCs/>
          <w:color w:val="2A2A2A"/>
          <w:sz w:val="18"/>
          <w:szCs w:val="18"/>
        </w:rPr>
        <w:t xml:space="preserve">§12.1.b  </w:t>
      </w:r>
      <w:r>
        <w:rPr>
          <w:rFonts w:ascii="Garamond" w:eastAsia="Garamond" w:hAnsi="Garamond" w:cs="Garamond"/>
          <w:i/>
          <w:iCs/>
          <w:color w:val="1B2A4A"/>
          <w:sz w:val="22"/>
          <w:szCs w:val="22"/>
        </w:rPr>
        <w:t>Monetary Authority Reporting</w:t>
      </w:r>
    </w:p>
    <w:p w14:paraId="7B1C2D02" w14:textId="77777777" w:rsidR="00AF3D56" w:rsidRDefault="00000000">
      <w:pPr>
        <w:spacing w:after="120"/>
        <w:ind w:left="431"/>
        <w:jc w:val="both"/>
      </w:pPr>
      <w:r>
        <w:rPr>
          <w:rFonts w:ascii="Garamond" w:eastAsia="Garamond" w:hAnsi="Garamond" w:cs="Garamond"/>
          <w:color w:val="2A2A2A"/>
          <w:sz w:val="22"/>
          <w:szCs w:val="22"/>
        </w:rPr>
        <w:t>The Monetary Authority publishes a State of the Economy report to the Assembly, the Legat Consul, and the Civic Consul no less than semi-annually; the Legislature may by statute require a more frequent cycle. Each report includes the Monetary Authority’s account of relevant findings from the preceding period under §9.1.b and any applicable §9.5.a compliance findings. The Monetary Authority may publish additional reports at any time circumstances warrant, addressed to the same recipients. Where a Monitor publishes a Fail the publishing Monitor identifies as relevant to the Monetary Authority’s mandate, the Monetary Authority must, within 30 days, submit a report addressing the finding to the Assembly, the Legat Consul, and the Civic Consul, published to the NRS. Submission of that report discharges the Monetary Authority’s obligation under this provision; further action is a matter for the Legislature.</w:t>
      </w:r>
    </w:p>
    <w:p w14:paraId="7894C76C" w14:textId="77777777" w:rsidR="00AF3D56" w:rsidRDefault="00000000">
      <w:pPr>
        <w:spacing w:before="200" w:after="60"/>
        <w:ind w:left="431"/>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Fiscal Accountability</w:t>
      </w:r>
    </w:p>
    <w:p>
      <w:pPr>
        <w:spacing w:after="120"/>
        <w:ind w:left="431"/>
        <w:jc w:val="both"/>
      </w:pPr>
      <w:r>
        <w:rPr>
          <w:rFonts w:ascii="Garamond" w:eastAsia="Garamond" w:hAnsi="Garamond" w:cs="Garamond"/>
          <w:color w:val="2A2A2A"/>
          <w:sz w:val="22"/>
          <w:szCs w:val="22"/>
        </w:rPr>
        <w:t xml:space="preserve">(1) 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w:t>
      </w:r>
    </w:p>
    <w:p>
      <w:pPr>
        <w:spacing w:after="120"/>
        <w:ind w:left="431"/>
        <w:jc w:val="both"/>
      </w:pPr>
      <w:r>
        <w:rPr>
          <w:rFonts w:ascii="Garamond" w:eastAsia="Garamond" w:hAnsi="Garamond" w:cs="Garamond"/>
          <w:color w:val="2A2A2A"/>
          <w:sz w:val="22"/>
          <w:szCs w:val="22"/>
        </w:rPr>
        <w:t xml:space="preserve">(2) The Assembly gives the Consuls' proposals due consideration in preparing the annual budget and is not bound by them.</w:t>
      </w:r>
    </w:p>
    <w:p>
      <w:pPr>
        <w:spacing w:after="120"/>
        <w:ind w:left="431"/>
        <w:jc w:val="both"/>
      </w:pPr>
      <w:r>
        <w:rPr>
          <w:rFonts w:ascii="Garamond" w:eastAsia="Garamond" w:hAnsi="Garamond" w:cs="Garamond"/>
          <w:color w:val="2A2A2A"/>
          <w:sz w:val="22"/>
          <w:szCs w:val="22"/>
        </w:rPr>
        <w:t xml:space="preserve">(3) A Consul's failure to submit a domain proposal does not delay or bar the budget process; the failure is published to the NRS and the Assembly proceeds.</w:t>
      </w:r>
    </w:p>
    <w:p>
      <w:pPr>
        <w:spacing w:after="120"/>
        <w:ind w:left="431"/>
        <w:jc w:val="both"/>
      </w:pPr>
      <w:r>
        <w:rPr>
          <w:rFonts w:ascii="Garamond" w:eastAsia="Garamond" w:hAnsi="Garamond" w:cs="Garamond"/>
          <w:color w:val="2A2A2A"/>
          <w:sz w:val="22"/>
          <w:szCs w:val="22"/>
        </w:rPr>
        <w:t xml:space="preserve">(4) The Legislature must pass a balanced budget or publish a structural deficit justification reviewed by the MA for fiscal accuracy.</w:t>
      </w:r>
    </w:p>
    <w:p>
      <w:pPr>
        <w:spacing w:after="120"/>
        <w:ind w:left="431"/>
        <w:jc w:val="both"/>
      </w:pPr>
      <w:r>
        <w:rPr>
          <w:rFonts w:ascii="Garamond" w:eastAsia="Garamond" w:hAnsi="Garamond" w:cs="Garamond"/>
          <w:color w:val="2A2A2A"/>
          <w:sz w:val="22"/>
          <w:szCs w:val="22"/>
        </w:rPr>
        <w:t xml:space="preserve">(5) Structural deficits above the threshold defined by the MA require a published plan for return to balance.</w:t>
      </w:r>
    </w:p>
    <w:p>
      <w:pPr>
        <w:spacing w:after="120"/>
        <w:ind w:left="431"/>
        <w:jc w:val="both"/>
      </w:pPr>
      <w:r>
        <w:rPr>
          <w:rFonts w:ascii="Garamond" w:eastAsia="Garamond" w:hAnsi="Garamond" w:cs="Garamond"/>
          <w:color w:val="2A2A2A"/>
          <w:sz w:val="22"/>
          <w:szCs w:val="22"/>
        </w:rPr>
        <w:t xml:space="preserve">(6) Where the Legislature fails to enact a budget by the constitutional deadline defined by statute, an interim automatic appropriation takes effect by constitutional operation covering:</w:t>
      </w:r>
    </w:p>
    <w:p>
      <w:pPr>
        <w:spacing w:after="120"/>
        <w:ind w:left="720"/>
        <w:jc w:val="both"/>
      </w:pPr>
      <w:r>
        <w:rPr>
          <w:rFonts w:ascii="Garamond" w:eastAsia="Garamond" w:hAnsi="Garamond" w:cs="Garamond"/>
          <w:color w:val="2A2A2A"/>
          <w:sz w:val="22"/>
          <w:szCs w:val="22"/>
        </w:rPr>
        <w:t xml:space="preserve">— judicial operations, active defense authorizations under §14.2, and social state continuity under §12.1;</w:t>
      </w:r>
    </w:p>
    <w:p>
      <w:pPr>
        <w:spacing w:after="120"/>
        <w:ind w:left="720"/>
        <w:jc w:val="both"/>
      </w:pPr>
      <w:r>
        <w:rPr>
          <w:rFonts w:ascii="Garamond" w:eastAsia="Garamond" w:hAnsi="Garamond" w:cs="Garamond"/>
          <w:color w:val="2A2A2A"/>
          <w:sz w:val="22"/>
          <w:szCs w:val="22"/>
        </w:rPr>
        <w:t xml:space="preserve">— civil service compensation;</w:t>
      </w:r>
    </w:p>
    <w:p>
      <w:pPr>
        <w:spacing w:after="120"/>
        <w:ind w:left="720"/>
        <w:jc w:val="both"/>
      </w:pPr>
      <w:r>
        <w:rPr>
          <w:rFonts w:ascii="Garamond" w:eastAsia="Garamond" w:hAnsi="Garamond" w:cs="Garamond"/>
          <w:color w:val="2A2A2A"/>
          <w:sz w:val="22"/>
          <w:szCs w:val="22"/>
        </w:rPr>
        <w:t xml:space="preserve">— and debt service obligations.</w:t>
      </w:r>
    </w:p>
    <w:p>
      <w:pPr>
        <w:spacing w:after="120"/>
        <w:ind w:left="431"/>
        <w:jc w:val="both"/>
      </w:pPr>
      <w:r>
        <w:rPr>
          <w:rFonts w:ascii="Garamond" w:eastAsia="Garamond" w:hAnsi="Garamond" w:cs="Garamond"/>
          <w:color w:val="2A2A2A"/>
          <w:sz w:val="22"/>
          <w:szCs w:val="22"/>
        </w:rPr>
        <w:t xml:space="preserve">(7) The interim appropriation continues at the prior fiscal year's inflation-adjusted level until a budget is enacted; no new programs may be initiated or expanded under the interim appropriation.</w:t>
      </w:r>
    </w:p>
    <w:p>
      <w:pPr>
        <w:spacing w:after="120"/>
        <w:ind w:left="431"/>
        <w:jc w:val="both"/>
      </w:pPr>
      <w:r>
        <w:rPr>
          <w:rFonts w:ascii="Garamond" w:eastAsia="Garamond" w:hAnsi="Garamond" w:cs="Garamond"/>
          <w:color w:val="2A2A2A"/>
          <w:sz w:val="22"/>
          <w:szCs w:val="22"/>
        </w:rPr>
        <w:t xml:space="preserve">(8)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44C09FA1" w14:textId="77777777" w:rsidR="00AF3D56" w:rsidRDefault="00000000">
      <w:pPr>
        <w:spacing w:before="200" w:after="60"/>
        <w:ind w:left="431"/>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Taxing Power and National Revenue Fund</w:t>
      </w:r>
    </w:p>
    <w:p w14:paraId="2CB8BD2E"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federal body may impose a tax, duty, or levy of any kind. States, Territories, and local governments retain authority to tax within their own jurisdictions, subject to §12.7 and the non-discrimination requirements of §1.6.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463E5172" w14:textId="77777777" w:rsidR="00AF3D56" w:rsidRDefault="00000000">
      <w:pPr>
        <w:spacing w:before="200" w:after="60"/>
        <w:ind w:left="431"/>
      </w:pPr>
      <w:r>
        <w:rPr>
          <w:rFonts w:ascii="Courier New" w:eastAsia="Courier New" w:hAnsi="Courier New" w:cs="Courier New"/>
          <w:b/>
          <w:bCs/>
          <w:color w:val="2A2A2A"/>
          <w:sz w:val="18"/>
          <w:szCs w:val="18"/>
        </w:rPr>
        <w:t xml:space="preserve">§12.4  </w:t>
      </w:r>
      <w:r>
        <w:rPr>
          <w:rFonts w:ascii="Garamond" w:eastAsia="Garamond" w:hAnsi="Garamond" w:cs="Garamond"/>
          <w:i/>
          <w:iCs/>
          <w:color w:val="1B2A4A"/>
          <w:sz w:val="22"/>
          <w:szCs w:val="22"/>
        </w:rPr>
        <w:t>Ethics and Conflict of Interest</w:t>
      </w:r>
    </w:p>
    <w:p>
      <w:pPr>
        <w:spacing w:after="120"/>
        <w:ind w:left="431"/>
        <w:jc w:val="both"/>
      </w:pPr>
      <w:r>
        <w:rPr>
          <w:rFonts w:ascii="Garamond" w:eastAsia="Garamond" w:hAnsi="Garamond" w:cs="Garamond"/>
          <w:color w:val="2A2A2A"/>
          <w:sz w:val="22"/>
          <w:szCs w:val="22"/>
        </w:rPr>
        <w:t xml:space="preserve">(1) A financial interest includes any holding, income source, liability, business relationship, or similar economic interest; a financial interest is disqualifying where it creates a direct and material conflict between an officer's personal economic interest and the impartial exercise of their official duties, with statute permitted to further specify categories and thresholds consistent with this standard.</w:t>
      </w:r>
    </w:p>
    <w:p>
      <w:pPr>
        <w:spacing w:after="120"/>
        <w:ind w:left="431"/>
        <w:jc w:val="both"/>
      </w:pPr>
      <w:r>
        <w:rPr>
          <w:rFonts w:ascii="Garamond" w:eastAsia="Garamond" w:hAnsi="Garamond" w:cs="Garamond"/>
          <w:color w:val="2A2A2A"/>
          <w:sz w:val="22"/>
          <w:szCs w:val="22"/>
        </w:rPr>
        <w:t xml:space="preserve">(2)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w:t>
      </w:r>
    </w:p>
    <w:p>
      <w:pPr>
        <w:spacing w:after="120"/>
        <w:ind w:left="431"/>
        <w:jc w:val="both"/>
      </w:pPr>
      <w:r>
        <w:rPr>
          <w:rFonts w:ascii="Garamond" w:eastAsia="Garamond" w:hAnsi="Garamond" w:cs="Garamond"/>
          <w:color w:val="2A2A2A"/>
          <w:sz w:val="22"/>
          <w:szCs w:val="22"/>
        </w:rPr>
        <w:t xml:space="preserve">(3) Candidates for a Monitor General's own candidate pool are audited for financial disclosure by the other two Monitors jointly rather than by the Monitor whose pool they would join, as provided in §9.3 and §9.4.</w:t>
      </w:r>
    </w:p>
    <w:p>
      <w:pPr>
        <w:spacing w:after="120"/>
        <w:ind w:left="431"/>
        <w:jc w:val="both"/>
      </w:pPr>
      <w:r>
        <w:rPr>
          <w:rFonts w:ascii="Garamond" w:eastAsia="Garamond" w:hAnsi="Garamond" w:cs="Garamond"/>
          <w:color w:val="2A2A2A"/>
          <w:sz w:val="22"/>
          <w:szCs w:val="22"/>
        </w:rPr>
        <w:t xml:space="preserve">(4) Any officer with a direct financial interest in a decision within their authority must recuse themselves; recusal is self-executing.</w:t>
      </w:r>
    </w:p>
    <w:p>
      <w:pPr>
        <w:spacing w:after="120"/>
        <w:ind w:left="431"/>
        <w:jc w:val="both"/>
      </w:pPr>
      <w:r>
        <w:rPr>
          <w:rFonts w:ascii="Garamond" w:eastAsia="Garamond" w:hAnsi="Garamond" w:cs="Garamond"/>
          <w:color w:val="2A2A2A"/>
          <w:sz w:val="22"/>
          <w:szCs w:val="22"/>
        </w:rPr>
        <w:t xml:space="preserve">(5) Any decision made without required recusal is voidable; the relevant chamber may void the decision by simple majority within 90 days of the conflict becoming a matter of public record on the NRS.</w:t>
      </w:r>
    </w:p>
    <w:p>
      <w:pPr>
        <w:spacing w:after="120"/>
        <w:ind w:left="431"/>
        <w:jc w:val="both"/>
      </w:pPr>
      <w:r>
        <w:rPr>
          <w:rFonts w:ascii="Garamond" w:eastAsia="Garamond" w:hAnsi="Garamond" w:cs="Garamond"/>
          <w:color w:val="2A2A2A"/>
          <w:sz w:val="22"/>
          <w:szCs w:val="22"/>
        </w:rPr>
        <w:t xml:space="preserve">(6)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w:t>
      </w:r>
    </w:p>
    <w:p>
      <w:pPr>
        <w:spacing w:after="120"/>
        <w:ind w:left="431"/>
        <w:jc w:val="both"/>
      </w:pPr>
      <w:r>
        <w:rPr>
          <w:rFonts w:ascii="Garamond" w:eastAsia="Garamond" w:hAnsi="Garamond" w:cs="Garamond"/>
          <w:color w:val="2A2A2A"/>
          <w:sz w:val="22"/>
          <w:szCs w:val="22"/>
        </w:rPr>
        <w:t xml:space="preserve">(7) Officers may not accept gifts above a de minimis threshold; all gifts above the threshold must be disclosed to their respective Monitor and deposited with the relevant treasury.</w:t>
      </w:r>
    </w:p>
    <w:p>
      <w:pPr>
        <w:spacing w:after="120"/>
        <w:ind w:left="431"/>
        <w:jc w:val="both"/>
      </w:pPr>
      <w:r>
        <w:rPr>
          <w:rFonts w:ascii="Garamond" w:eastAsia="Garamond" w:hAnsi="Garamond" w:cs="Garamond"/>
          <w:color w:val="2A2A2A"/>
          <w:sz w:val="22"/>
          <w:szCs w:val="22"/>
        </w:rPr>
        <w:t xml:space="preserve">(8) All records created in the exercise of official functions are public records and may not be retained, destroyed, or removed by departing officers.</w:t>
      </w:r>
    </w:p>
    <w:p>
      <w:pPr>
        <w:spacing w:after="120"/>
        <w:ind w:left="431"/>
        <w:jc w:val="both"/>
      </w:pPr>
      <w:r>
        <w:rPr>
          <w:rFonts w:ascii="Garamond" w:eastAsia="Garamond" w:hAnsi="Garamond" w:cs="Garamond"/>
          <w:color w:val="2A2A2A"/>
          <w:sz w:val="22"/>
          <w:szCs w:val="22"/>
        </w:rPr>
        <w:t xml:space="preserve">(9) Each Monitor investigates alleged violations of this section within their respective jurisdiction and publishes findings to the NRS; where findings warrant further action, the Monitor refers to the appropriate authority.</w:t>
      </w:r>
    </w:p>
    <w:p w14:paraId="7F55EDD5" w14:textId="77777777" w:rsidR="00AF3D56" w:rsidRDefault="00000000">
      <w:pPr>
        <w:spacing w:before="200" w:after="60"/>
        <w:ind w:left="431"/>
      </w:pPr>
      <w:r>
        <w:rPr>
          <w:rFonts w:ascii="Courier New" w:eastAsia="Courier New" w:hAnsi="Courier New" w:cs="Courier New"/>
          <w:b/>
          <w:bCs/>
          <w:color w:val="2A2A2A"/>
          <w:sz w:val="18"/>
          <w:szCs w:val="18"/>
        </w:rPr>
        <w:t xml:space="preserve">§12.4.a  </w:t>
      </w:r>
      <w:r>
        <w:rPr>
          <w:rFonts w:ascii="Garamond" w:eastAsia="Garamond" w:hAnsi="Garamond" w:cs="Garamond"/>
          <w:i/>
          <w:iCs/>
          <w:color w:val="1B2A4A"/>
          <w:sz w:val="22"/>
          <w:szCs w:val="22"/>
        </w:rPr>
        <w:t>Codes of Conduct and Recusal</w:t>
      </w:r>
    </w:p>
    <w:p w14:paraId="1E91FD8A" w14:textId="77777777" w:rsidR="00AF3D56" w:rsidRDefault="00000000">
      <w:pPr>
        <w:spacing w:after="120"/>
        <w:ind w:left="431"/>
        <w:jc w:val="both"/>
      </w:pPr>
      <w:r>
        <w:rPr>
          <w:rFonts w:ascii="Garamond" w:eastAsia="Garamond" w:hAnsi="Garamond" w:cs="Garamond"/>
          <w:color w:val="2A2A2A"/>
          <w:sz w:val="22"/>
          <w:szCs w:val="22"/>
        </w:rPr>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§9.9.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61B86608" w14:textId="77777777" w:rsidR="00AF3D56" w:rsidRDefault="00000000">
      <w:pPr>
        <w:spacing w:before="200" w:after="60"/>
        <w:ind w:left="431"/>
      </w:pPr>
      <w:r>
        <w:rPr>
          <w:rFonts w:ascii="Courier New" w:eastAsia="Courier New" w:hAnsi="Courier New" w:cs="Courier New"/>
          <w:b/>
          <w:bCs/>
          <w:color w:val="2A2A2A"/>
          <w:sz w:val="18"/>
          <w:szCs w:val="18"/>
        </w:rPr>
        <w:t xml:space="preserve">§12.4.b  </w:t>
      </w:r>
      <w:r>
        <w:rPr>
          <w:rFonts w:ascii="Garamond" w:eastAsia="Garamond" w:hAnsi="Garamond" w:cs="Garamond"/>
          <w:i/>
          <w:iCs/>
          <w:color w:val="1B2A4A"/>
          <w:sz w:val="22"/>
          <w:szCs w:val="22"/>
        </w:rPr>
        <w:t>Monitor General Disclosure</w:t>
      </w:r>
    </w:p>
    <w:p w14:paraId="7A2F2502"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§9.9.</w:t>
      </w:r>
    </w:p>
    <w:p w14:paraId="7DABB156" w14:textId="77777777" w:rsidR="00AF3D56" w:rsidRDefault="00000000">
      <w:pPr>
        <w:spacing w:before="200" w:after="60"/>
        <w:ind w:left="431"/>
      </w:pPr>
      <w:r>
        <w:rPr>
          <w:rFonts w:ascii="Courier New" w:eastAsia="Courier New" w:hAnsi="Courier New" w:cs="Courier New"/>
          <w:b/>
          <w:bCs/>
          <w:color w:val="2A2A2A"/>
          <w:sz w:val="18"/>
          <w:szCs w:val="18"/>
        </w:rPr>
        <w:t xml:space="preserve">§12.4.c  </w:t>
      </w:r>
      <w:r>
        <w:rPr>
          <w:rFonts w:ascii="Garamond" w:eastAsia="Garamond" w:hAnsi="Garamond" w:cs="Garamond"/>
          <w:i/>
          <w:iCs/>
          <w:color w:val="1B2A4A"/>
          <w:sz w:val="22"/>
          <w:szCs w:val="22"/>
        </w:rPr>
        <w:t>Federal Employee and Military Disclosure</w:t>
      </w:r>
    </w:p>
    <w:p w14:paraId="3EBF3AEF"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4944C50E" w14:textId="77777777" w:rsidR="00AF3D56" w:rsidRDefault="00000000">
      <w:pPr>
        <w:spacing w:before="200" w:after="60"/>
        <w:ind w:left="431"/>
      </w:pPr>
      <w:r>
        <w:rPr>
          <w:rFonts w:ascii="Courier New" w:eastAsia="Courier New" w:hAnsi="Courier New" w:cs="Courier New"/>
          <w:b/>
          <w:bCs/>
          <w:color w:val="2A2A2A"/>
          <w:sz w:val="18"/>
          <w:szCs w:val="18"/>
        </w:rPr>
        <w:t xml:space="preserve">§12.5  </w:t>
      </w:r>
      <w:r>
        <w:rPr>
          <w:rFonts w:ascii="Garamond" w:eastAsia="Garamond" w:hAnsi="Garamond" w:cs="Garamond"/>
          <w:i/>
          <w:iCs/>
          <w:color w:val="1B2A4A"/>
          <w:sz w:val="22"/>
          <w:szCs w:val="22"/>
        </w:rPr>
        <w:t>National Endowment</w:t>
      </w:r>
    </w:p>
    <w:p w14:paraId="6E4888F1" w14:textId="77777777" w:rsidR="00AF3D56" w:rsidRDefault="00000000">
      <w:pPr>
        <w:spacing w:after="120"/>
        <w:ind w:left="431"/>
        <w:jc w:val="both"/>
      </w:pPr>
      <w:r>
        <w:rPr>
          <w:rFonts w:ascii="Garamond" w:eastAsia="Garamond" w:hAnsi="Garamond" w:cs="Garamond"/>
          <w:color w:val="2A2A2A"/>
          <w:sz w:val="22"/>
          <w:szCs w:val="22"/>
        </w:rPr>
        <w:lastRenderedPageBreak/>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 Where a certified Severe Revenue Contraction continues beyond 12 months, continued Endowment disbursement requires authorization by statute, enacted through the ordinary legislative process and renewed at intervals not to exceed 12 months for the duration of the contraction. Where authorization is not renewed, disbursements cease and any adequacy-standard reduction under §1.16 or §1.17 lapses with them. The Monetary Authority's certification of the contraction's end terminates disbursements and any such reduction regardless of authorization status.</w:t>
      </w:r>
    </w:p>
    <w:p w14:paraId="6FBA841A" w14:textId="77777777" w:rsidR="00AF3D56" w:rsidRDefault="00000000">
      <w:pPr>
        <w:spacing w:before="200" w:after="60"/>
        <w:ind w:left="431"/>
      </w:pPr>
      <w:r>
        <w:rPr>
          <w:rFonts w:ascii="Courier New" w:eastAsia="Courier New" w:hAnsi="Courier New" w:cs="Courier New"/>
          <w:b/>
          <w:bCs/>
          <w:color w:val="2A2A2A"/>
          <w:sz w:val="18"/>
          <w:szCs w:val="18"/>
        </w:rPr>
        <w:t xml:space="preserve">§12.6  </w:t>
      </w:r>
      <w:r>
        <w:rPr>
          <w:rFonts w:ascii="Garamond" w:eastAsia="Garamond" w:hAnsi="Garamond" w:cs="Garamond"/>
          <w:i/>
          <w:iCs/>
          <w:color w:val="1B2A4A"/>
          <w:sz w:val="22"/>
          <w:szCs w:val="22"/>
        </w:rPr>
        <w:t>Compensation of Public Officials</w:t>
      </w:r>
    </w:p>
    <w:p w14:paraId="616AD1B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59FBD4C2" w14:textId="77777777" w:rsidR="00AF3D56" w:rsidRDefault="00000000">
      <w:pPr>
        <w:spacing w:before="200" w:after="60"/>
        <w:ind w:left="431"/>
      </w:pPr>
      <w:r>
        <w:rPr>
          <w:rFonts w:ascii="Courier New" w:eastAsia="Courier New" w:hAnsi="Courier New" w:cs="Courier New"/>
          <w:b/>
          <w:bCs/>
          <w:color w:val="2A2A2A"/>
          <w:sz w:val="18"/>
          <w:szCs w:val="18"/>
        </w:rPr>
        <w:t xml:space="preserve">§12.7  </w:t>
      </w:r>
      <w:r>
        <w:rPr>
          <w:rFonts w:ascii="Garamond" w:eastAsia="Garamond" w:hAnsi="Garamond" w:cs="Garamond"/>
          <w:i/>
          <w:iCs/>
          <w:color w:val="1B2A4A"/>
          <w:sz w:val="22"/>
          <w:szCs w:val="22"/>
        </w:rPr>
        <w:t>Internal Commerce</w:t>
      </w:r>
    </w:p>
    <w:p w14:paraId="2D1E05AC"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73CC603D" w14:textId="77777777" w:rsidR="00AF3D56" w:rsidRDefault="00000000">
      <w:pPr>
        <w:spacing w:before="200" w:after="60"/>
        <w:ind w:left="431"/>
      </w:pPr>
      <w:r>
        <w:rPr>
          <w:rFonts w:ascii="Courier New" w:eastAsia="Courier New" w:hAnsi="Courier New" w:cs="Courier New"/>
          <w:b/>
          <w:bCs/>
          <w:color w:val="2A2A2A"/>
          <w:sz w:val="18"/>
          <w:szCs w:val="18"/>
        </w:rPr>
        <w:t xml:space="preserve">§12.8  </w:t>
      </w:r>
      <w:r>
        <w:rPr>
          <w:rFonts w:ascii="Garamond" w:eastAsia="Garamond" w:hAnsi="Garamond" w:cs="Garamond"/>
          <w:i/>
          <w:iCs/>
          <w:color w:val="1B2A4A"/>
          <w:sz w:val="22"/>
          <w:szCs w:val="22"/>
        </w:rPr>
        <w:t>Fiscal Equalization</w:t>
      </w:r>
    </w:p>
    <w:p w14:paraId="0294EC5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publishes its response to the NRS within 90 days.</w:t>
      </w:r>
    </w:p>
    <w:p w14:paraId="263A7E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2D25DBFF" w14:textId="77777777" w:rsidR="00AF3D56" w:rsidRDefault="00000000">
      <w:pPr>
        <w:spacing w:before="200" w:after="60"/>
        <w:ind w:left="431"/>
      </w:pPr>
      <w:r>
        <w:rPr>
          <w:rFonts w:ascii="Courier New" w:eastAsia="Courier New" w:hAnsi="Courier New" w:cs="Courier New"/>
          <w:b/>
          <w:bCs/>
          <w:color w:val="2A2A2A"/>
          <w:sz w:val="18"/>
          <w:szCs w:val="18"/>
        </w:rPr>
        <w:t xml:space="preserve">§13.1  </w:t>
      </w:r>
      <w:r>
        <w:rPr>
          <w:rFonts w:ascii="Garamond" w:eastAsia="Garamond" w:hAnsi="Garamond" w:cs="Garamond"/>
          <w:i/>
          <w:iCs/>
          <w:color w:val="1B2A4A"/>
          <w:sz w:val="22"/>
          <w:szCs w:val="22"/>
        </w:rPr>
        <w:t>Optional Referendum</w:t>
      </w:r>
    </w:p>
    <w:p>
      <w:pPr>
        <w:spacing w:after="120"/>
        <w:ind w:left="431"/>
        <w:jc w:val="both"/>
      </w:pPr>
      <w:r>
        <w:rPr>
          <w:rFonts w:ascii="Garamond" w:eastAsia="Garamond" w:hAnsi="Garamond" w:cs="Garamond"/>
          <w:color w:val="2A2A2A"/>
          <w:sz w:val="22"/>
          <w:szCs w:val="22"/>
        </w:rPr>
        <w:t xml:space="preserve">(1) Citizens may initiate a national referendum to repeal enacted legislation. The petition process begins within 90 days of enactment and proceeds in two phases, each authenticated through the NVS using Citizen Voting Credentials.</w:t>
      </w:r>
    </w:p>
    <w:p>
      <w:pPr>
        <w:spacing w:after="120"/>
        <w:ind w:left="431"/>
        <w:jc w:val="both"/>
      </w:pPr>
      <w:r>
        <w:rPr>
          <w:rFonts w:ascii="Garamond" w:eastAsia="Garamond" w:hAnsi="Garamond" w:cs="Garamond"/>
          <w:color w:val="2A2A2A"/>
          <w:sz w:val="22"/>
          <w:szCs w:val="22"/>
        </w:rPr>
        <w:t xml:space="preserve">(2) Phase One, lasting up to 8 months, requires signatures from citizens equal to a percentage of eligible voters — defined by statute at not less than 0.5% nor more than 3% — in each of at least one-third of all States and Territories.</w:t>
      </w:r>
    </w:p>
    <w:p>
      <w:pPr>
        <w:spacing w:after="120"/>
        <w:ind w:left="431"/>
        <w:jc w:val="both"/>
      </w:pPr>
      <w:r>
        <w:rPr>
          <w:rFonts w:ascii="Garamond" w:eastAsia="Garamond" w:hAnsi="Garamond" w:cs="Garamond"/>
          <w:color w:val="2A2A2A"/>
          <w:sz w:val="22"/>
          <w:szCs w:val="22"/>
        </w:rPr>
        <w:t xml:space="preserve">(3) Phase Two, lasting up to 8 months following Phase One's completion, requires signatures from 5% of eligible voters nationally; signatures gathered in Phase One carry over and count toward this threshold.</w:t>
      </w:r>
    </w:p>
    <w:p>
      <w:pPr>
        <w:spacing w:after="120"/>
        <w:ind w:left="431"/>
        <w:jc w:val="both"/>
      </w:pPr>
      <w:r>
        <w:rPr>
          <w:rFonts w:ascii="Garamond" w:eastAsia="Garamond" w:hAnsi="Garamond" w:cs="Garamond"/>
          <w:color w:val="2A2A2A"/>
          <w:sz w:val="22"/>
          <w:szCs w:val="22"/>
        </w:rPr>
        <w:t xml:space="preserve">(4) Laws that solely or primarily expand an Article I right, budget laws, and laws implementing a constitutionally mandated obligation are ineligible.</w:t>
      </w:r>
    </w:p>
    <w:p>
      <w:pPr>
        <w:spacing w:after="120"/>
        <w:ind w:left="431"/>
        <w:jc w:val="both"/>
      </w:pPr>
      <w:r>
        <w:rPr>
          <w:rFonts w:ascii="Garamond" w:eastAsia="Garamond" w:hAnsi="Garamond" w:cs="Garamond"/>
          <w:color w:val="2A2A2A"/>
          <w:sz w:val="22"/>
          <w:szCs w:val="22"/>
        </w:rPr>
        <w:t xml:space="preserve">(5)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w:t>
      </w:r>
    </w:p>
    <w:p>
      <w:pPr>
        <w:spacing w:after="120"/>
        <w:ind w:left="431"/>
        <w:jc w:val="both"/>
      </w:pPr>
      <w:r>
        <w:rPr>
          <w:rFonts w:ascii="Garamond" w:eastAsia="Garamond" w:hAnsi="Garamond" w:cs="Garamond"/>
          <w:color w:val="2A2A2A"/>
          <w:sz w:val="22"/>
          <w:szCs w:val="22"/>
        </w:rPr>
        <w:t xml:space="preserve">(6)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w:t>
      </w:r>
    </w:p>
    <w:p>
      <w:pPr>
        <w:spacing w:after="120"/>
        <w:ind w:left="431"/>
        <w:jc w:val="both"/>
      </w:pPr>
      <w:r>
        <w:rPr>
          <w:rFonts w:ascii="Garamond" w:eastAsia="Garamond" w:hAnsi="Garamond" w:cs="Garamond"/>
          <w:color w:val="2A2A2A"/>
          <w:sz w:val="22"/>
          <w:szCs w:val="22"/>
        </w:rPr>
        <w:t xml:space="preserve">(7) A failed referendum may not be re-initiated on the same or substantially similar grounds; the Legislature may re-enact a repealed law, which is again subject to referendum.</w:t>
      </w:r>
    </w:p>
    <w:p w14:paraId="56A2B479" w14:textId="77777777" w:rsidR="00AF3D56" w:rsidRDefault="00000000">
      <w:pPr>
        <w:spacing w:before="200" w:after="60"/>
        <w:ind w:left="431"/>
      </w:pPr>
      <w:r>
        <w:rPr>
          <w:rFonts w:ascii="Courier New" w:eastAsia="Courier New" w:hAnsi="Courier New" w:cs="Courier New"/>
          <w:b/>
          <w:bCs/>
          <w:color w:val="2A2A2A"/>
          <w:sz w:val="18"/>
          <w:szCs w:val="18"/>
        </w:rPr>
        <w:t xml:space="preserve">§13.2  </w:t>
      </w:r>
      <w:r>
        <w:rPr>
          <w:rFonts w:ascii="Garamond" w:eastAsia="Garamond" w:hAnsi="Garamond" w:cs="Garamond"/>
          <w:i/>
          <w:iCs/>
          <w:color w:val="1B2A4A"/>
          <w:sz w:val="22"/>
          <w:szCs w:val="22"/>
        </w:rPr>
        <w:t>Citizen Legislative Initiative</w:t>
      </w:r>
    </w:p>
    <w:p w14:paraId="3AF26292"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§7.3  </w:t>
      </w:r>
      <w:r>
        <w:rPr>
          <w:rFonts w:ascii="Garamond" w:eastAsia="Garamond" w:hAnsi="Garamond" w:cs="Garamond"/>
          <w:i/>
          <w:iCs/>
          <w:color w:val="1B2A4A"/>
          <w:sz w:val="22"/>
          <w:szCs w:val="22"/>
        </w:rPr>
        <w:t>Electoral Supermajority Threshold</w:t>
      </w:r>
    </w:p>
    <w:p w14:paraId="743CADFF"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(§7.1); public confirmation of a Supreme Court justice under the Senate bypass mechanism (§4.4.a); public recall of the Legat Consul under §2.13; and the national independence referendum under §15.9.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§7.4  </w:t>
      </w:r>
      <w:r>
        <w:rPr>
          <w:rFonts w:ascii="Garamond" w:eastAsia="Garamond" w:hAnsi="Garamond" w:cs="Garamond"/>
          <w:i/>
          <w:iCs/>
          <w:color w:val="1B2A4A"/>
          <w:sz w:val="22"/>
          <w:szCs w:val="22"/>
        </w:rPr>
        <w:t>Eligibility and Disclosure for Federal Office</w:t>
      </w:r>
    </w:p>
    <w:p>
      <w:pPr>
        <w:spacing w:after="120"/>
        <w:ind w:left="431"/>
        <w:jc w:val="both"/>
      </w:pPr>
      <w:r>
        <w:rPr>
          <w:rFonts w:ascii="Garamond" w:eastAsia="Garamond" w:hAnsi="Garamond" w:cs="Garamond"/>
          <w:color w:val="2A2A2A"/>
          <w:sz w:val="22"/>
          <w:szCs w:val="22"/>
        </w:rPr>
        <w:t xml:space="preserve">(1) Every candidate for federal office, and every person selected or elevated to a federal office without standing for election, shall disclose their criminal history on the official candidacy or acceptance filing, under penalty of perjury; the disclosure is published to the NRS and is available to voters and to any body that selects the officeholder.</w:t>
      </w:r>
    </w:p>
    <w:p>
      <w:pPr>
        <w:spacing w:after="120"/>
        <w:ind w:left="431"/>
        <w:jc w:val="both"/>
      </w:pPr>
      <w:r>
        <w:rPr>
          <w:rFonts w:ascii="Garamond" w:eastAsia="Garamond" w:hAnsi="Garamond" w:cs="Garamond"/>
          <w:color w:val="2A2A2A"/>
          <w:sz w:val="22"/>
          <w:szCs w:val="22"/>
        </w:rPr>
        <w:t xml:space="preserve">(2) A person who has made a current disclosure for one federal office satisfies this requirement for elevation to another so long as the disclosure remains accurate.</w:t>
      </w:r>
    </w:p>
    <w:p>
      <w:pPr>
        <w:spacing w:after="120"/>
        <w:ind w:left="431"/>
        <w:jc w:val="both"/>
      </w:pPr>
      <w:r>
        <w:rPr>
          <w:rFonts w:ascii="Garamond" w:eastAsia="Garamond" w:hAnsi="Garamond" w:cs="Garamond"/>
          <w:color w:val="2A2A2A"/>
          <w:sz w:val="22"/>
          <w:szCs w:val="22"/>
        </w:rPr>
        <w:t xml:space="preserve">(3) A false or incomplete disclosure is itself a federal offense.</w:t>
      </w:r>
    </w:p>
    <w:p>
      <w:pPr>
        <w:spacing w:after="120"/>
        <w:ind w:left="431"/>
        <w:jc w:val="both"/>
      </w:pPr>
      <w:r>
        <w:rPr>
          <w:rFonts w:ascii="Garamond" w:eastAsia="Garamond" w:hAnsi="Garamond" w:cs="Garamond"/>
          <w:color w:val="2A2A2A"/>
          <w:sz w:val="22"/>
          <w:szCs w:val="22"/>
        </w:rPr>
        <w:t xml:space="preserve">(4) No criminal conviction bars a person from federal office except as provided in this section; the weight of a disclosed history is for the voters, or for the selecting body, to judge.</w:t>
      </w:r>
    </w:p>
    <w:p>
      <w:pPr>
        <w:spacing w:after="120"/>
        <w:ind w:left="431"/>
        <w:jc w:val="both"/>
      </w:pPr>
      <w:r>
        <w:rPr>
          <w:rFonts w:ascii="Garamond" w:eastAsia="Garamond" w:hAnsi="Garamond" w:cs="Garamond"/>
          <w:color w:val="2A2A2A"/>
          <w:sz w:val="22"/>
          <w:szCs w:val="22"/>
        </w:rPr>
        <w:t xml:space="preserve">(5) A person convicted of insurrection against the Republic, rebellion against the Republic, treason against the Republic, or subversion of a federal election is barred from holding any federal office. These grounds are exhaustive; no other conviction bars a person from federal office, and any change to these grounds requires constitutional amendment.</w:t>
      </w:r>
    </w:p>
    <w:p>
      <w:pPr>
        <w:spacing w:after="120"/>
        <w:ind w:left="431"/>
        <w:jc w:val="both"/>
      </w:pPr>
      <w:r>
        <w:rPr>
          <w:rFonts w:ascii="Garamond" w:eastAsia="Garamond" w:hAnsi="Garamond" w:cs="Garamond"/>
          <w:color w:val="2A2A2A"/>
          <w:sz w:val="22"/>
          <w:szCs w:val="22"/>
        </w:rPr>
        <w:t xml:space="preserve">(6) This bar requires a conviction, not an accusation or a pending charge.</w:t>
      </w:r>
    </w:p>
    <w:p>
      <w:pPr>
        <w:spacing w:after="120"/>
        <w:ind w:left="431"/>
        <w:jc w:val="both"/>
      </w:pPr>
      <w:r>
        <w:rPr>
          <w:rFonts w:ascii="Garamond" w:eastAsia="Garamond" w:hAnsi="Garamond" w:cs="Garamond"/>
          <w:color w:val="2A2A2A"/>
          <w:sz w:val="22"/>
          <w:szCs w:val="22"/>
        </w:rPr>
        <w:t xml:space="preserve">(7) A person removed from a federal office by an affirmative removal process -- including impeachment, a for-cause removal, a constructive vote of no confidence, or recall -- may not hold or seek that office until the remainder of the electoral cycle in which the removal occurred and one full electoral cycle thereafter have passed. The ordinary expiration of a term, and loss of office through an election, are not removals for purposes of this section.</w:t>
      </w:r>
    </w:p>
    <w:p>
      <w:pPr>
        <w:spacing w:after="120"/>
        <w:ind w:left="431"/>
        <w:jc w:val="both"/>
      </w:pPr>
      <w:r>
        <w:rPr>
          <w:rFonts w:ascii="Garamond" w:eastAsia="Garamond" w:hAnsi="Garamond" w:cs="Garamond"/>
          <w:color w:val="2A2A2A"/>
          <w:sz w:val="22"/>
          <w:szCs w:val="22"/>
        </w:rPr>
        <w:t xml:space="preserve">(8) Where this Constitution bars a person from holding an office, no election, succession, elevation, designation, or automatic assumption may place that person in that office or in an acting exercise of its authority, except where this Constitution expressly provides otherwise. Where an order of succession or acting authority would otherwise place a barred person, the role passes to the next eligible person in the applicable order as if that person were unable to serve.</w:t>
      </w:r>
    </w:p>
    <w:p w14:paraId="56EC121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397EB8F9" w14:textId="77777777" w:rsidR="00AF3D56" w:rsidRDefault="00000000">
      <w:pPr>
        <w:spacing w:before="200" w:after="60"/>
        <w:ind w:left="431"/>
      </w:pPr>
      <w:r>
        <w:rPr>
          <w:rFonts w:ascii="Courier New" w:eastAsia="Courier New" w:hAnsi="Courier New" w:cs="Courier New"/>
          <w:b/>
          <w:bCs/>
          <w:color w:val="2A2A2A"/>
          <w:sz w:val="18"/>
          <w:szCs w:val="18"/>
        </w:rPr>
        <w:t xml:space="preserve">§14.1  </w:t>
      </w:r>
      <w:r>
        <w:rPr>
          <w:rFonts w:ascii="Garamond" w:eastAsia="Garamond" w:hAnsi="Garamond" w:cs="Garamond"/>
          <w:i/>
          <w:iCs/>
          <w:color w:val="1B2A4A"/>
          <w:sz w:val="22"/>
          <w:szCs w:val="22"/>
        </w:rPr>
        <w:t>Authorized Purposes for Military Force</w:t>
      </w:r>
    </w:p>
    <w:p w14:paraId="4D8B004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689652C5" w14:textId="77777777" w:rsidR="00AF3D56" w:rsidRDefault="00000000">
      <w:pPr>
        <w:spacing w:before="200" w:after="60"/>
        <w:ind w:left="431"/>
      </w:pPr>
      <w:r>
        <w:rPr>
          <w:rFonts w:ascii="Courier New" w:eastAsia="Courier New" w:hAnsi="Courier New" w:cs="Courier New"/>
          <w:b/>
          <w:bCs/>
          <w:color w:val="2A2A2A"/>
          <w:sz w:val="18"/>
          <w:szCs w:val="18"/>
        </w:rPr>
        <w:t xml:space="preserve">§14.2  </w:t>
      </w:r>
      <w:r>
        <w:rPr>
          <w:rFonts w:ascii="Garamond" w:eastAsia="Garamond" w:hAnsi="Garamond" w:cs="Garamond"/>
          <w:i/>
          <w:iCs/>
          <w:color w:val="1B2A4A"/>
          <w:sz w:val="22"/>
          <w:szCs w:val="22"/>
        </w:rPr>
        <w:t>Defense Authorization and Allocation</w:t>
      </w:r>
    </w:p>
    <w:p w14:paraId="69F24B7F"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0F47319D" w14:textId="77777777" w:rsidR="00AF3D56" w:rsidRDefault="00000000">
      <w:pPr>
        <w:spacing w:before="200" w:after="60"/>
        <w:ind w:left="431"/>
      </w:pPr>
      <w:r>
        <w:rPr>
          <w:rFonts w:ascii="Courier New" w:eastAsia="Courier New" w:hAnsi="Courier New" w:cs="Courier New"/>
          <w:b/>
          <w:bCs/>
          <w:color w:val="2A2A2A"/>
          <w:sz w:val="18"/>
          <w:szCs w:val="18"/>
        </w:rPr>
        <w:t xml:space="preserve">§14.3  </w:t>
      </w:r>
      <w:r>
        <w:rPr>
          <w:rFonts w:ascii="Garamond" w:eastAsia="Garamond" w:hAnsi="Garamond" w:cs="Garamond"/>
          <w:i/>
          <w:iCs/>
          <w:color w:val="1B2A4A"/>
          <w:sz w:val="22"/>
          <w:szCs w:val="22"/>
        </w:rPr>
        <w:t>Military Accountability</w:t>
      </w:r>
    </w:p>
    <w:p w14:paraId="39470BC8"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759BD6E3" w14:textId="77777777" w:rsidR="00AF3D56" w:rsidRDefault="00000000">
      <w:pPr>
        <w:spacing w:before="200" w:after="60"/>
        <w:ind w:left="431"/>
      </w:pPr>
      <w:r>
        <w:rPr>
          <w:rFonts w:ascii="Courier New" w:eastAsia="Courier New" w:hAnsi="Courier New" w:cs="Courier New"/>
          <w:b/>
          <w:bCs/>
          <w:color w:val="2A2A2A"/>
          <w:sz w:val="18"/>
          <w:szCs w:val="18"/>
        </w:rPr>
        <w:t xml:space="preserve">§14.4  </w:t>
      </w:r>
      <w:r>
        <w:rPr>
          <w:rFonts w:ascii="Garamond" w:eastAsia="Garamond" w:hAnsi="Garamond" w:cs="Garamond"/>
          <w:i/>
          <w:iCs/>
          <w:color w:val="1B2A4A"/>
          <w:sz w:val="22"/>
          <w:szCs w:val="22"/>
        </w:rPr>
        <w:t>Treaty-Based Military Authorization</w:t>
      </w:r>
    </w:p>
    <w:p w14:paraId="768FBD7E"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lastRenderedPageBreak/>
        <w:t>authorization, and the action proceeds under the ordinary terms of this Article from that point. Absent an affirmative vote within the 30-day period, §14.2’s expiration and wind-down provisions apply.</w:t>
      </w:r>
    </w:p>
    <w:p w14:paraId="036594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6B0719C1" w14:textId="77777777" w:rsidR="00AF3D56" w:rsidRDefault="00000000">
      <w:pPr>
        <w:spacing w:before="200" w:after="60"/>
        <w:ind w:left="431"/>
      </w:pPr>
      <w:r>
        <w:rPr>
          <w:rFonts w:ascii="Courier New" w:eastAsia="Courier New" w:hAnsi="Courier New" w:cs="Courier New"/>
          <w:b/>
          <w:bCs/>
          <w:color w:val="2A2A2A"/>
          <w:sz w:val="18"/>
          <w:szCs w:val="18"/>
        </w:rPr>
        <w:t xml:space="preserve">§15.1  </w:t>
      </w:r>
      <w:r>
        <w:rPr>
          <w:rFonts w:ascii="Garamond" w:eastAsia="Garamond" w:hAnsi="Garamond" w:cs="Garamond"/>
          <w:i/>
          <w:iCs/>
          <w:color w:val="1B2A4A"/>
          <w:sz w:val="22"/>
          <w:szCs w:val="22"/>
        </w:rPr>
        <w:t>Territorial Compact</w:t>
      </w:r>
    </w:p>
    <w:p w14:paraId="0A73E2D3"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2D3E4F01" w14:textId="77777777" w:rsidR="00AF3D56" w:rsidRDefault="00000000">
      <w:pPr>
        <w:spacing w:before="200" w:after="60"/>
        <w:ind w:left="431"/>
      </w:pPr>
      <w:r>
        <w:rPr>
          <w:rFonts w:ascii="Courier New" w:eastAsia="Courier New" w:hAnsi="Courier New" w:cs="Courier New"/>
          <w:b/>
          <w:bCs/>
          <w:color w:val="2A2A2A"/>
          <w:sz w:val="18"/>
          <w:szCs w:val="18"/>
        </w:rPr>
        <w:t xml:space="preserve">§15.1.a  </w:t>
      </w:r>
      <w:r>
        <w:rPr>
          <w:rFonts w:ascii="Garamond" w:eastAsia="Garamond" w:hAnsi="Garamond" w:cs="Garamond"/>
          <w:i/>
          <w:iCs/>
          <w:color w:val="1B2A4A"/>
          <w:sz w:val="22"/>
          <w:szCs w:val="22"/>
        </w:rPr>
        <w:t>Provisional Status</w:t>
      </w:r>
    </w:p>
    <w:p w14:paraId="2D3E4F02" w14:textId="77777777" w:rsidR="00AF3D56" w:rsidRDefault="00000000">
      <w:pPr>
        <w:spacing w:after="120"/>
        <w:ind w:left="431"/>
        <w:jc w:val="both"/>
      </w:pPr>
      <w:r>
        <w:rPr>
          <w:rFonts w:ascii="Garamond" w:eastAsia="Garamond" w:hAnsi="Garamond" w:cs="Garamond"/>
          <w:color w:val="2A2A2A"/>
          <w:sz w:val="22"/>
          <w:szCs w:val="22"/>
        </w:rPr>
        <w:t>Provisional status is the intermediate constitutional stage between Territory and full State. A jurisdiction in Provisional status retains full self-governing authority — its legislature, executive, courts, administrative functions, State-level electoral processes, social state access, and Article I protections continue without interruption. No federal Senate elections may be held for a jurisdiction in Provisional status; sitting senators complete their current terms; Senate seats are not filled upon expiry during Provisional status. Full Statehood takes effect automatically and immediately upon publication of a second consecutive clean Statehood Audit finding while in Provisional status to the NRS; no additional vote, legislative act, or executive confirmation is required. Further rules governing transition support, fiscal coordination, and administrative assistance during Provisional status are defined by statute.</w:t>
      </w:r>
    </w:p>
    <w:p w14:paraId="1AD166BC" w14:textId="77777777" w:rsidR="00AF3D56" w:rsidRDefault="00000000">
      <w:pPr>
        <w:spacing w:before="200" w:after="60"/>
        <w:ind w:left="431"/>
      </w:pPr>
      <w:r>
        <w:rPr>
          <w:rFonts w:ascii="Courier New" w:eastAsia="Courier New" w:hAnsi="Courier New" w:cs="Courier New"/>
          <w:b/>
          <w:bCs/>
          <w:color w:val="2A2A2A"/>
          <w:sz w:val="18"/>
          <w:szCs w:val="18"/>
        </w:rPr>
        <w:t xml:space="preserve">§15.2  </w:t>
      </w:r>
      <w:r>
        <w:rPr>
          <w:rFonts w:ascii="Garamond" w:eastAsia="Garamond" w:hAnsi="Garamond" w:cs="Garamond"/>
          <w:i/>
          <w:iCs/>
          <w:color w:val="1B2A4A"/>
          <w:sz w:val="22"/>
          <w:szCs w:val="22"/>
        </w:rPr>
        <w:t>The Statehood Audit</w:t>
      </w:r>
    </w:p>
    <w:p w14:paraId="6E5F08F8" w14:textId="77777777" w:rsidR="00AF3D56" w:rsidRDefault="00000000">
      <w:pPr>
        <w:spacing w:after="120"/>
        <w:ind w:left="431"/>
        <w:jc w:val="both"/>
      </w:pPr>
      <w:r>
        <w:rPr>
          <w:rFonts w:ascii="Garamond" w:eastAsia="Garamond" w:hAnsi="Garamond" w:cs="Garamond"/>
          <w:color w:val="2A2A2A"/>
          <w:sz w:val="22"/>
          <w:szCs w:val="22"/>
        </w:rPr>
        <w:t>The pathway from Territory to State proceeds through Provisional status under §15.1.a upon passing the Statehood Audit — no political vote is required. The JMC administers the Statehood Audit; the Legislature defines audit components, methodology, and resubmission timelines by statute, subject to 2/3 majority of both chambers. A jurisdiction that fails receives specific published findings and may resubmit after addressing the failures. Upon passing, the Territory enters Provisional status immediately. Every State must maintain three ongoing conditions: functioning electoral processes, basic rule of law and judicial function, and Article I rights compliance; annual audit verifies continued compliance.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EE807A8" w14:textId="77777777" w:rsidR="00AF3D56" w:rsidRDefault="00000000">
      <w:pPr>
        <w:spacing w:before="200" w:after="60"/>
        <w:ind w:left="431"/>
      </w:pPr>
      <w:r>
        <w:rPr>
          <w:rFonts w:ascii="Courier New" w:eastAsia="Courier New" w:hAnsi="Courier New" w:cs="Courier New"/>
          <w:b/>
          <w:bCs/>
          <w:color w:val="2A2A2A"/>
          <w:sz w:val="18"/>
          <w:szCs w:val="18"/>
        </w:rPr>
        <w:t xml:space="preserve">§15.3  </w:t>
      </w:r>
      <w:r>
        <w:rPr>
          <w:rFonts w:ascii="Garamond" w:eastAsia="Garamond" w:hAnsi="Garamond" w:cs="Garamond"/>
          <w:i/>
          <w:iCs/>
          <w:color w:val="1B2A4A"/>
          <w:sz w:val="22"/>
          <w:szCs w:val="22"/>
        </w:rPr>
        <w:t>Mandatory Devolution</w:t>
      </w:r>
    </w:p>
    <w:p>
      <w:pPr>
        <w:spacing w:after="120"/>
        <w:ind w:left="431"/>
        <w:jc w:val="both"/>
      </w:pPr>
      <w:r>
        <w:rPr>
          <w:rFonts w:ascii="Garamond" w:eastAsia="Garamond" w:hAnsi="Garamond" w:cs="Garamond"/>
          <w:color w:val="2A2A2A"/>
          <w:sz w:val="22"/>
          <w:szCs w:val="22"/>
        </w:rPr>
        <w:t xml:space="preserve">(1) A State enters Mandatory Devolution upon three consecutive annual Statehood Audit findings of failure published by the JMC.</w:t>
      </w:r>
    </w:p>
    <w:p>
      <w:pPr>
        <w:spacing w:after="120"/>
        <w:ind w:left="431"/>
        <w:jc w:val="both"/>
      </w:pPr>
      <w:r>
        <w:rPr>
          <w:rFonts w:ascii="Garamond" w:eastAsia="Garamond" w:hAnsi="Garamond" w:cs="Garamond"/>
          <w:color w:val="2A2A2A"/>
          <w:sz w:val="22"/>
          <w:szCs w:val="22"/>
        </w:rPr>
        <w:t xml:space="preserve">(2) After each failing audit, the JMC publishes an Early Warning specifying compliance requirements; the State must publish a Remediation Plan within the period defined by statute. Upon three consecutive failures, the State enters Provisional status under §15.1.a.</w:t>
      </w:r>
    </w:p>
    <w:p>
      <w:pPr>
        <w:spacing w:after="120"/>
        <w:ind w:left="431"/>
        <w:jc w:val="both"/>
      </w:pPr>
      <w:r>
        <w:rPr>
          <w:rFonts w:ascii="Garamond" w:eastAsia="Garamond" w:hAnsi="Garamond" w:cs="Garamond"/>
          <w:color w:val="2A2A2A"/>
          <w:sz w:val="22"/>
          <w:szCs w:val="22"/>
        </w:rPr>
        <w:t xml:space="preserve">(3) A Provisional Audit Council activates upon a State entering Provisional status under this section. The Council comprises two officers appointed by the Civic Consul through the standard executive officer appointment process and two delegates appointed by the State legislature; appointments may be changed through the same process by which they were made.</w:t>
      </w:r>
    </w:p>
    <w:p>
      <w:pPr>
        <w:spacing w:after="120"/>
        <w:ind w:left="431"/>
        <w:jc w:val="both"/>
      </w:pPr>
      <w:r>
        <w:rPr>
          <w:rFonts w:ascii="Garamond" w:eastAsia="Garamond" w:hAnsi="Garamond" w:cs="Garamond"/>
          <w:color w:val="2A2A2A"/>
          <w:sz w:val="22"/>
          <w:szCs w:val="22"/>
        </w:rPr>
        <w:t xml:space="preserve">(4) The Council reviews audit findings, proposes remediation plans, and publishes its findings and recommendations to the NRS; the State must publish a formal response within the period defined by statute; the form of response and preparation process are defined by statute. The Council is advisory only — the State legislature retains full legislative authority over all remediation decisions. The Council dissolves automatically upon Statehood restoration.</w:t>
      </w:r>
    </w:p>
    <w:p>
      <w:pPr>
        <w:spacing w:after="120"/>
        <w:ind w:left="431"/>
        <w:jc w:val="both"/>
      </w:pPr>
      <w:r>
        <w:rPr>
          <w:rFonts w:ascii="Garamond" w:eastAsia="Garamond" w:hAnsi="Garamond" w:cs="Garamond"/>
          <w:color w:val="2A2A2A"/>
          <w:sz w:val="22"/>
          <w:szCs w:val="22"/>
        </w:rPr>
        <w:t xml:space="preserve">(5) Upon entering Provisional status under this section, the Elections Panel administers a citizen vote on the principle of pursuing devolution on the same terms as §15.4's voluntary process; upon each subsequent annual audit failure while in Provisional status and no §15.4 negotiation is actively underway following a prior affirmative vote under this section, the Elections Panel administers another citizen vote on the same terms.</w:t>
      </w:r>
    </w:p>
    <w:p>
      <w:pPr>
        <w:spacing w:after="120"/>
        <w:ind w:left="431"/>
        <w:jc w:val="both"/>
      </w:pPr>
      <w:r>
        <w:rPr>
          <w:rFonts w:ascii="Garamond" w:eastAsia="Garamond" w:hAnsi="Garamond" w:cs="Garamond"/>
          <w:color w:val="2A2A2A"/>
          <w:sz w:val="22"/>
          <w:szCs w:val="22"/>
        </w:rPr>
        <w:t xml:space="preserve">(6) An affirmative vote proceeds through negotiation and Senate ratification under §15.4; the State remains in Provisional status throughout that process; absent an affirmative vote, the State continues in Provisional status under this section.</w:t>
      </w:r>
    </w:p>
    <w:p>
      <w:pPr>
        <w:spacing w:after="120"/>
        <w:ind w:left="431"/>
        <w:jc w:val="both"/>
      </w:pPr>
      <w:r>
        <w:rPr>
          <w:rFonts w:ascii="Garamond" w:eastAsia="Garamond" w:hAnsi="Garamond" w:cs="Garamond"/>
          <w:color w:val="2A2A2A"/>
          <w:sz w:val="22"/>
          <w:szCs w:val="22"/>
        </w:rPr>
        <w:t xml:space="preserve">(7) Within 30 days of entering Provisional status under this section, the State may petition the courts on the sole ground that the audit findings are factually insufficient to establish three consecutive failures; the court reviews only the factual basis; process and timeline are defined by statute.</w:t>
      </w:r>
    </w:p>
    <w:p w14:paraId="173529F2" w14:textId="77777777" w:rsidR="00AF3D56" w:rsidRDefault="00000000">
      <w:pPr>
        <w:spacing w:before="200" w:after="60"/>
        <w:ind w:left="431"/>
      </w:pPr>
      <w:r>
        <w:rPr>
          <w:rFonts w:ascii="Courier New" w:eastAsia="Courier New" w:hAnsi="Courier New" w:cs="Courier New"/>
          <w:b/>
          <w:bCs/>
          <w:color w:val="2A2A2A"/>
          <w:sz w:val="18"/>
          <w:szCs w:val="18"/>
        </w:rPr>
        <w:t xml:space="preserve">§15.4  </w:t>
      </w:r>
      <w:r>
        <w:rPr>
          <w:rFonts w:ascii="Garamond" w:eastAsia="Garamond" w:hAnsi="Garamond" w:cs="Garamond"/>
          <w:i/>
          <w:iCs/>
          <w:color w:val="1B2A4A"/>
          <w:sz w:val="22"/>
          <w:szCs w:val="22"/>
        </w:rPr>
        <w:t>Voluntary Devolution and Merger</w:t>
      </w:r>
    </w:p>
    <w:p w14:paraId="6D96E42E" w14:textId="77777777" w:rsidR="00AF3D56" w:rsidRDefault="00000000">
      <w:pPr>
        <w:spacing w:after="120"/>
        <w:ind w:left="431"/>
        <w:jc w:val="both"/>
      </w:pPr>
      <w:r>
        <w:rPr>
          <w:rFonts w:ascii="Garamond" w:eastAsia="Garamond" w:hAnsi="Garamond" w:cs="Garamond"/>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w:t>
        <w:lastRenderedPageBreak/>
        <w:t>Senate approval by 2/3 majority. The agreement specifies asset and liability allocation, transition timeline, constitutional status of successor jurisdictions, fiscal obligations to the Republic, and continuing obligations; it is published to the NRS and legally binding. Where devolution is initiated under this section without prior entry into Provisional status under §15.3, the State retains full State status — including Senate representation — throughout; State status is unchanged unless and until the restructuring agreement takes effect upon Senate ratification.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14:paraId="50BCAC8D" w14:textId="77777777" w:rsidR="00AF3D56" w:rsidRDefault="00000000">
      <w:pPr>
        <w:spacing w:before="200" w:after="60"/>
        <w:ind w:left="431"/>
      </w:pPr>
      <w:r>
        <w:rPr>
          <w:rFonts w:ascii="Courier New" w:eastAsia="Courier New" w:hAnsi="Courier New" w:cs="Courier New"/>
          <w:b/>
          <w:bCs/>
          <w:color w:val="2A2A2A"/>
          <w:sz w:val="18"/>
          <w:szCs w:val="18"/>
        </w:rPr>
        <w:t xml:space="preserve">§15.5  </w:t>
      </w:r>
      <w:r>
        <w:rPr>
          <w:rFonts w:ascii="Garamond" w:eastAsia="Garamond" w:hAnsi="Garamond" w:cs="Garamond"/>
          <w:i/>
          <w:iCs/>
          <w:color w:val="1B2A4A"/>
          <w:sz w:val="22"/>
          <w:szCs w:val="22"/>
        </w:rPr>
        <w:t>Re-Qualification Pathway</w:t>
      </w:r>
    </w:p>
    <w:p w14:paraId="71347004"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§15.2 pathway immediately upon the effective date of devolution — no additional political vote is required. Where a defined geographic subdivision of the Territory separately achieves Statehood under §15.2 or merges with an existing State under §15.4, the remainder continues as Territory without interruption.</w:t>
      </w:r>
    </w:p>
    <w:p w14:paraId="03BA3EA5" w14:textId="77777777" w:rsidR="00AF3D56" w:rsidRDefault="00000000">
      <w:pPr>
        <w:spacing w:before="200" w:after="60"/>
        <w:ind w:left="431"/>
      </w:pPr>
      <w:r>
        <w:rPr>
          <w:rFonts w:ascii="Courier New" w:eastAsia="Courier New" w:hAnsi="Courier New" w:cs="Courier New"/>
          <w:b/>
          <w:bCs/>
          <w:color w:val="2A2A2A"/>
          <w:sz w:val="18"/>
          <w:szCs w:val="18"/>
        </w:rPr>
        <w:t xml:space="preserve">§15.6  </w:t>
      </w:r>
      <w:r>
        <w:rPr>
          <w:rFonts w:ascii="Garamond" w:eastAsia="Garamond" w:hAnsi="Garamond" w:cs="Garamond"/>
          <w:i/>
          <w:iCs/>
          <w:color w:val="1B2A4A"/>
          <w:sz w:val="22"/>
          <w:szCs w:val="22"/>
        </w:rPr>
        <w:t>Voluntary Incorporation</w:t>
      </w:r>
    </w:p>
    <w:p w14:paraId="1B01F6B7" w14:textId="77777777" w:rsidR="00AF3D56" w:rsidRDefault="00000000">
      <w:pPr>
        <w:spacing w:after="120"/>
        <w:ind w:left="431"/>
        <w:jc w:val="both"/>
      </w:pPr>
      <w:r>
        <w:rPr>
          <w:rFonts w:ascii="Garamond" w:eastAsia="Garamond" w:hAnsi="Garamond" w:cs="Garamond"/>
          <w:color w:val="2A2A2A"/>
          <w:sz w:val="22"/>
          <w:szCs w:val="22"/>
        </w:rPr>
        <w:t>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§1.19.a before that ratification vote; published JM findings must be given due consideration. Any person with standing may challenge the incorporation before the SC on the ground that the entity systematically violates §1.19.a. No constitutional officer may condition treaty obligations, trade relations, military cooperation, or foreign aid on any entity's decision to initiate or advance this process. During the Transition Window, a recognized indigenous nation proceeds under §16.2; thereafter, a recognized indigenous nation holding Associated Community status petitions under this provision as a sovereign entity.</w:t>
      </w:r>
    </w:p>
    <w:p w14:paraId="35629BDB" w14:textId="77777777" w:rsidR="00AF3D56" w:rsidRDefault="00000000">
      <w:pPr>
        <w:spacing w:before="200" w:after="60"/>
        <w:ind w:left="431"/>
      </w:pPr>
      <w:r>
        <w:rPr>
          <w:rFonts w:ascii="Courier New" w:eastAsia="Courier New" w:hAnsi="Courier New" w:cs="Courier New"/>
          <w:b/>
          <w:bCs/>
          <w:color w:val="2A2A2A"/>
          <w:sz w:val="18"/>
          <w:szCs w:val="18"/>
        </w:rPr>
        <w:t xml:space="preserve">§15.7  </w:t>
      </w:r>
      <w:r>
        <w:rPr>
          <w:rFonts w:ascii="Garamond" w:eastAsia="Garamond" w:hAnsi="Garamond" w:cs="Garamond"/>
          <w:i/>
          <w:iCs/>
          <w:color w:val="1B2A4A"/>
          <w:sz w:val="22"/>
          <w:szCs w:val="22"/>
        </w:rPr>
        <w:t>State Immutability and Territorial Integrity</w:t>
      </w:r>
    </w:p>
    <w:p w14:paraId="2301DE14" w14:textId="77777777" w:rsidR="00AF3D56" w:rsidRDefault="00000000">
      <w:pPr>
        <w:spacing w:after="120"/>
        <w:ind w:left="431"/>
        <w:jc w:val="both"/>
      </w:pPr>
      <w:r>
        <w:rPr>
          <w:rFonts w:ascii="Garamond" w:eastAsia="Garamond" w:hAnsi="Garamond" w:cs="Garamond"/>
          <w:color w:val="2A2A2A"/>
          <w:sz w:val="22"/>
          <w:szCs w:val="22"/>
        </w:rPr>
        <w:t>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founding status election under §16.2 constitutes the consent mechanism required by this section for indigenous territorial transitions effected during the Transition Window; no additional Popular Ratification is required. Recognition under §16.4 effects no territorial change; post-founding indigenous territorial transitions proceed under Article XVII. A completed process under §15.9, including its national referendum, constitutes the consent mechanism required by this section; no additional amendment or Popular Ratification is required.</w:t>
      </w:r>
    </w:p>
    <w:p w14:paraId="19B15D9D" w14:textId="77777777" w:rsidR="00AF3D56" w:rsidRDefault="00000000">
      <w:pPr>
        <w:spacing w:before="200" w:after="60"/>
        <w:ind w:left="431"/>
      </w:pPr>
      <w:r>
        <w:rPr>
          <w:rFonts w:ascii="Courier New" w:eastAsia="Courier New" w:hAnsi="Courier New" w:cs="Courier New"/>
          <w:b/>
          <w:bCs/>
          <w:color w:val="2A2A2A"/>
          <w:sz w:val="18"/>
          <w:szCs w:val="18"/>
        </w:rPr>
        <w:t xml:space="preserve">§15.8  </w:t>
      </w:r>
      <w:r>
        <w:rPr>
          <w:rFonts w:ascii="Garamond" w:eastAsia="Garamond" w:hAnsi="Garamond" w:cs="Garamond"/>
          <w:i/>
          <w:iCs/>
          <w:color w:val="1B2A4A"/>
          <w:sz w:val="22"/>
          <w:szCs w:val="22"/>
        </w:rPr>
        <w:t>Local Government</w:t>
      </w:r>
    </w:p>
    <w:p w14:paraId="44611A4A"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5C3A62F2" w14:textId="77777777" w:rsidR="00AF3D56" w:rsidRDefault="00000000">
      <w:pPr>
        <w:spacing w:before="200" w:after="60"/>
        <w:ind w:left="431"/>
      </w:pPr>
      <w:r>
        <w:rPr>
          <w:rFonts w:ascii="Courier New" w:eastAsia="Courier New" w:hAnsi="Courier New" w:cs="Courier New"/>
          <w:b/>
          <w:bCs/>
          <w:color w:val="2A2A2A"/>
          <w:sz w:val="18"/>
          <w:szCs w:val="18"/>
        </w:rPr>
        <w:t xml:space="preserve">§15.9  </w:t>
      </w:r>
      <w:r>
        <w:rPr>
          <w:rFonts w:ascii="Garamond" w:eastAsia="Garamond" w:hAnsi="Garamond" w:cs="Garamond"/>
          <w:i/>
          <w:iCs/>
          <w:color w:val="1B2A4A"/>
          <w:sz w:val="22"/>
          <w:szCs w:val="22"/>
        </w:rPr>
        <w:t>Voluntary State Independence</w:t>
      </w:r>
    </w:p>
    <w:p>
      <w:pPr>
        <w:spacing w:after="120"/>
        <w:ind w:left="431"/>
        <w:jc w:val="both"/>
      </w:pPr>
      <w:r>
        <w:rPr>
          <w:rFonts w:ascii="Garamond" w:eastAsia="Garamond" w:hAnsi="Garamond" w:cs="Garamond"/>
          <w:color w:val="2A2A2A"/>
          <w:sz w:val="22"/>
          <w:szCs w:val="22"/>
        </w:rPr>
        <w:t xml:space="preserve">(1) A State may seek independence from the Republic through a three-stage process.</w:t>
      </w:r>
    </w:p>
    <w:p>
      <w:pPr>
        <w:spacing w:after="120"/>
        <w:ind w:left="431"/>
        <w:jc w:val="both"/>
      </w:pPr>
      <w:r>
        <w:rPr>
          <w:rFonts w:ascii="Garamond" w:eastAsia="Garamond" w:hAnsi="Garamond" w:cs="Garamond"/>
          <w:color w:val="2A2A2A"/>
          <w:sz w:val="22"/>
          <w:szCs w:val="22"/>
        </w:rPr>
        <w:t xml:space="preserve">(2)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w:t>
      </w:r>
    </w:p>
    <w:p>
      <w:pPr>
        <w:spacing w:after="120"/>
        <w:ind w:left="431"/>
        <w:jc w:val="both"/>
      </w:pPr>
      <w:r>
        <w:rPr>
          <w:rFonts w:ascii="Garamond" w:eastAsia="Garamond" w:hAnsi="Garamond" w:cs="Garamond"/>
          <w:color w:val="2A2A2A"/>
          <w:sz w:val="22"/>
          <w:szCs w:val="22"/>
        </w:rPr>
        <w:t xml:space="preserve">(3) Upon certification of the referendum result, the Elections Panel publishes the independence petition to the NRS; the petition may not be withdrawn by the State while the process continues.</w:t>
      </w:r>
    </w:p>
    <w:p>
      <w:pPr>
        <w:spacing w:after="120"/>
        <w:ind w:left="431"/>
        <w:jc w:val="both"/>
      </w:pPr>
      <w:r>
        <w:rPr>
          <w:rFonts w:ascii="Garamond" w:eastAsia="Garamond" w:hAnsi="Garamond" w:cs="Garamond"/>
          <w:color w:val="2A2A2A"/>
          <w:sz w:val="22"/>
          <w:szCs w:val="22"/>
        </w:rPr>
        <w:t xml:space="preserve">(4) The Republic may not prefer, discourage, or offer inducements toward any independence petition or referendum; the Republic must provide factual information about the process upon request.</w:t>
      </w:r>
    </w:p>
    <w:p>
      <w:pPr>
        <w:spacing w:after="120"/>
        <w:ind w:left="431"/>
        <w:jc w:val="both"/>
      </w:pPr>
      <w:r>
        <w:rPr>
          <w:rFonts w:ascii="Garamond" w:eastAsia="Garamond" w:hAnsi="Garamond" w:cs="Garamond"/>
          <w:color w:val="2A2A2A"/>
          <w:sz w:val="22"/>
          <w:szCs w:val="22"/>
        </w:rPr>
        <w:t xml:space="preserve">(5) Stage Two requires both chambers to hold a concurrent ratification vote within 90 days of NRS publication; Assembly members elected from districts within the petitioning State and senators elected from the petitioning State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pPr>
        <w:spacing w:after="120"/>
        <w:ind w:left="431"/>
        <w:jc w:val="both"/>
      </w:pPr>
      <w:r>
        <w:rPr>
          <w:rFonts w:ascii="Garamond" w:eastAsia="Garamond" w:hAnsi="Garamond" w:cs="Garamond"/>
          <w:color w:val="2A2A2A"/>
          <w:sz w:val="22"/>
          <w:szCs w:val="22"/>
        </w:rPr>
        <w:t xml:space="preserve">(6) Stage Three requires a national referendum administered by the Elections Panel within 180 days of the Stage Two vote, in which all eligible voters of the Republic — including those of the petitioning State — participate; independence is approved by 60% of votes cast under §7.2 with a minimum 50% citizen participation. Where the referendum fails, the petition lapses and the State may reinitiate Stage One without restriction.</w:t>
      </w:r>
    </w:p>
    <w:p>
      <w:pPr>
        <w:spacing w:after="120"/>
        <w:ind w:left="431"/>
        <w:jc w:val="both"/>
      </w:pPr>
      <w:r>
        <w:rPr>
          <w:rFonts w:ascii="Garamond" w:eastAsia="Garamond" w:hAnsi="Garamond" w:cs="Garamond"/>
          <w:color w:val="2A2A2A"/>
          <w:sz w:val="22"/>
          <w:szCs w:val="22"/>
        </w:rPr>
        <w:t xml:space="preserve">(7) Upon certification of an affirmative Stage Three result, the State and the Legislature negotiate a separation agreement specifying asset and liability allocation, borders, transition timeline, fiscal obligations, and continuing obligations, ratified by the Senate by 2/3 of full seated membership and published to the NRS; independence takes effect on the date the agreement specifies.</w:t>
      </w:r>
    </w:p>
    <w:p w14:paraId="6A68E2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rsidR="00AF3D56" w:rsidRDefault="00000000">
      <w:pPr>
        <w:spacing w:before="200" w:after="60"/>
        <w:ind w:left="431"/>
      </w:pPr>
      <w:r>
        <w:rPr>
          <w:rFonts w:ascii="Courier New" w:eastAsia="Courier New" w:hAnsi="Courier New" w:cs="Courier New"/>
          <w:b/>
          <w:bCs/>
          <w:color w:val="2A2A2A"/>
          <w:sz w:val="18"/>
          <w:szCs w:val="18"/>
        </w:rPr>
        <w:t xml:space="preserve">§16.1  </w:t>
      </w:r>
      <w:r>
        <w:rPr>
          <w:rFonts w:ascii="Garamond" w:eastAsia="Garamond" w:hAnsi="Garamond" w:cs="Garamond"/>
          <w:i/>
          <w:iCs/>
          <w:color w:val="1B2A4A"/>
          <w:sz w:val="22"/>
          <w:szCs w:val="22"/>
        </w:rPr>
        <w:t>Acknowledgment of Prior Sovereignty and Recognition</w:t>
      </w:r>
    </w:p>
    <w:p w:rsidR="00AF3D56" w:rsidRDefault="00000000">
      <w:pPr>
        <w:spacing w:after="120"/>
        <w:ind w:left="431"/>
        <w:jc w:val="both"/>
      </w:pPr>
      <w:r>
        <w:rPr>
          <w:rFonts w:ascii="Garamond" w:eastAsia="Garamond" w:hAnsi="Garamond" w:cs="Garamond"/>
          <w:color w:val="2A2A2A"/>
          <w:sz w:val="22"/>
          <w:szCs w:val="22"/>
        </w:rPr>
        <w:t>Indigenous Nations hold sovereignty that precedes the Republic. This sovereignty is acknowledged, not granted — the Republic's constitutional framework does not create it and may not extinguish it. The Republic deals with recognized indigenous nations as sovereign nations. A recognized indigenous nation, wherever that term appears in this Constitution, means a nation that, as of Day Zero, held a treaty with, a compact with, or formal recognition from a predecessor government, or a nation recognized under §16.4. The joint Monitor panel under §19.3 compiles the founding register of recognized nations from the predecessor record and publishes it to the NRS before the close of Phase 1; compilation is ministerial and applies the predecessor record as it stands. A nation omitted from the founding register may appeal to the SC within the period defined by statute on the sole ground that the predecessor record was misapplied. Recognition confers no territorial rights of itself; no act of recognition alters the Article I rights, citizenship, property, or residency of any person.</w:t>
      </w:r>
    </w:p>
    <w:p w:rsidR="00AF3D56" w:rsidRDefault="00000000">
      <w:pPr>
        <w:spacing w:before="200" w:after="60"/>
        <w:ind w:left="431"/>
      </w:pPr>
      <w:r>
        <w:rPr>
          <w:rFonts w:ascii="Courier New" w:eastAsia="Courier New" w:hAnsi="Courier New" w:cs="Courier New"/>
          <w:b/>
          <w:bCs/>
          <w:color w:val="2A2A2A"/>
          <w:sz w:val="18"/>
          <w:szCs w:val="18"/>
        </w:rPr>
        <w:t xml:space="preserve">§16.2  </w:t>
      </w:r>
      <w:r>
        <w:rPr>
          <w:rFonts w:ascii="Garamond" w:eastAsia="Garamond" w:hAnsi="Garamond" w:cs="Garamond"/>
          <w:i/>
          <w:iCs/>
          <w:color w:val="1B2A4A"/>
          <w:sz w:val="22"/>
          <w:szCs w:val="22"/>
        </w:rPr>
        <w:t>Founding Status Election</w:t>
      </w:r>
    </w:p>
    <w:p>
      <w:pPr>
        <w:spacing w:after="120"/>
        <w:ind w:left="431"/>
        <w:jc w:val="both"/>
      </w:pPr>
      <w:r>
        <w:rPr>
          <w:rFonts w:ascii="Garamond" w:eastAsia="Garamond" w:hAnsi="Garamond" w:cs="Garamond"/>
          <w:color w:val="2A2A2A"/>
          <w:sz w:val="22"/>
          <w:szCs w:val="22"/>
        </w:rPr>
        <w:t xml:space="preserve">(1) At ratification, the Republic formally notifies every nation on the founding register of its rights under this section; notification is published to the NRS.</w:t>
      </w:r>
    </w:p>
    <w:p>
      <w:pPr>
        <w:spacing w:after="120"/>
        <w:ind w:left="431"/>
        <w:jc w:val="both"/>
      </w:pPr>
      <w:r>
        <w:rPr>
          <w:rFonts w:ascii="Garamond" w:eastAsia="Garamond" w:hAnsi="Garamond" w:cs="Garamond"/>
          <w:color w:val="2A2A2A"/>
          <w:sz w:val="22"/>
          <w:szCs w:val="22"/>
        </w:rPr>
        <w:t xml:space="preserve">(2) From Day Zero until the close of the Transition Window under §19.2, each recognized nation may elect, by its own democratic or traditional governance process meeting the standards the nation itself defines for major governance decisions, one of the following statuses, published to the NRS: (a) Associated Community — the nation proceeds as a sovereign nation in a compact relationship with the Republic under Article XX; (b) Territorial Integration — the nation enters the Republic as a Territory under §15.1, with the standard §15.2 Statehood pathway available; the published election constitutes the petition and confirmation required by §15.6, and the nation and the Legislature proceed directly to negotiation of the incorporation agreement, ratified by 2/3 of both chambers.</w:t>
      </w:r>
    </w:p>
    <w:p>
      <w:pPr>
        <w:spacing w:after="120"/>
        <w:ind w:left="431"/>
        <w:jc w:val="both"/>
      </w:pPr>
      <w:r>
        <w:rPr>
          <w:rFonts w:ascii="Garamond" w:eastAsia="Garamond" w:hAnsi="Garamond" w:cs="Garamond"/>
          <w:color w:val="2A2A2A"/>
          <w:sz w:val="22"/>
          <w:szCs w:val="22"/>
        </w:rPr>
        <w:t xml:space="preserve">(3) Associated Community status is the default: a nation that makes no election holds Associated Community status by constitutional operation at the close of the Transition Window.</w:t>
      </w:r>
    </w:p>
    <w:p>
      <w:pPr>
        <w:spacing w:after="120"/>
        <w:ind w:left="431"/>
        <w:jc w:val="both"/>
      </w:pPr>
      <w:r>
        <w:rPr>
          <w:rFonts w:ascii="Garamond" w:eastAsia="Garamond" w:hAnsi="Garamond" w:cs="Garamond"/>
          <w:color w:val="2A2A2A"/>
          <w:sz w:val="22"/>
          <w:szCs w:val="22"/>
        </w:rPr>
        <w:t xml:space="preserve">(4) The Republic may not prefer, discourage, or offer inducements toward any status; it must provide factual information about each status upon request.</w:t>
      </w:r>
    </w:p>
    <w:p>
      <w:pPr>
        <w:spacing w:after="120"/>
        <w:ind w:left="431"/>
        <w:jc w:val="both"/>
      </w:pPr>
      <w:r>
        <w:rPr>
          <w:rFonts w:ascii="Garamond" w:eastAsia="Garamond" w:hAnsi="Garamond" w:cs="Garamond"/>
          <w:color w:val="2A2A2A"/>
          <w:sz w:val="22"/>
          <w:szCs w:val="22"/>
        </w:rPr>
        <w:t xml:space="preserve">(5) Article I applies within the territory of each recognized nation throughout the Transition Window unless the nation, by its own governance process, positively rejects that application, published to the NRS; rejection constitutes an early assertion of the default status.</w:t>
      </w:r>
    </w:p>
    <w:p>
      <w:pPr>
        <w:spacing w:after="120"/>
        <w:ind w:left="431"/>
        <w:jc w:val="both"/>
      </w:pPr>
      <w:r>
        <w:rPr>
          <w:rFonts w:ascii="Garamond" w:eastAsia="Garamond" w:hAnsi="Garamond" w:cs="Garamond"/>
          <w:color w:val="2A2A2A"/>
          <w:sz w:val="22"/>
          <w:szCs w:val="22"/>
        </w:rPr>
        <w:t xml:space="preserve">(6) While Article I so applies, any resident of the nation's territory who believes an Article I right has been violated may bring an Emergency Rights Writ directly to the SC under its original jurisdiction in §4.5; the SC must rule within 7 days; the extension and interim protective order provisions of §4.5 apply.</w:t>
      </w:r>
    </w:p>
    <w:p>
      <w:pPr>
        <w:spacing w:after="120"/>
        <w:ind w:left="431"/>
        <w:jc w:val="both"/>
      </w:pPr>
      <w:r>
        <w:rPr>
          <w:rFonts w:ascii="Garamond" w:eastAsia="Garamond" w:hAnsi="Garamond" w:cs="Garamond"/>
          <w:color w:val="2A2A2A"/>
          <w:sz w:val="22"/>
          <w:szCs w:val="22"/>
        </w:rPr>
        <w:t xml:space="preserve">(7) Indigenous nation membership and Republic citizenship are compatible and independent statuses; no status under this section diminishes the Republic citizenship of any person, consistent with §5.1.</w:t>
      </w:r>
    </w:p>
    <w:p w:rsidR="00AF3D56" w:rsidRDefault="00000000">
      <w:pPr>
        <w:spacing w:before="200" w:after="60"/>
        <w:ind w:left="431"/>
      </w:pPr>
      <w:r>
        <w:rPr>
          <w:rFonts w:ascii="Courier New" w:eastAsia="Courier New" w:hAnsi="Courier New" w:cs="Courier New"/>
          <w:b/>
          <w:bCs/>
          <w:color w:val="2A2A2A"/>
          <w:sz w:val="18"/>
          <w:szCs w:val="18"/>
        </w:rPr>
        <w:t xml:space="preserve">§16.3  </w:t>
      </w:r>
      <w:r>
        <w:rPr>
          <w:rFonts w:ascii="Garamond" w:eastAsia="Garamond" w:hAnsi="Garamond" w:cs="Garamond"/>
          <w:i/>
          <w:iCs/>
          <w:color w:val="1B2A4A"/>
          <w:sz w:val="22"/>
          <w:szCs w:val="22"/>
        </w:rPr>
        <w:t>Treaty Supremacy and Continuity</w:t>
      </w:r>
    </w:p>
    <w:p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regardless of the nation's status under this Constitution. Treaty rights cannot be diminished by legislation — they must be honored, renegotiated with consent, or formally superseded by mutual agreement through negotiation between the Legat Consul and the nation, ratified by the Senate under §3.6.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a ministerial counterpart designated by the Legat Consul and published to the NRS administers the treaty's institutional functions on an interim basis. The EM audits the Republic's compliance with its treaty obligations under this section annually and publishes findings to the NRS.</w:t>
      </w:r>
    </w:p>
    <w:p w:rsidR="00AF3D56" w:rsidRDefault="00000000">
      <w:pPr>
        <w:spacing w:before="200" w:after="60"/>
        <w:ind w:left="431"/>
      </w:pPr>
      <w:r>
        <w:rPr>
          <w:rFonts w:ascii="Courier New" w:eastAsia="Courier New" w:hAnsi="Courier New" w:cs="Courier New"/>
          <w:b/>
          <w:bCs/>
          <w:color w:val="2A2A2A"/>
          <w:sz w:val="18"/>
          <w:szCs w:val="18"/>
        </w:rPr>
        <w:t xml:space="preserve">§16.4  </w:t>
      </w:r>
      <w:r>
        <w:rPr>
          <w:rFonts w:ascii="Garamond" w:eastAsia="Garamond" w:hAnsi="Garamond" w:cs="Garamond"/>
          <w:i/>
          <w:iCs/>
          <w:color w:val="1B2A4A"/>
          <w:sz w:val="22"/>
          <w:szCs w:val="22"/>
        </w:rPr>
        <w:t>Post-Founding Recognition</w:t>
      </w:r>
    </w:p>
    <w:p w:rsidR="00AF3D56" w:rsidRDefault="00000000">
      <w:pPr>
        <w:spacing w:after="120"/>
        <w:ind w:left="431"/>
        <w:jc w:val="both"/>
      </w:pPr>
      <w:r>
        <w:rPr>
          <w:rFonts w:ascii="Garamond" w:eastAsia="Garamond" w:hAnsi="Garamond" w:cs="Garamond"/>
          <w:color w:val="2A2A2A"/>
          <w:sz w:val="22"/>
          <w:szCs w:val="22"/>
        </w:rPr>
        <w:t>A people asserting sovereignty preceding the Republic may submit a claim of prior sovereignty to the JMC at any time after the close of the Transition Window; the claim is published to the NRS. The JMC investigates the claim against the predecessor record and the criteria of §16.1 and publishes its findings to the NRS. The investigation is information-only: the JMC's findings bind no constitutional actor and compel no governmental act. Claimants may present the published findings in a petition for recognition to the Legat Consul, or pursue any legal remedy available under Article I. Where a petition for recognition is submitted, the Legat Consul determines it within the period defined by statute, not to exceed 180 days, with written grounds published to the NRS whether recognition is granted or declined. Recognition under this section activates the Republic's obligations under §16.3, establishes the nation as a collective legal person capable of negotiating with the Republic and entering arrangements under statute and §18.4, and constitutes the factual predicate for any subsequent constitutional amendment under Article XVII concerning the nation's territorial or sovereign status. Recognition under this section confers no territorial rights and effects no change to the Republic's territorial extent; any such change proceeds only under Article XVII, consistent with §15.7. A declined petition may be resubmitted after 5 years or upon a material change in the available record.</w:t>
      </w:r>
    </w:p>
    <w:p w:rsidR="00AF3D56" w:rsidRDefault="00000000">
      <w:pPr>
        <w:spacing w:before="200" w:after="60"/>
        <w:ind w:left="431"/>
      </w:pPr>
      <w:r>
        <w:rPr>
          <w:rFonts w:ascii="Courier New" w:eastAsia="Courier New" w:hAnsi="Courier New" w:cs="Courier New"/>
          <w:b/>
          <w:bCs/>
          <w:color w:val="2A2A2A"/>
          <w:sz w:val="18"/>
          <w:szCs w:val="18"/>
        </w:rPr>
        <w:t xml:space="preserve">§16.5  </w:t>
      </w:r>
      <w:r>
        <w:rPr>
          <w:rFonts w:ascii="Garamond" w:eastAsia="Garamond" w:hAnsi="Garamond" w:cs="Garamond"/>
          <w:i/>
          <w:iCs/>
          <w:color w:val="1B2A4A"/>
          <w:sz w:val="22"/>
          <w:szCs w:val="22"/>
        </w:rPr>
        <w:t>Transition of Existing Arrangements</w:t>
      </w:r>
    </w:p>
    <w:p w:rsidR="00AF3D56" w:rsidRDefault="00000000">
      <w:pPr>
        <w:spacing w:after="120"/>
        <w:ind w:left="431"/>
        <w:jc w:val="both"/>
      </w:pPr>
      <w:r>
        <w:rPr>
          <w:rFonts w:ascii="Garamond" w:eastAsia="Garamond" w:hAnsi="Garamond" w:cs="Garamond"/>
          <w:color w:val="2A2A2A"/>
          <w:sz w:val="22"/>
          <w:szCs w:val="22"/>
        </w:rPr>
        <w:t>Existing arrangements between a recognized nation and the predecessor government — governance, services, land use, borders, trade, and infrastructure — continue provisionally from Day Zero until replaced by an Article XX compact, an incorporation agreement under §16.2, or a treaty instrument under §16.3. For a nation holding Associated Community status, the Republic must open compact negotiations under Article XX within 90 days of the status taking effect and negotiate in good faith; either party may propose terms at any time. Citizenship arrangements follow §5.1 throughout. Either party may petition the SC to resolve specific disputes arising within the provisional framework; nothing in this section delays or conditions the obligations under §16.3.</w:t>
      </w:r>
    </w:p>
    <w:p w14:paraId="5C94506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0DC85A9" w14:textId="77777777" w:rsidR="00AF3D56" w:rsidRDefault="00000000">
      <w:pPr>
        <w:spacing w:before="200" w:after="60"/>
        <w:ind w:left="431"/>
      </w:pPr>
      <w:r>
        <w:rPr>
          <w:rFonts w:ascii="Courier New" w:eastAsia="Courier New" w:hAnsi="Courier New" w:cs="Courier New"/>
          <w:b/>
          <w:bCs/>
          <w:color w:val="2A2A2A"/>
          <w:sz w:val="18"/>
          <w:szCs w:val="18"/>
        </w:rPr>
        <w:t xml:space="preserve">§17.1  </w:t>
      </w:r>
      <w:r>
        <w:rPr>
          <w:rFonts w:ascii="Garamond" w:eastAsia="Garamond" w:hAnsi="Garamond" w:cs="Garamond"/>
          <w:i/>
          <w:iCs/>
          <w:color w:val="1B2A4A"/>
          <w:sz w:val="22"/>
          <w:szCs w:val="22"/>
        </w:rPr>
        <w:t>Amendment Paths</w:t>
      </w:r>
    </w:p>
    <w:p>
      <w:pPr>
        <w:spacing w:after="120"/>
        <w:ind w:left="431"/>
        <w:jc w:val="both"/>
      </w:pPr>
      <w:r>
        <w:rPr>
          <w:rFonts w:ascii="Garamond" w:eastAsia="Garamond" w:hAnsi="Garamond" w:cs="Garamond"/>
          <w:color w:val="2A2A2A"/>
          <w:sz w:val="22"/>
          <w:szCs w:val="22"/>
        </w:rPr>
        <w:t xml:space="preserve">(1) This Constitution may be amended through the parliamentary path or through citizen initiative. No executive signature is required; no executive veto applies. Every member's vote on any amendment is published to the NRS.</w:t>
      </w:r>
    </w:p>
    <w:p>
      <w:pPr>
        <w:spacing w:after="120"/>
        <w:ind w:left="431"/>
        <w:jc w:val="both"/>
      </w:pPr>
      <w:r>
        <w:rPr>
          <w:rFonts w:ascii="Garamond" w:eastAsia="Garamond" w:hAnsi="Garamond" w:cs="Garamond"/>
          <w:color w:val="2A2A2A"/>
          <w:sz w:val="22"/>
          <w:szCs w:val="22"/>
        </w:rPr>
        <w:t xml:space="preserve">(2) A parliamentary amendment requires 2/3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w:t>
      </w:r>
    </w:p>
    <w:p>
      <w:pPr>
        <w:spacing w:after="120"/>
        <w:ind w:left="431"/>
        <w:jc w:val="both"/>
      </w:pPr>
      <w:r>
        <w:rPr>
          <w:rFonts w:ascii="Garamond" w:eastAsia="Garamond" w:hAnsi="Garamond" w:cs="Garamond"/>
          <w:color w:val="2A2A2A"/>
          <w:sz w:val="22"/>
          <w:szCs w:val="22"/>
        </w:rPr>
        <w:t xml:space="preserve">(3)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w:t>
      </w:r>
    </w:p>
    <w:p>
      <w:pPr>
        <w:spacing w:after="120"/>
        <w:ind w:left="431"/>
        <w:jc w:val="both"/>
      </w:pPr>
      <w:r>
        <w:rPr>
          <w:rFonts w:ascii="Garamond" w:eastAsia="Garamond" w:hAnsi="Garamond" w:cs="Garamond"/>
          <w:color w:val="2A2A2A"/>
          <w:sz w:val="22"/>
          <w:szCs w:val="22"/>
        </w:rPr>
        <w:t xml:space="preserve">(4) Amendment of the following provisions requires Popular Ratification regardless of the amendment's origin: the Monitor selection mechanisms and independence protections (§9.2–§9.4), the Monitor information-only mandate and non-dependency principle (§9.1), the Monitor funding guarantee (§9.5),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8034077" w14:textId="77777777" w:rsidR="00AF3D56" w:rsidRDefault="00000000">
      <w:pPr>
        <w:spacing w:before="200" w:after="60"/>
        <w:ind w:left="431"/>
      </w:pPr>
      <w:r>
        <w:rPr>
          <w:rFonts w:ascii="Courier New" w:eastAsia="Courier New" w:hAnsi="Courier New" w:cs="Courier New"/>
          <w:b/>
          <w:bCs/>
          <w:color w:val="2A2A2A"/>
          <w:sz w:val="18"/>
          <w:szCs w:val="18"/>
        </w:rPr>
        <w:t xml:space="preserve">§17.2  </w:t>
      </w:r>
      <w:r>
        <w:rPr>
          <w:rFonts w:ascii="Garamond" w:eastAsia="Garamond" w:hAnsi="Garamond" w:cs="Garamond"/>
          <w:i/>
          <w:iCs/>
          <w:color w:val="1B2A4A"/>
          <w:sz w:val="22"/>
          <w:szCs w:val="22"/>
        </w:rPr>
        <w:t>No Executive Veto; Amendment Takes Effect</w:t>
      </w:r>
    </w:p>
    <w:p w14:paraId="4FCCCD47"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EBF189" w14:textId="77777777" w:rsidR="00AF3D56" w:rsidRDefault="00000000">
      <w:pPr>
        <w:spacing w:before="200" w:after="60"/>
        <w:ind w:left="431"/>
      </w:pPr>
      <w:r>
        <w:rPr>
          <w:rFonts w:ascii="Courier New" w:eastAsia="Courier New" w:hAnsi="Courier New" w:cs="Courier New"/>
          <w:b/>
          <w:bCs/>
          <w:color w:val="2A2A2A"/>
          <w:sz w:val="18"/>
          <w:szCs w:val="18"/>
        </w:rPr>
        <w:t xml:space="preserve">§17.3  </w:t>
      </w:r>
      <w:r>
        <w:rPr>
          <w:rFonts w:ascii="Garamond" w:eastAsia="Garamond" w:hAnsi="Garamond" w:cs="Garamond"/>
          <w:i/>
          <w:iCs/>
          <w:color w:val="1B2A4A"/>
          <w:sz w:val="22"/>
          <w:szCs w:val="22"/>
        </w:rPr>
        <w:t>Amendment Consistency and Supremacy</w:t>
      </w:r>
    </w:p>
    <w:p>
      <w:pPr>
        <w:spacing w:after="120"/>
        <w:ind w:left="431"/>
        <w:jc w:val="both"/>
      </w:pPr>
      <w:r>
        <w:rPr>
          <w:rFonts w:ascii="Garamond" w:eastAsia="Garamond" w:hAnsi="Garamond" w:cs="Garamond"/>
          <w:color w:val="2A2A2A"/>
          <w:sz w:val="22"/>
          <w:szCs w:val="22"/>
        </w:rPr>
        <w:t xml:space="preserve">(1) An amendment that is logically inconsistent with an existing provision must either explicitly repeal the inconsistent provision or the inconsistency is treated as void.</w:t>
      </w:r>
    </w:p>
    <w:p>
      <w:pPr>
        <w:spacing w:after="120"/>
        <w:ind w:left="431"/>
        <w:jc w:val="both"/>
      </w:pPr>
      <w:r>
        <w:rPr>
          <w:rFonts w:ascii="Garamond" w:eastAsia="Garamond" w:hAnsi="Garamond" w:cs="Garamond"/>
          <w:color w:val="2A2A2A"/>
          <w:sz w:val="22"/>
          <w:szCs w:val="22"/>
        </w:rPr>
        <w:t xml:space="preserve">(2)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w:t>
      </w:r>
    </w:p>
    <w:p>
      <w:pPr>
        <w:spacing w:after="120"/>
        <w:ind w:left="431"/>
        <w:jc w:val="both"/>
      </w:pPr>
      <w:r>
        <w:rPr>
          <w:rFonts w:ascii="Garamond" w:eastAsia="Garamond" w:hAnsi="Garamond" w:cs="Garamond"/>
          <w:color w:val="2A2A2A"/>
          <w:sz w:val="22"/>
          <w:szCs w:val="22"/>
        </w:rPr>
        <w:t xml:space="preserve">(3)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§1.19.a; any amendment purporting to do so is void to the extent of the extinguishment, and the SC must so rule under its original jurisdiction in §4.5 on petition of any person with standing.</w:t>
      </w:r>
    </w:p>
    <w:p>
      <w:pPr>
        <w:spacing w:after="120"/>
        <w:ind w:left="431"/>
        <w:jc w:val="both"/>
      </w:pPr>
      <w:r>
        <w:rPr>
          <w:rFonts w:ascii="Garamond" w:eastAsia="Garamond" w:hAnsi="Garamond" w:cs="Garamond"/>
          <w:color w:val="2A2A2A"/>
          <w:sz w:val="22"/>
          <w:szCs w:val="22"/>
        </w:rPr>
        <w:t xml:space="preserve">(4) Amendments take prospective effect from the date of ratification — they do not retroactively alter the constitutionality of acts that were constitutional when performed.</w:t>
      </w:r>
    </w:p>
    <w:p>
      <w:pPr>
        <w:spacing w:after="120"/>
        <w:ind w:left="431"/>
        <w:jc w:val="both"/>
      </w:pPr>
      <w:r>
        <w:rPr>
          <w:rFonts w:ascii="Garamond" w:eastAsia="Garamond" w:hAnsi="Garamond" w:cs="Garamond"/>
          <w:color w:val="2A2A2A"/>
          <w:sz w:val="22"/>
          <w:szCs w:val="22"/>
        </w:rPr>
        <w:t xml:space="preserve">(5) Two amendments may be simultaneously in the ratification process; if both pass, both are law; where they conflict, the one ratified later prevails; where margins and timing are equal, the LM determines precedence from NRS records.</w:t>
      </w:r>
    </w:p>
    <w:p>
      <w:pPr>
        <w:spacing w:after="120"/>
        <w:ind w:left="431"/>
        <w:jc w:val="both"/>
      </w:pPr>
      <w:r>
        <w:rPr>
          <w:rFonts w:ascii="Garamond" w:eastAsia="Garamond" w:hAnsi="Garamond" w:cs="Garamond"/>
          <w:color w:val="2A2A2A"/>
          <w:sz w:val="22"/>
          <w:szCs w:val="22"/>
        </w:rPr>
        <w:t xml:space="preserve">(6) A proposed amendment may be withdrawn at any point before ratification is certified.</w:t>
      </w:r>
    </w:p>
    <w:p w14:paraId="1458AB82" w14:textId="77777777" w:rsidR="00AF3D56" w:rsidRDefault="00000000">
      <w:pPr>
        <w:spacing w:before="200" w:after="60"/>
        <w:ind w:left="431"/>
      </w:pPr>
      <w:r>
        <w:rPr>
          <w:rFonts w:ascii="Courier New" w:eastAsia="Courier New" w:hAnsi="Courier New" w:cs="Courier New"/>
          <w:b/>
          <w:bCs/>
          <w:color w:val="2A2A2A"/>
          <w:sz w:val="18"/>
          <w:szCs w:val="18"/>
        </w:rPr>
        <w:t xml:space="preserve">§17.4  </w:t>
      </w:r>
      <w:r>
        <w:rPr>
          <w:rFonts w:ascii="Garamond" w:eastAsia="Garamond" w:hAnsi="Garamond" w:cs="Garamond"/>
          <w:i/>
          <w:iCs/>
          <w:color w:val="1B2A4A"/>
          <w:sz w:val="22"/>
          <w:szCs w:val="22"/>
        </w:rPr>
        <w:t>Supremacy of This Constitution</w:t>
      </w:r>
    </w:p>
    <w:p w14:paraId="28B84EFA"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41BAA1D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FE07B58" w14:textId="77777777" w:rsidR="00AF3D56" w:rsidRDefault="00000000">
      <w:pPr>
        <w:spacing w:before="200" w:after="60"/>
        <w:ind w:left="431"/>
      </w:pPr>
      <w:r>
        <w:rPr>
          <w:rFonts w:ascii="Courier New" w:eastAsia="Courier New" w:hAnsi="Courier New" w:cs="Courier New"/>
          <w:b/>
          <w:bCs/>
          <w:color w:val="2A2A2A"/>
          <w:sz w:val="18"/>
          <w:szCs w:val="18"/>
        </w:rPr>
        <w:t xml:space="preserve">§18.1  </w:t>
      </w:r>
      <w:r>
        <w:rPr>
          <w:rFonts w:ascii="Garamond" w:eastAsia="Garamond" w:hAnsi="Garamond" w:cs="Garamond"/>
          <w:i/>
          <w:iCs/>
          <w:color w:val="1B2A4A"/>
          <w:sz w:val="22"/>
          <w:szCs w:val="22"/>
        </w:rPr>
        <w:t>The Use Doctrine</w:t>
      </w:r>
    </w:p>
    <w:p w14:paraId="51E8B390"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673D77EC" w14:textId="77777777" w:rsidR="00AF3D56" w:rsidRDefault="00000000">
      <w:pPr>
        <w:spacing w:before="200" w:after="60"/>
        <w:ind w:left="431"/>
      </w:pPr>
      <w:r>
        <w:rPr>
          <w:rFonts w:ascii="Courier New" w:eastAsia="Courier New" w:hAnsi="Courier New" w:cs="Courier New"/>
          <w:b/>
          <w:bCs/>
          <w:color w:val="2A2A2A"/>
          <w:sz w:val="18"/>
          <w:szCs w:val="18"/>
        </w:rPr>
        <w:t xml:space="preserve">§18.2  </w:t>
      </w:r>
      <w:r>
        <w:rPr>
          <w:rFonts w:ascii="Garamond" w:eastAsia="Garamond" w:hAnsi="Garamond" w:cs="Garamond"/>
          <w:i/>
          <w:iCs/>
          <w:color w:val="1B2A4A"/>
          <w:sz w:val="22"/>
          <w:szCs w:val="22"/>
        </w:rPr>
        <w:t>Seat of Government</w:t>
      </w:r>
    </w:p>
    <w:p w14:paraId="3C2E860E"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5FD9A173" w14:textId="77777777" w:rsidR="00AF3D56" w:rsidRDefault="00000000">
      <w:pPr>
        <w:spacing w:before="200" w:after="60"/>
        <w:ind w:left="431"/>
      </w:pPr>
      <w:r>
        <w:rPr>
          <w:rFonts w:ascii="Courier New" w:eastAsia="Courier New" w:hAnsi="Courier New" w:cs="Courier New"/>
          <w:b/>
          <w:bCs/>
          <w:color w:val="2A2A2A"/>
          <w:sz w:val="18"/>
          <w:szCs w:val="18"/>
        </w:rPr>
        <w:t xml:space="preserve">§18.3  </w:t>
      </w:r>
      <w:r>
        <w:rPr>
          <w:rFonts w:ascii="Garamond" w:eastAsia="Garamond" w:hAnsi="Garamond" w:cs="Garamond"/>
          <w:i/>
          <w:iCs/>
          <w:color w:val="1B2A4A"/>
          <w:sz w:val="22"/>
          <w:szCs w:val="22"/>
        </w:rPr>
        <w:t>Operational Use Rights</w:t>
      </w:r>
    </w:p>
    <w:p w14:paraId="3B1394DD"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7942C530" w14:textId="77777777" w:rsidR="00AF3D56" w:rsidRDefault="00000000">
      <w:pPr>
        <w:spacing w:before="200" w:after="60"/>
        <w:ind w:left="431"/>
      </w:pPr>
      <w:r>
        <w:rPr>
          <w:rFonts w:ascii="Courier New" w:eastAsia="Courier New" w:hAnsi="Courier New" w:cs="Courier New"/>
          <w:b/>
          <w:bCs/>
          <w:color w:val="2A2A2A"/>
          <w:sz w:val="18"/>
          <w:szCs w:val="18"/>
        </w:rPr>
        <w:t xml:space="preserve">§18.4  </w:t>
      </w:r>
      <w:r>
        <w:rPr>
          <w:rFonts w:ascii="Garamond" w:eastAsia="Garamond" w:hAnsi="Garamond" w:cs="Garamond"/>
          <w:i/>
          <w:iCs/>
          <w:color w:val="1B2A4A"/>
          <w:sz w:val="22"/>
          <w:szCs w:val="22"/>
        </w:rPr>
        <w:t>The National Trust</w:t>
      </w:r>
    </w:p>
    <w:p w14:paraId="1193B9A7"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recognized indigenous nations,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6B45EED7" w14:textId="77777777" w:rsidR="00AF3D56" w:rsidRDefault="00000000">
      <w:pPr>
        <w:spacing w:before="200" w:after="60"/>
        <w:ind w:left="431"/>
      </w:pPr>
      <w:r>
        <w:rPr>
          <w:rFonts w:ascii="Courier New" w:eastAsia="Courier New" w:hAnsi="Courier New" w:cs="Courier New"/>
          <w:b/>
          <w:bCs/>
          <w:color w:val="2A2A2A"/>
          <w:sz w:val="18"/>
          <w:szCs w:val="18"/>
        </w:rPr>
        <w:t xml:space="preserve">§18.5  </w:t>
      </w:r>
      <w:r>
        <w:rPr>
          <w:rFonts w:ascii="Garamond" w:eastAsia="Garamond" w:hAnsi="Garamond" w:cs="Garamond"/>
          <w:i/>
          <w:iCs/>
          <w:color w:val="1B2A4A"/>
          <w:sz w:val="22"/>
          <w:szCs w:val="22"/>
        </w:rPr>
        <w:t>Federal Property in Territories</w:t>
      </w:r>
    </w:p>
    <w:p w14:paraId="74E8B0A1"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1DCCFA5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BAD8E96" w14:textId="77777777" w:rsidR="00AF3D56" w:rsidRDefault="00000000">
      <w:pPr>
        <w:spacing w:before="200" w:after="60"/>
        <w:ind w:left="431"/>
      </w:pPr>
      <w:r>
        <w:rPr>
          <w:rFonts w:ascii="Courier New" w:eastAsia="Courier New" w:hAnsi="Courier New" w:cs="Courier New"/>
          <w:b/>
          <w:bCs/>
          <w:color w:val="2A2A2A"/>
          <w:sz w:val="18"/>
          <w:szCs w:val="18"/>
        </w:rPr>
        <w:t xml:space="preserve">§19.1  </w:t>
      </w:r>
      <w:r>
        <w:rPr>
          <w:rFonts w:ascii="Garamond" w:eastAsia="Garamond" w:hAnsi="Garamond" w:cs="Garamond"/>
          <w:i/>
          <w:iCs/>
          <w:color w:val="1B2A4A"/>
          <w:sz w:val="22"/>
          <w:szCs w:val="22"/>
        </w:rPr>
        <w:t>Activation Threshold and Ratification</w:t>
      </w:r>
    </w:p>
    <w:p w14:paraId="2C43F14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458CE486" w14:textId="77777777" w:rsidR="00AF3D56" w:rsidRDefault="00000000">
      <w:pPr>
        <w:spacing w:before="200" w:after="60"/>
        <w:ind w:left="431"/>
      </w:pPr>
      <w:r>
        <w:rPr>
          <w:rFonts w:ascii="Courier New" w:eastAsia="Courier New" w:hAnsi="Courier New" w:cs="Courier New"/>
          <w:b/>
          <w:bCs/>
          <w:color w:val="2A2A2A"/>
          <w:sz w:val="18"/>
          <w:szCs w:val="18"/>
        </w:rPr>
        <w:t xml:space="preserve">§19.2  </w:t>
      </w:r>
      <w:r>
        <w:rPr>
          <w:rFonts w:ascii="Garamond" w:eastAsia="Garamond" w:hAnsi="Garamond" w:cs="Garamond"/>
          <w:i/>
          <w:iCs/>
          <w:color w:val="1B2A4A"/>
          <w:sz w:val="22"/>
          <w:szCs w:val="22"/>
        </w:rPr>
        <w:t>Day Zero and Transition</w:t>
      </w:r>
    </w:p>
    <w:p w14:paraId="4927C272"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155B5A1F" w14:textId="77777777" w:rsidR="00AF3D56" w:rsidRDefault="00000000">
      <w:pPr>
        <w:spacing w:before="200" w:after="60"/>
        <w:ind w:left="431"/>
      </w:pPr>
      <w:r>
        <w:rPr>
          <w:rFonts w:ascii="Courier New" w:eastAsia="Courier New" w:hAnsi="Courier New" w:cs="Courier New"/>
          <w:b/>
          <w:bCs/>
          <w:color w:val="2A2A2A"/>
          <w:sz w:val="18"/>
          <w:szCs w:val="18"/>
        </w:rPr>
        <w:t xml:space="preserve">§19.3  </w:t>
      </w:r>
      <w:r>
        <w:rPr>
          <w:rFonts w:ascii="Garamond" w:eastAsia="Garamond" w:hAnsi="Garamond" w:cs="Garamond"/>
          <w:i/>
          <w:iCs/>
          <w:color w:val="1B2A4A"/>
          <w:sz w:val="22"/>
          <w:szCs w:val="22"/>
        </w:rPr>
        <w:t>Caretaker Status</w:t>
      </w:r>
    </w:p>
    <w:p w14:paraId="6C9D0E6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03E9FFE" w14:textId="77777777" w:rsidR="00AF3D56" w:rsidRDefault="00000000">
      <w:pPr>
        <w:spacing w:before="200" w:after="60"/>
        <w:ind w:left="431"/>
      </w:pPr>
      <w:r>
        <w:rPr>
          <w:rFonts w:ascii="Courier New" w:eastAsia="Courier New" w:hAnsi="Courier New" w:cs="Courier New"/>
          <w:b/>
          <w:bCs/>
          <w:color w:val="2A2A2A"/>
          <w:sz w:val="18"/>
          <w:szCs w:val="18"/>
        </w:rPr>
        <w:t xml:space="preserve">§19.4  </w:t>
      </w:r>
      <w:r>
        <w:rPr>
          <w:rFonts w:ascii="Garamond" w:eastAsia="Garamond" w:hAnsi="Garamond" w:cs="Garamond"/>
          <w:i/>
          <w:iCs/>
          <w:color w:val="1B2A4A"/>
          <w:sz w:val="22"/>
          <w:szCs w:val="22"/>
        </w:rPr>
        <w:t>Pre-Constitutional Classified Documents</w:t>
      </w:r>
    </w:p>
    <w:p w14:paraId="5D8CC8FC"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7D07531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§19.5  </w:t>
      </w:r>
      <w:r>
        <w:rPr>
          <w:rFonts w:ascii="Garamond" w:eastAsia="Garamond" w:hAnsi="Garamond" w:cs="Garamond"/>
          <w:i/>
          <w:iCs/>
          <w:color w:val="1B2A4A"/>
          <w:sz w:val="22"/>
          <w:szCs w:val="22"/>
        </w:rPr>
        <w:t>Pre-Existing Obligations</w:t>
      </w:r>
    </w:p>
    <w:p>
      <w:pPr>
        <w:spacing w:after="120"/>
        <w:ind w:left="431"/>
        <w:jc w:val="both"/>
      </w:pPr>
      <w:r>
        <w:rPr>
          <w:rFonts w:ascii="Garamond" w:eastAsia="Garamond" w:hAnsi="Garamond" w:cs="Garamond"/>
          <w:color w:val="2A2A2A"/>
          <w:sz w:val="22"/>
          <w:szCs w:val="22"/>
        </w:rPr>
        <w:t xml:space="preserve">(1) The Republic assumes the public debt obligations of its predecessor government as a constitutional matter — it does not inherit a clean slate.</w:t>
      </w:r>
    </w:p>
    <w:p>
      <w:pPr>
        <w:spacing w:after="120"/>
        <w:ind w:left="431"/>
        <w:jc w:val="both"/>
      </w:pPr>
      <w:r>
        <w:rPr>
          <w:rFonts w:ascii="Garamond" w:eastAsia="Garamond" w:hAnsi="Garamond" w:cs="Garamond"/>
          <w:color w:val="2A2A2A"/>
          <w:sz w:val="22"/>
          <w:szCs w:val="22"/>
        </w:rPr>
        <w:t xml:space="preserve">(2)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w:t>
      </w:r>
    </w:p>
    <w:p>
      <w:pPr>
        <w:spacing w:after="120"/>
        <w:ind w:left="431"/>
        <w:jc w:val="both"/>
      </w:pPr>
      <w:r>
        <w:rPr>
          <w:rFonts w:ascii="Garamond" w:eastAsia="Garamond" w:hAnsi="Garamond" w:cs="Garamond"/>
          <w:color w:val="2A2A2A"/>
          <w:sz w:val="22"/>
          <w:szCs w:val="22"/>
        </w:rPr>
        <w:t xml:space="preserve">(3) Social insurance programs — retirement pensions, disability benefits, health coverage — continue uninterrupted during the Transition Window.</w:t>
      </w:r>
    </w:p>
    <w:p>
      <w:pPr>
        <w:spacing w:after="120"/>
        <w:ind w:left="431"/>
        <w:jc w:val="both"/>
      </w:pPr>
      <w:r>
        <w:rPr>
          <w:rFonts w:ascii="Garamond" w:eastAsia="Garamond" w:hAnsi="Garamond" w:cs="Garamond"/>
          <w:color w:val="2A2A2A"/>
          <w:sz w:val="22"/>
          <w:szCs w:val="22"/>
        </w:rPr>
        <w:t xml:space="preserve">(4) All benefit obligations to persons who served in military or national service under the prior government are inherited and honored; the Legislature must pass a Veterans and National Service Benefits Act within the first budget cycle following Phase 4.</w:t>
      </w:r>
    </w:p>
    <w:p>
      <w:pPr>
        <w:spacing w:after="120"/>
        <w:ind w:left="431"/>
        <w:jc w:val="both"/>
      </w:pPr>
      <w:r>
        <w:rPr>
          <w:rFonts w:ascii="Garamond" w:eastAsia="Garamond" w:hAnsi="Garamond" w:cs="Garamond"/>
          <w:color w:val="2A2A2A"/>
          <w:sz w:val="22"/>
          <w:szCs w:val="22"/>
        </w:rPr>
        <w:t xml:space="preserve">(5)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§1.19.a.</w:t>
      </w:r>
    </w:p>
    <w:p>
      <w:pPr>
        <w:spacing w:after="120"/>
        <w:ind w:left="431"/>
        <w:jc w:val="both"/>
      </w:pPr>
      <w:r>
        <w:rPr>
          <w:rFonts w:ascii="Garamond" w:eastAsia="Garamond" w:hAnsi="Garamond" w:cs="Garamond"/>
          <w:color w:val="2A2A2A"/>
          <w:sz w:val="22"/>
          <w:szCs w:val="22"/>
        </w:rPr>
        <w:t xml:space="preserve">(6)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6F6D0AB" w14:textId="77777777" w:rsidR="00AF3D56" w:rsidRDefault="00000000">
      <w:pPr>
        <w:spacing w:before="200" w:after="60"/>
        <w:ind w:left="431"/>
      </w:pPr>
      <w:r>
        <w:rPr>
          <w:rFonts w:ascii="Courier New" w:eastAsia="Courier New" w:hAnsi="Courier New" w:cs="Courier New"/>
          <w:b/>
          <w:bCs/>
          <w:color w:val="2A2A2A"/>
          <w:sz w:val="18"/>
          <w:szCs w:val="18"/>
        </w:rPr>
        <w:t xml:space="preserve">§19.6  </w:t>
      </w:r>
      <w:r>
        <w:rPr>
          <w:rFonts w:ascii="Garamond" w:eastAsia="Garamond" w:hAnsi="Garamond" w:cs="Garamond"/>
          <w:i/>
          <w:iCs/>
          <w:color w:val="1B2A4A"/>
          <w:sz w:val="22"/>
          <w:szCs w:val="22"/>
        </w:rPr>
        <w:t>Transition Territories</w:t>
      </w:r>
    </w:p>
    <w:p>
      <w:pPr>
        <w:spacing w:after="120"/>
        <w:ind w:left="431"/>
        <w:jc w:val="both"/>
      </w:pPr>
      <w:r>
        <w:rPr>
          <w:rFonts w:ascii="Garamond" w:eastAsia="Garamond" w:hAnsi="Garamond" w:cs="Garamond"/>
          <w:color w:val="2A2A2A"/>
          <w:sz w:val="22"/>
          <w:szCs w:val="22"/>
        </w:rPr>
        <w:t xml:space="preserve">(1) Territories or subdivisions meeting the Statehood Audit by Phase 2 end may petition to enter as State or Territory. Those failing the Statehood Audit enter as Territory and may begin the Statehood Audit immediately.</w:t>
      </w:r>
    </w:p>
    <w:p>
      <w:pPr>
        <w:spacing w:after="120"/>
        <w:ind w:left="431"/>
        <w:jc w:val="both"/>
      </w:pPr>
      <w:r>
        <w:rPr>
          <w:rFonts w:ascii="Garamond" w:eastAsia="Garamond" w:hAnsi="Garamond" w:cs="Garamond"/>
          <w:color w:val="2A2A2A"/>
          <w:sz w:val="22"/>
          <w:szCs w:val="22"/>
        </w:rPr>
        <w:t xml:space="preserve">(2) Any territory may choose Territory status by simple legislative vote regardless of whether it meets the Statehood Audit.</w:t>
      </w:r>
    </w:p>
    <w:p>
      <w:pPr>
        <w:spacing w:after="120"/>
        <w:ind w:left="431"/>
        <w:jc w:val="both"/>
      </w:pPr>
      <w:r>
        <w:rPr>
          <w:rFonts w:ascii="Garamond" w:eastAsia="Garamond" w:hAnsi="Garamond" w:cs="Garamond"/>
          <w:color w:val="2A2A2A"/>
          <w:sz w:val="22"/>
          <w:szCs w:val="22"/>
        </w:rPr>
        <w:t xml:space="preserve">(3) Prior government states or territories may voluntarily subdivide during the Transition Window by vote of their existing legislative body; new subdivisions are treated as separate petitioning entities.</w:t>
      </w:r>
    </w:p>
    <w:p>
      <w:pPr>
        <w:spacing w:after="120"/>
        <w:ind w:left="431"/>
        <w:jc w:val="both"/>
      </w:pPr>
      <w:r>
        <w:rPr>
          <w:rFonts w:ascii="Garamond" w:eastAsia="Garamond" w:hAnsi="Garamond" w:cs="Garamond"/>
          <w:color w:val="2A2A2A"/>
          <w:sz w:val="22"/>
          <w:szCs w:val="22"/>
        </w:rPr>
        <w:t xml:space="preserve">(4) Where a State fails the Phase 2 Statehood Audit, it enters as a Territory; its population retains all Article I rights and participates in first Assembly elections proportionally.</w:t>
      </w:r>
    </w:p>
    <w:p>
      <w:pPr>
        <w:spacing w:after="120"/>
        <w:ind w:left="431"/>
        <w:jc w:val="both"/>
      </w:pPr>
      <w:r>
        <w:rPr>
          <w:rFonts w:ascii="Garamond" w:eastAsia="Garamond" w:hAnsi="Garamond" w:cs="Garamond"/>
          <w:color w:val="2A2A2A"/>
          <w:sz w:val="22"/>
          <w:szCs w:val="22"/>
        </w:rPr>
        <w:t xml:space="preserve">(5)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120"/>
        <w:ind w:left="431"/>
        <w:jc w:val="both"/>
      </w:pPr>
      <w:r>
        <w:rPr>
          <w:rFonts w:ascii="Garamond" w:eastAsia="Garamond" w:hAnsi="Garamond" w:cs="Garamond"/>
          <w:color w:val="2A2A2A"/>
          <w:sz w:val="22"/>
          <w:szCs w:val="22"/>
        </w:rPr>
        <w:t xml:space="preserve">(6) Political entities that held recognized State or equivalent status immediately prior to ratification and choose to enter the Republic as States do so as full States from Day Zero for the purpose of constituting the Senate and seating their legislators.</w:t>
      </w:r>
    </w:p>
    <w:p>
      <w:pPr>
        <w:spacing w:after="120"/>
        <w:ind w:left="431"/>
        <w:jc w:val="both"/>
      </w:pPr>
      <w:r>
        <w:rPr>
          <w:rFonts w:ascii="Garamond" w:eastAsia="Garamond" w:hAnsi="Garamond" w:cs="Garamond"/>
          <w:color w:val="2A2A2A"/>
          <w:sz w:val="22"/>
          <w:szCs w:val="22"/>
        </w:rPr>
        <w:t xml:space="preserve">(7) The annual Statehood Audit under §15.2 applies to all States from the first full audit cycle following Phase 4 activation; no founding status confers exemption from ongoing audit obligations or the consequences of audit failure. All other status determinations — Territory entry, Statehood qualification during the transition window, and post-founding pathways — follow §15.2.</w:t>
      </w:r>
    </w:p>
    <w:p w14:paraId="714F27F0" w14:textId="77777777" w:rsidR="00AF3D56" w:rsidRDefault="00000000">
      <w:pPr>
        <w:spacing w:before="200" w:after="60"/>
        <w:ind w:left="431"/>
      </w:pPr>
      <w:r>
        <w:rPr>
          <w:rFonts w:ascii="Courier New" w:eastAsia="Courier New" w:hAnsi="Courier New" w:cs="Courier New"/>
          <w:b/>
          <w:bCs/>
          <w:color w:val="2A2A2A"/>
          <w:sz w:val="18"/>
          <w:szCs w:val="18"/>
        </w:rPr>
        <w:t xml:space="preserve">§19.7  </w:t>
      </w:r>
      <w:r>
        <w:rPr>
          <w:rFonts w:ascii="Garamond" w:eastAsia="Garamond" w:hAnsi="Garamond" w:cs="Garamond"/>
          <w:i/>
          <w:iCs/>
          <w:color w:val="1B2A4A"/>
          <w:sz w:val="22"/>
          <w:szCs w:val="22"/>
        </w:rPr>
        <w:t>Transition Candidate Registers</w:t>
      </w:r>
    </w:p>
    <w:p w14:paraId="04BC09BE"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the panel compiles the founding register of recognized indigenous nations under §16.1 and publishes it to the NRS before the close of Phase 1;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the MA Director within 90 days of Phase 4 activation. Where the Civic Consul fails to meet this deadline, the LM publishes a compliance finding to the NRS, and the LM's ongoing audit encompasses the unfilled nomination until it is made.</w:t>
      </w:r>
    </w:p>
    <w:p w14:paraId="3CCE728C" w14:textId="77777777" w:rsidR="00AF3D56" w:rsidRDefault="00000000">
      <w:pPr>
        <w:spacing w:before="200" w:after="60"/>
        <w:ind w:left="431"/>
      </w:pPr>
      <w:r>
        <w:rPr>
          <w:rFonts w:ascii="Courier New" w:eastAsia="Courier New" w:hAnsi="Courier New" w:cs="Courier New"/>
          <w:b/>
          <w:bCs/>
          <w:color w:val="2A2A2A"/>
          <w:sz w:val="18"/>
          <w:szCs w:val="18"/>
        </w:rPr>
        <w:t xml:space="preserve">§19.8  </w:t>
      </w:r>
      <w:r>
        <w:rPr>
          <w:rFonts w:ascii="Garamond" w:eastAsia="Garamond" w:hAnsi="Garamond" w:cs="Garamond"/>
          <w:i/>
          <w:iCs/>
          <w:color w:val="1B2A4A"/>
          <w:sz w:val="22"/>
          <w:szCs w:val="22"/>
        </w:rPr>
        <w:t>Transitional Accountability Mechanism</w:t>
      </w:r>
    </w:p>
    <w:p w14:paraId="570D4B5C" w14:textId="77777777" w:rsidR="00AF3D56" w:rsidRDefault="00000000">
      <w:pPr>
        <w:spacing w:after="120"/>
        <w:ind w:left="431"/>
        <w:jc w:val="both"/>
      </w:pPr>
      <w:r>
        <w:rPr>
          <w:rFonts w:ascii="Garamond" w:eastAsia="Garamond" w:hAnsi="Garamond" w:cs="Garamond"/>
          <w:color w:val="2A2A2A"/>
          <w:sz w:val="22"/>
          <w:szCs w:val="22"/>
        </w:rPr>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3410F4D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§19.9  </w:t>
      </w:r>
      <w:r>
        <w:rPr>
          <w:rFonts w:ascii="Garamond" w:eastAsia="Garamond" w:hAnsi="Garamond" w:cs="Garamond"/>
          <w:i/>
          <w:iCs/>
          <w:color w:val="1B2A4A"/>
          <w:sz w:val="22"/>
          <w:szCs w:val="22"/>
        </w:rPr>
        <w:t>Required Statutory Agency Establishment</w:t>
      </w:r>
    </w:p>
    <w:p w14:paraId="098DD5F1" w14:textId="77777777" w:rsidR="00AF3D56" w:rsidRDefault="00000000">
      <w:pPr>
        <w:spacing w:after="120"/>
        <w:ind w:left="431"/>
        <w:jc w:val="both"/>
      </w:pPr>
      <w:r>
        <w:rPr>
          <w:rFonts w:ascii="Garamond" w:eastAsia="Garamond" w:hAnsi="Garamond" w:cs="Garamond"/>
          <w:color w:val="2A2A2A"/>
          <w:sz w:val="22"/>
          <w:szCs w:val="22"/>
        </w:rPr>
        <w:t>Where this Constitution assigns a specific function to a statutory independent agency under §3.9, the Legislature must establish that agency within the following timeframes from Phase 4 activation: the civic proficiency assessment administrator under §5.1, within 180 days; the census agency under §3.2, within 18 months; the Monetary Authority under §12.1.a,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 Monitor in lieu of establishing the required agency. The Legislature must by statute establish the transition from any predecessor voting infrastructure to the constitutionally required NVS, ensuring no gap in democratic participation.</w:t>
      </w:r>
    </w:p>
    <w:p w14:paraId="21553F5E"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5E6CB131" w14:textId="77777777" w:rsidR="00AF3D56" w:rsidRDefault="00000000">
      <w:pPr>
        <w:spacing w:before="200" w:after="60"/>
        <w:ind w:left="431"/>
      </w:pPr>
      <w:r>
        <w:rPr>
          <w:rFonts w:ascii="Courier New" w:eastAsia="Courier New" w:hAnsi="Courier New" w:cs="Courier New"/>
          <w:b/>
          <w:bCs/>
          <w:color w:val="2A2A2A"/>
          <w:sz w:val="18"/>
          <w:szCs w:val="18"/>
        </w:rPr>
        <w:t xml:space="preserve">§20.1  </w:t>
      </w:r>
      <w:r>
        <w:rPr>
          <w:rFonts w:ascii="Garamond" w:eastAsia="Garamond" w:hAnsi="Garamond" w:cs="Garamond"/>
          <w:i/>
          <w:iCs/>
          <w:color w:val="1B2A4A"/>
          <w:sz w:val="22"/>
          <w:szCs w:val="22"/>
        </w:rPr>
        <w:t>Associated Community Status</w:t>
      </w:r>
    </w:p>
    <w:p w14:paraId="0AD69FE9"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recognized indigenous nations holding Associated Community status under §16.2, to sovereign nations that have achieved full sovereignty through the constitutional amendment process, and to independent nations outside the Republic seeking a defined relationship.</w:t>
      </w:r>
    </w:p>
    <w:p w14:paraId="66C171D4" w14:textId="77777777" w:rsidR="00AF3D56" w:rsidRDefault="00000000">
      <w:pPr>
        <w:spacing w:before="200" w:after="60"/>
        <w:ind w:left="431"/>
      </w:pPr>
      <w:r>
        <w:rPr>
          <w:rFonts w:ascii="Courier New" w:eastAsia="Courier New" w:hAnsi="Courier New" w:cs="Courier New"/>
          <w:b/>
          <w:bCs/>
          <w:color w:val="2A2A2A"/>
          <w:sz w:val="18"/>
          <w:szCs w:val="18"/>
        </w:rPr>
        <w:t xml:space="preserve">§20.2  </w:t>
      </w:r>
      <w:r>
        <w:rPr>
          <w:rFonts w:ascii="Garamond" w:eastAsia="Garamond" w:hAnsi="Garamond" w:cs="Garamond"/>
          <w:i/>
          <w:iCs/>
          <w:color w:val="1B2A4A"/>
          <w:sz w:val="22"/>
          <w:szCs w:val="22"/>
        </w:rPr>
        <w:t>Compact Terms and Equal Sovereignty</w:t>
      </w:r>
    </w:p>
    <w:p w14:paraId="2638B719"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68D4EED4" w14:textId="77777777" w:rsidR="00AF3D56" w:rsidRDefault="00000000">
      <w:pPr>
        <w:spacing w:before="200" w:after="60"/>
        <w:ind w:left="431"/>
      </w:pPr>
      <w:r>
        <w:rPr>
          <w:rFonts w:ascii="Courier New" w:eastAsia="Courier New" w:hAnsi="Courier New" w:cs="Courier New"/>
          <w:b/>
          <w:bCs/>
          <w:color w:val="2A2A2A"/>
          <w:sz w:val="18"/>
          <w:szCs w:val="18"/>
        </w:rPr>
        <w:t xml:space="preserve">§20.3  </w:t>
      </w:r>
      <w:r>
        <w:rPr>
          <w:rFonts w:ascii="Garamond" w:eastAsia="Garamond" w:hAnsi="Garamond" w:cs="Garamond"/>
          <w:i/>
          <w:iCs/>
          <w:color w:val="1B2A4A"/>
          <w:sz w:val="22"/>
          <w:szCs w:val="22"/>
        </w:rPr>
        <w:t>Compact Conditions and Compliance</w:t>
      </w:r>
    </w:p>
    <w:p>
      <w:pPr>
        <w:spacing w:after="120"/>
        <w:ind w:left="431"/>
        <w:jc w:val="both"/>
      </w:pPr>
      <w:r>
        <w:rPr>
          <w:rFonts w:ascii="Garamond" w:eastAsia="Garamond" w:hAnsi="Garamond" w:cs="Garamond"/>
          <w:color w:val="2A2A2A"/>
          <w:sz w:val="22"/>
          <w:szCs w:val="22"/>
        </w:rPr>
        <w:t xml:space="preserve">(1) No compact may be entered or ratified with any entity whose governance practices include, authorize, or systematically permit violations of any of the non-derogable rights established in §1.19.a, committed against any person within its jurisdiction.</w:t>
      </w:r>
    </w:p>
    <w:p>
      <w:pPr>
        <w:spacing w:after="120"/>
        <w:ind w:left="431"/>
        <w:jc w:val="both"/>
      </w:pPr>
      <w:r>
        <w:rPr>
          <w:rFonts w:ascii="Garamond" w:eastAsia="Garamond" w:hAnsi="Garamond" w:cs="Garamond"/>
          <w:color w:val="2A2A2A"/>
          <w:sz w:val="22"/>
          <w:szCs w:val="22"/>
        </w:rPr>
        <w:t xml:space="preserve">(2) The JM conducts annual compliance reviews and publishes findings to the NRS. Where the JM finds systematic violations of §1.19.a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w:t>
      </w:r>
    </w:p>
    <w:p>
      <w:pPr>
        <w:spacing w:after="120"/>
        <w:ind w:left="431"/>
        <w:jc w:val="both"/>
      </w:pPr>
      <w:r>
        <w:rPr>
          <w:rFonts w:ascii="Garamond" w:eastAsia="Garamond" w:hAnsi="Garamond" w:cs="Garamond"/>
          <w:color w:val="2A2A2A"/>
          <w:sz w:val="22"/>
          <w:szCs w:val="22"/>
        </w:rPr>
        <w:t xml:space="preserve">(3) The arbitration panel may determine compact termination on confirmed violations without remediation within the period the compact specifies.</w:t>
      </w:r>
    </w:p>
    <w:p>
      <w:pPr>
        <w:spacing w:after="120"/>
        <w:ind w:left="431"/>
        <w:jc w:val="both"/>
      </w:pPr>
      <w:r>
        <w:rPr>
          <w:rFonts w:ascii="Garamond" w:eastAsia="Garamond" w:hAnsi="Garamond" w:cs="Garamond"/>
          <w:color w:val="2A2A2A"/>
          <w:sz w:val="22"/>
          <w:szCs w:val="22"/>
        </w:rPr>
        <w:t xml:space="preserve">(4) Economic value of the compact relationship is not a factor in JM assessment or arbitration review.</w:t>
      </w:r>
    </w:p>
    <w:p>
      <w:pPr>
        <w:spacing w:after="120"/>
        <w:ind w:left="431"/>
        <w:jc w:val="both"/>
      </w:pPr>
      <w:r>
        <w:rPr>
          <w:rFonts w:ascii="Garamond" w:eastAsia="Garamond" w:hAnsi="Garamond" w:cs="Garamond"/>
          <w:color w:val="2A2A2A"/>
          <w:sz w:val="22"/>
          <w:szCs w:val="22"/>
        </w:rPr>
        <w:t xml:space="preserve">(5)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w:t>
      </w:r>
    </w:p>
    <w:p>
      <w:pPr>
        <w:spacing w:after="120"/>
        <w:ind w:left="431"/>
        <w:jc w:val="both"/>
      </w:pPr>
      <w:r>
        <w:rPr>
          <w:rFonts w:ascii="Garamond" w:eastAsia="Garamond" w:hAnsi="Garamond" w:cs="Garamond"/>
          <w:color w:val="2A2A2A"/>
          <w:sz w:val="22"/>
          <w:szCs w:val="22"/>
        </w:rPr>
        <w:t xml:space="preserve">(6) Compact suspension means the Associated Community's observer delegate participation rights are suspended for the duration of the review; all other compact obligations of both parties continue in effect pending the arbitration panel's final determination.</w:t>
      </w:r>
    </w:p>
    <w:p w14:paraId="33C3AD4B" w14:textId="77777777" w:rsidR="00AF3D56" w:rsidRDefault="00000000">
      <w:pPr>
        <w:spacing w:before="200" w:after="60"/>
        <w:ind w:left="431"/>
      </w:pPr>
      <w:r>
        <w:rPr>
          <w:rFonts w:ascii="Courier New" w:eastAsia="Courier New" w:hAnsi="Courier New" w:cs="Courier New"/>
          <w:b/>
          <w:bCs/>
          <w:color w:val="2A2A2A"/>
          <w:sz w:val="18"/>
          <w:szCs w:val="18"/>
        </w:rPr>
        <w:t xml:space="preserve">§20.4  </w:t>
      </w:r>
      <w:r>
        <w:rPr>
          <w:rFonts w:ascii="Garamond" w:eastAsia="Garamond" w:hAnsi="Garamond" w:cs="Garamond"/>
          <w:i/>
          <w:iCs/>
          <w:color w:val="1B2A4A"/>
          <w:sz w:val="22"/>
          <w:szCs w:val="22"/>
        </w:rPr>
        <w:t>Sovereign Mobility</w:t>
      </w:r>
    </w:p>
    <w:p w14:paraId="74DBEAD6"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33CD16B8" w14:textId="77777777" w:rsidR="00AF3D56" w:rsidRDefault="00000000">
      <w:pPr>
        <w:spacing w:before="200" w:after="60"/>
        <w:ind w:left="431"/>
      </w:pPr>
      <w:r>
        <w:rPr>
          <w:rFonts w:ascii="Courier New" w:eastAsia="Courier New" w:hAnsi="Courier New" w:cs="Courier New"/>
          <w:b/>
          <w:bCs/>
          <w:color w:val="2A2A2A"/>
          <w:sz w:val="18"/>
          <w:szCs w:val="18"/>
        </w:rPr>
        <w:t xml:space="preserve">§20.5  </w:t>
      </w:r>
      <w:r>
        <w:rPr>
          <w:rFonts w:ascii="Garamond" w:eastAsia="Garamond" w:hAnsi="Garamond" w:cs="Garamond"/>
          <w:i/>
          <w:iCs/>
          <w:color w:val="1B2A4A"/>
          <w:sz w:val="22"/>
          <w:szCs w:val="22"/>
        </w:rPr>
        <w:t>Reciprocal Obligations and Review</w:t>
      </w:r>
    </w:p>
    <w:p w14:paraId="5DED57CD" w14:textId="77777777" w:rsidR="00AF3D56" w:rsidRDefault="00000000">
      <w:pPr>
        <w:spacing w:after="120"/>
        <w:ind w:left="431"/>
        <w:jc w:val="both"/>
      </w:pPr>
      <w:r>
        <w:rPr>
          <w:rFonts w:ascii="Garamond" w:eastAsia="Garamond" w:hAnsi="Garamond" w:cs="Garamond"/>
          <w:color w:val="2A2A2A"/>
          <w:sz w:val="22"/>
          <w:szCs w:val="22"/>
        </w:rPr>
        <w:t xml:space="preserve">The compact must specify with particularity the reciprocal obligations of both parties and the review mechanism. The Associated Community holds obligations to the Republic as well as rights from it. Review </w:t>
        <w:lastRenderedPageBreak/>
        <w:t>must be scheduled at regular intervals defined in the compact; either party may request a review outside the schedule by providing written notice to the NRS.</w:t>
      </w:r>
    </w:p>
    <w:p w14:paraId="754E2DD5" w14:textId="77777777" w:rsidR="00AF3D56" w:rsidRDefault="00000000">
      <w:pPr>
        <w:spacing w:before="200" w:after="60"/>
        <w:ind w:left="431"/>
      </w:pPr>
      <w:r>
        <w:rPr>
          <w:rFonts w:ascii="Courier New" w:eastAsia="Courier New" w:hAnsi="Courier New" w:cs="Courier New"/>
          <w:b/>
          <w:bCs/>
          <w:color w:val="2A2A2A"/>
          <w:sz w:val="18"/>
          <w:szCs w:val="18"/>
        </w:rPr>
        <w:t xml:space="preserve">§20.6  </w:t>
      </w:r>
      <w:r>
        <w:rPr>
          <w:rFonts w:ascii="Garamond" w:eastAsia="Garamond" w:hAnsi="Garamond" w:cs="Garamond"/>
          <w:i/>
          <w:iCs/>
          <w:color w:val="1B2A4A"/>
          <w:sz w:val="22"/>
          <w:szCs w:val="22"/>
        </w:rPr>
        <w:t>Compact Ratification</w:t>
      </w:r>
    </w:p>
    <w:p w14:paraId="534146D4"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0A471600" w14:textId="77777777" w:rsidR="00AF3D56" w:rsidRDefault="00000000">
      <w:pPr>
        <w:spacing w:before="200" w:after="60"/>
        <w:ind w:left="431"/>
      </w:pPr>
      <w:r>
        <w:rPr>
          <w:rFonts w:ascii="Courier New" w:eastAsia="Courier New" w:hAnsi="Courier New" w:cs="Courier New"/>
          <w:b/>
          <w:bCs/>
          <w:color w:val="2A2A2A"/>
          <w:sz w:val="18"/>
          <w:szCs w:val="18"/>
        </w:rPr>
        <w:t xml:space="preserve">§20.7  </w:t>
      </w:r>
      <w:r>
        <w:rPr>
          <w:rFonts w:ascii="Garamond" w:eastAsia="Garamond" w:hAnsi="Garamond" w:cs="Garamond"/>
          <w:i/>
          <w:iCs/>
          <w:color w:val="1B2A4A"/>
          <w:sz w:val="22"/>
          <w:szCs w:val="22"/>
        </w:rPr>
        <w:t>Compact Continuity</w:t>
      </w:r>
    </w:p>
    <w:p w14:paraId="6423AF73"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123DDD"/>
    <w:rsid w:val="005F487F"/>
    <w:rsid w:val="0088569E"/>
    <w:rsid w:val="00940D3B"/>
    <w:rsid w:val="00AD76A6"/>
    <w:rsid w:val="00AF3D56"/>
    <w:rsid w:val="00CD141D"/>
    <w:rsid w:val="00F6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99269"/>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24570</Words>
  <Characters>140050</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4</cp:revision>
  <dcterms:created xsi:type="dcterms:W3CDTF">2026-07-06T19:02:00Z</dcterms:created>
  <dcterms:modified xsi:type="dcterms:W3CDTF">2026-07-07T12:40:00Z</dcterms:modified>
</cp:coreProperties>
</file>