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§1.7.</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pPr>
        <w:spacing w:after="120"/>
        <w:ind w:left="431"/>
        <w:jc w:val="both"/>
      </w:pPr>
      <w:r>
        <w:rPr>
          <w:rFonts w:ascii="Garamond" w:eastAsia="Garamond" w:hAnsi="Garamond" w:cs="Garamond"/>
          <w:color w:val="2A2A2A"/>
          <w:sz w:val="22"/>
          <w:szCs w:val="22"/>
        </w:rPr>
        <w:t xml:space="preserve">(1) 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w:t>
      </w:r>
    </w:p>
    <w:p>
      <w:pPr>
        <w:spacing w:after="120"/>
        <w:ind w:left="431"/>
        <w:jc w:val="both"/>
      </w:pPr>
      <w:r>
        <w:rPr>
          <w:rFonts w:ascii="Garamond" w:eastAsia="Garamond" w:hAnsi="Garamond" w:cs="Garamond"/>
          <w:color w:val="2A2A2A"/>
          <w:sz w:val="22"/>
          <w:szCs w:val="22"/>
        </w:rPr>
        <w:t xml:space="preserve">(2) The audit mandate is information-only; the lottery administration mandate is ministerial — the JM administers the process and certifies the result, but cannot influence the outcome.</w:t>
      </w:r>
    </w:p>
    <w:p>
      <w:pPr>
        <w:spacing w:after="120"/>
        <w:ind w:left="431"/>
        <w:jc w:val="both"/>
      </w:pPr>
      <w:r>
        <w:rPr>
          <w:rFonts w:ascii="Garamond" w:eastAsia="Garamond" w:hAnsi="Garamond" w:cs="Garamond"/>
          <w:color w:val="2A2A2A"/>
          <w:sz w:val="22"/>
          <w:szCs w:val="22"/>
        </w:rPr>
        <w:t xml:space="preserve">(3)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w:t>
      </w:r>
    </w:p>
    <w:p>
      <w:pPr>
        <w:spacing w:after="120"/>
        <w:ind w:left="431"/>
        <w:jc w:val="both"/>
      </w:pPr>
      <w:r>
        <w:rPr>
          <w:rFonts w:ascii="Garamond" w:eastAsia="Garamond" w:hAnsi="Garamond" w:cs="Garamond"/>
          <w:color w:val="2A2A2A"/>
          <w:sz w:val="22"/>
          <w:szCs w:val="22"/>
        </w:rPr>
        <w:t xml:space="preserve">(4) Any candidate removed from a ballot by the Elections Panel may appeal to the Appellate Court within 14 days; the Court reviews only whether eligibility criteria were correctly applied and must rule within 21 days.</w:t>
      </w:r>
    </w:p>
    <w:p>
      <w:pPr>
        <w:spacing w:after="120"/>
        <w:ind w:left="431"/>
        <w:jc w:val="both"/>
      </w:pPr>
      <w:r>
        <w:rPr>
          <w:rFonts w:ascii="Garamond" w:eastAsia="Garamond" w:hAnsi="Garamond" w:cs="Garamond"/>
          <w:color w:val="2A2A2A"/>
          <w:sz w:val="22"/>
          <w:szCs w:val="22"/>
        </w:rPr>
        <w:t xml:space="preserve">(5)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w:t>
      </w:r>
    </w:p>
    <w:p>
      <w:pPr>
        <w:spacing w:after="120"/>
        <w:ind w:left="431"/>
        <w:jc w:val="both"/>
      </w:pPr>
      <w:r>
        <w:rPr>
          <w:rFonts w:ascii="Garamond" w:eastAsia="Garamond" w:hAnsi="Garamond" w:cs="Garamond"/>
          <w:color w:val="2A2A2A"/>
          <w:sz w:val="22"/>
          <w:szCs w:val="22"/>
        </w:rPr>
        <w:t xml:space="preserve">(6) The JM holds no role in constituting or certifying its own candidate pool. The Elections Panel applies the eligibility criteria and enters qualifying applicants into the pool.</w:t>
      </w:r>
    </w:p>
    <w:p>
      <w:pPr>
        <w:spacing w:after="120"/>
        <w:ind w:left="431"/>
        <w:jc w:val="both"/>
      </w:pPr>
      <w:r>
        <w:rPr>
          <w:rFonts w:ascii="Garamond" w:eastAsia="Garamond" w:hAnsi="Garamond" w:cs="Garamond"/>
          <w:color w:val="2A2A2A"/>
          <w:sz w:val="22"/>
          <w:szCs w:val="22"/>
        </w:rPr>
        <w:t xml:space="preserve">(7) The LM's ongoing audit encompasses verification of judicial service records; the EM's ongoing audit encompasses financial disclosure review; both publish findings to the NRS.</w:t>
      </w:r>
    </w:p>
    <w:p>
      <w:pPr>
        <w:spacing w:after="120"/>
        <w:ind w:left="431"/>
        <w:jc w:val="both"/>
      </w:pPr>
      <w:r>
        <w:rPr>
          <w:rFonts w:ascii="Garamond" w:eastAsia="Garamond" w:hAnsi="Garamond" w:cs="Garamond"/>
          <w:color w:val="2A2A2A"/>
          <w:sz w:val="22"/>
          <w:szCs w:val="22"/>
        </w:rPr>
        <w:t xml:space="preserve">(8)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pPr>
        <w:spacing w:after="120"/>
        <w:ind w:left="431"/>
        <w:jc w:val="both"/>
      </w:pPr>
      <w:r>
        <w:rPr>
          <w:rFonts w:ascii="Garamond" w:eastAsia="Garamond" w:hAnsi="Garamond" w:cs="Garamond"/>
          <w:color w:val="2A2A2A"/>
          <w:sz w:val="22"/>
          <w:szCs w:val="22"/>
        </w:rPr>
        <w:t xml:space="preserve">(1) The three Monitor Generals jointly constitute the JMC as the standing coordination body for matters crossing Monitor jurisdictions.</w:t>
      </w:r>
    </w:p>
    <w:p>
      <w:pPr>
        <w:spacing w:after="120"/>
        <w:ind w:left="431"/>
        <w:jc w:val="both"/>
      </w:pPr>
      <w:r>
        <w:rPr>
          <w:rFonts w:ascii="Garamond" w:eastAsia="Garamond" w:hAnsi="Garamond" w:cs="Garamond"/>
          <w:color w:val="2A2A2A"/>
          <w:sz w:val="22"/>
          <w:szCs w:val="22"/>
        </w:rPr>
        <w:t xml:space="preserve">(2) The JMC formally houses all jointly administered constitutional functions — including lottery draws and selection processes throughout the constitution.</w:t>
      </w:r>
    </w:p>
    <w:p>
      <w:pPr>
        <w:spacing w:after="120"/>
        <w:ind w:left="431"/>
        <w:jc w:val="both"/>
      </w:pPr>
      <w:r>
        <w:rPr>
          <w:rFonts w:ascii="Garamond" w:eastAsia="Garamond" w:hAnsi="Garamond" w:cs="Garamond"/>
          <w:color w:val="2A2A2A"/>
          <w:sz w:val="22"/>
          <w:szCs w:val="22"/>
        </w:rPr>
        <w:t xml:space="preserve">(3) The chair of any joint session is the Monitor General whose domain covers the primary subject matter; where all domains are equally engaged, the chair rotates annually.</w:t>
      </w:r>
    </w:p>
    <w:p>
      <w:pPr>
        <w:spacing w:after="120"/>
        <w:ind w:left="431"/>
        <w:jc w:val="both"/>
      </w:pPr>
      <w:r>
        <w:rPr>
          <w:rFonts w:ascii="Garamond" w:eastAsia="Garamond" w:hAnsi="Garamond" w:cs="Garamond"/>
          <w:color w:val="2A2A2A"/>
          <w:sz w:val="22"/>
          <w:szCs w:val="22"/>
        </w:rPr>
        <w:t xml:space="preserve">(4)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w:t>
      </w:r>
    </w:p>
    <w:p>
      <w:pPr>
        <w:spacing w:after="120"/>
        <w:ind w:left="431"/>
        <w:jc w:val="both"/>
      </w:pPr>
      <w:r>
        <w:rPr>
          <w:rFonts w:ascii="Garamond" w:eastAsia="Garamond" w:hAnsi="Garamond" w:cs="Garamond"/>
          <w:color w:val="2A2A2A"/>
          <w:sz w:val="22"/>
          <w:szCs w:val="22"/>
        </w:rPr>
        <w:t xml:space="preserve">(5)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w:t>
      </w:r>
    </w:p>
    <w:p>
      <w:pPr>
        <w:spacing w:after="120"/>
        <w:ind w:left="431"/>
        <w:jc w:val="both"/>
      </w:pPr>
      <w:r>
        <w:rPr>
          <w:rFonts w:ascii="Garamond" w:eastAsia="Garamond" w:hAnsi="Garamond" w:cs="Garamond"/>
          <w:color w:val="2A2A2A"/>
          <w:sz w:val="22"/>
          <w:szCs w:val="22"/>
        </w:rPr>
        <w:t xml:space="preserve">(6)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w:t>
      </w:r>
    </w:p>
    <w:p>
      <w:pPr>
        <w:spacing w:after="120"/>
        <w:ind w:left="431"/>
        <w:jc w:val="both"/>
      </w:pPr>
      <w:r>
        <w:rPr>
          <w:rFonts w:ascii="Garamond" w:eastAsia="Garamond" w:hAnsi="Garamond" w:cs="Garamond"/>
          <w:color w:val="2A2A2A"/>
          <w:sz w:val="22"/>
          <w:szCs w:val="22"/>
        </w:rPr>
        <w:t xml:space="preserve">(7)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w:t>
      </w:r>
    </w:p>
    <w:p>
      <w:pPr>
        <w:spacing w:after="120"/>
        <w:ind w:left="431"/>
        <w:jc w:val="both"/>
      </w:pPr>
      <w:r>
        <w:rPr>
          <w:rFonts w:ascii="Garamond" w:eastAsia="Garamond" w:hAnsi="Garamond" w:cs="Garamond"/>
          <w:color w:val="2A2A2A"/>
          <w:sz w:val="22"/>
          <w:szCs w:val="22"/>
        </w:rPr>
        <w:t xml:space="preserve">(8)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pPr>
        <w:spacing w:after="120"/>
        <w:ind w:left="431"/>
        <w:jc w:val="both"/>
      </w:pPr>
      <w:r>
        <w:rPr>
          <w:rFonts w:ascii="Garamond" w:eastAsia="Garamond" w:hAnsi="Garamond" w:cs="Garamond"/>
          <w:color w:val="2A2A2A"/>
          <w:sz w:val="22"/>
          <w:szCs w:val="22"/>
        </w:rPr>
        <w:t xml:space="preserve">(1) The Elections Panel maintains all constitutional candidate registries and pools, including the Judicial Pool, and administers public access to their records via the NRS.</w:t>
      </w:r>
    </w:p>
    <w:p>
      <w:pPr>
        <w:spacing w:after="120"/>
        <w:ind w:left="431"/>
        <w:jc w:val="both"/>
      </w:pPr>
      <w:r>
        <w:rPr>
          <w:rFonts w:ascii="Garamond" w:eastAsia="Garamond" w:hAnsi="Garamond" w:cs="Garamond"/>
          <w:color w:val="2A2A2A"/>
          <w:sz w:val="22"/>
          <w:szCs w:val="22"/>
        </w:rPr>
        <w:t xml:space="preserve">(2) Each pool is subject to ongoing Monitor audit; findings are published to the NRS.</w:t>
      </w:r>
    </w:p>
    <w:p>
      <w:pPr>
        <w:spacing w:after="120"/>
        <w:ind w:left="431"/>
        <w:jc w:val="both"/>
      </w:pPr>
      <w:r>
        <w:rPr>
          <w:rFonts w:ascii="Garamond" w:eastAsia="Garamond" w:hAnsi="Garamond" w:cs="Garamond"/>
          <w:color w:val="2A2A2A"/>
          <w:sz w:val="22"/>
          <w:szCs w:val="22"/>
        </w:rPr>
        <w:t xml:space="preserve">(3) Lottery draws are conducted by the JMC in a public session and published to the NRS.</w:t>
      </w:r>
    </w:p>
    <w:p>
      <w:pPr>
        <w:spacing w:after="120"/>
        <w:ind w:left="431"/>
        <w:jc w:val="both"/>
      </w:pPr>
      <w:r>
        <w:rPr>
          <w:rFonts w:ascii="Garamond" w:eastAsia="Garamond" w:hAnsi="Garamond" w:cs="Garamond"/>
          <w:color w:val="2A2A2A"/>
          <w:sz w:val="22"/>
          <w:szCs w:val="22"/>
        </w:rPr>
        <w:t xml:space="preserve">(4) The constitutional minimum for all pools is five eligible members; where a pool falls below five, the JM publishes a compliance breach and the relevant nominating bodies must act to restore the minimum within the period defined by statute.</w:t>
      </w:r>
    </w:p>
    <w:p>
      <w:pPr>
        <w:spacing w:after="120"/>
        <w:ind w:left="431"/>
        <w:jc w:val="both"/>
      </w:pPr>
      <w:r>
        <w:rPr>
          <w:rFonts w:ascii="Garamond" w:eastAsia="Garamond" w:hAnsi="Garamond" w:cs="Garamond"/>
          <w:color w:val="2A2A2A"/>
          <w:sz w:val="22"/>
          <w:szCs w:val="22"/>
        </w:rPr>
        <w:t xml:space="preserve">(5)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w:t>
      </w:r>
    </w:p>
    <w:p>
      <w:pPr>
        <w:spacing w:after="120"/>
        <w:ind w:left="431"/>
        <w:jc w:val="both"/>
      </w:pPr>
      <w:r>
        <w:rPr>
          <w:rFonts w:ascii="Garamond" w:eastAsia="Garamond" w:hAnsi="Garamond" w:cs="Garamond"/>
          <w:color w:val="2A2A2A"/>
          <w:sz w:val="22"/>
          <w:szCs w:val="22"/>
        </w:rPr>
        <w:t xml:space="preserve">(6)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w:t>
      </w:r>
    </w:p>
    <w:p>
      <w:pPr>
        <w:spacing w:after="120"/>
        <w:ind w:left="431"/>
        <w:jc w:val="both"/>
      </w:pPr>
      <w:r>
        <w:rPr>
          <w:rFonts w:ascii="Garamond" w:eastAsia="Garamond" w:hAnsi="Garamond" w:cs="Garamond"/>
          <w:color w:val="2A2A2A"/>
          <w:sz w:val="22"/>
          <w:szCs w:val="22"/>
        </w:rPr>
        <w:t xml:space="preserve">(7) Where an applicant is excluded or removed, the administering body must publish the specific grounds to the NRS within 14 days; the applicant may appeal to the SC within 14 days of that publication on the sole ground that the eligibility criteria were misapplied.</w:t>
      </w:r>
    </w:p>
    <w:p>
      <w:pPr>
        <w:spacing w:after="120"/>
        <w:ind w:left="431"/>
        <w:jc w:val="both"/>
      </w:pPr>
      <w:r>
        <w:rPr>
          <w:rFonts w:ascii="Garamond" w:eastAsia="Garamond" w:hAnsi="Garamond" w:cs="Garamond"/>
          <w:color w:val="2A2A2A"/>
          <w:sz w:val="22"/>
          <w:szCs w:val="22"/>
        </w:rPr>
        <w:t xml:space="preserve">(8)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pPr>
        <w:spacing w:after="120"/>
        <w:ind w:left="431"/>
        <w:jc w:val="both"/>
      </w:pPr>
      <w:r>
        <w:rPr>
          <w:rFonts w:ascii="Garamond" w:eastAsia="Garamond" w:hAnsi="Garamond" w:cs="Garamond"/>
          <w:color w:val="2A2A2A"/>
          <w:sz w:val="22"/>
          <w:szCs w:val="22"/>
        </w:rPr>
        <w:t xml:space="preserve">(1) This section governs for-cause removal of all constitutionally confirmed independent officers except Supreme Court justices under §4.3.a and elected executives. Monitor Generals are subject to for-cause removal under this section.</w:t>
      </w:r>
    </w:p>
    <w:p>
      <w:pPr>
        <w:spacing w:after="120"/>
        <w:ind w:left="431"/>
        <w:jc w:val="both"/>
      </w:pPr>
      <w:r>
        <w:rPr>
          <w:rFonts w:ascii="Garamond" w:eastAsia="Garamond" w:hAnsi="Garamond" w:cs="Garamond"/>
          <w:color w:val="2A2A2A"/>
          <w:sz w:val="22"/>
          <w:szCs w:val="22"/>
        </w:rPr>
        <w:t xml:space="preserve">(2) A concurrent resolution of 1/3 of either chamber, or two of the three Monitors jointly, may initiate removal by filing stated grounds with the SC.</w:t>
      </w:r>
    </w:p>
    <w:p>
      <w:pPr>
        <w:spacing w:after="120"/>
        <w:ind w:left="431"/>
        <w:jc w:val="both"/>
      </w:pPr>
      <w:r>
        <w:rPr>
          <w:rFonts w:ascii="Garamond" w:eastAsia="Garamond" w:hAnsi="Garamond" w:cs="Garamond"/>
          <w:color w:val="2A2A2A"/>
          <w:sz w:val="22"/>
          <w:szCs w:val="22"/>
        </w:rPr>
        <w:t xml:space="preserve">(3) The SC determines within 14 days whether the stated grounds constitute at least one statutory removal category for the subject office; the SC reviews constitutional category only, not factual merits.</w:t>
      </w:r>
    </w:p>
    <w:p>
      <w:pPr>
        <w:spacing w:after="120"/>
        <w:ind w:left="431"/>
        <w:jc w:val="both"/>
      </w:pPr>
      <w:r>
        <w:rPr>
          <w:rFonts w:ascii="Garamond" w:eastAsia="Garamond" w:hAnsi="Garamond" w:cs="Garamond"/>
          <w:color w:val="2A2A2A"/>
          <w:sz w:val="22"/>
          <w:szCs w:val="22"/>
        </w:rPr>
        <w:t xml:space="preserve">(4) If grounds are confirmed, duty suspension activates immediately and removal requires a 2/3 concurrent vote of both chambers; no removal vote may be held within 180 days of a major national election without prior SC review within 48 hours.</w:t>
      </w:r>
    </w:p>
    <w:p>
      <w:pPr>
        <w:spacing w:after="120"/>
        <w:ind w:left="431"/>
        <w:jc w:val="both"/>
      </w:pPr>
      <w:r>
        <w:rPr>
          <w:rFonts w:ascii="Garamond" w:eastAsia="Garamond" w:hAnsi="Garamond" w:cs="Garamond"/>
          <w:color w:val="2A2A2A"/>
          <w:sz w:val="22"/>
          <w:szCs w:val="22"/>
        </w:rPr>
        <w:t xml:space="preserve">(5) If grounds are not confirmed, the process closes and may not be reinitiated on the same or substantially similar grounds within six months.</w:t>
      </w:r>
    </w:p>
    <w:p>
      <w:pPr>
        <w:spacing w:after="120"/>
        <w:ind w:left="431"/>
        <w:jc w:val="both"/>
      </w:pPr>
      <w:r>
        <w:rPr>
          <w:rFonts w:ascii="Garamond" w:eastAsia="Garamond" w:hAnsi="Garamond" w:cs="Garamond"/>
          <w:color w:val="2A2A2A"/>
          <w:sz w:val="22"/>
          <w:szCs w:val="22"/>
        </w:rPr>
        <w:t xml:space="preserve">(6)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w:t>
      </w:r>
    </w:p>
    <w:p>
      <w:pPr>
        <w:spacing w:after="120"/>
        <w:ind w:left="431"/>
        <w:jc w:val="both"/>
      </w:pPr>
      <w:r>
        <w:rPr>
          <w:rFonts w:ascii="Garamond" w:eastAsia="Garamond" w:hAnsi="Garamond" w:cs="Garamond"/>
          <w:color w:val="2A2A2A"/>
          <w:sz w:val="22"/>
          <w:szCs w:val="22"/>
        </w:rPr>
        <w:t xml:space="preserve">(7)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pPr>
        <w:spacing w:after="120"/>
        <w:ind w:left="431"/>
        <w:jc w:val="both"/>
      </w:pPr>
      <w:r>
        <w:rPr>
          <w:rFonts w:ascii="Garamond" w:eastAsia="Garamond" w:hAnsi="Garamond" w:cs="Garamond"/>
          <w:color w:val="2A2A2A"/>
          <w:sz w:val="22"/>
          <w:szCs w:val="22"/>
        </w:rPr>
        <w:t xml:space="preserve">(1) The National Record System is the permanent, tamper-evident public record of the Republic — freely accessible to every Inhabitant at no cost.</w:t>
      </w:r>
    </w:p>
    <w:p>
      <w:pPr>
        <w:spacing w:after="120"/>
        <w:ind w:left="431"/>
        <w:jc w:val="both"/>
      </w:pPr>
      <w:r>
        <w:rPr>
          <w:rFonts w:ascii="Garamond" w:eastAsia="Garamond" w:hAnsi="Garamond" w:cs="Garamond"/>
          <w:color w:val="2A2A2A"/>
          <w:sz w:val="22"/>
          <w:szCs w:val="22"/>
        </w:rPr>
        <w:t xml:space="preserve">(2) Every constitutional act, order, finding, certification, designation, declaration, and determination made under this Constitution is published to the NRS as a permanent record; no provision need state this obligation individually.</w:t>
      </w:r>
    </w:p>
    <w:p>
      <w:pPr>
        <w:spacing w:after="120"/>
        <w:ind w:left="431"/>
        <w:jc w:val="both"/>
      </w:pPr>
      <w:r>
        <w:rPr>
          <w:rFonts w:ascii="Garamond" w:eastAsia="Garamond" w:hAnsi="Garamond" w:cs="Garamond"/>
          <w:color w:val="2A2A2A"/>
          <w:sz w:val="22"/>
          <w:szCs w:val="22"/>
        </w:rPr>
        <w:t xml:space="preserve">(3)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w:t>
      </w:r>
    </w:p>
    <w:p>
      <w:pPr>
        <w:spacing w:after="120"/>
        <w:ind w:left="431"/>
        <w:jc w:val="both"/>
      </w:pPr>
      <w:r>
        <w:rPr>
          <w:rFonts w:ascii="Garamond" w:eastAsia="Garamond" w:hAnsi="Garamond" w:cs="Garamond"/>
          <w:color w:val="2A2A2A"/>
          <w:sz w:val="22"/>
          <w:szCs w:val="22"/>
        </w:rPr>
        <w:t xml:space="preserve">(4) Where a specific publication timeline is provided it governs; otherwise publication occurs at or before the effective moment of the act.</w:t>
      </w:r>
    </w:p>
    <w:p>
      <w:pPr>
        <w:spacing w:after="120"/>
        <w:ind w:left="431"/>
        <w:jc w:val="both"/>
      </w:pPr>
      <w:r>
        <w:rPr>
          <w:rFonts w:ascii="Garamond" w:eastAsia="Garamond" w:hAnsi="Garamond" w:cs="Garamond"/>
          <w:color w:val="2A2A2A"/>
          <w:sz w:val="22"/>
          <w:szCs w:val="22"/>
        </w:rPr>
        <w:t xml:space="preserve">(5) Records may not be deleted, altered, or reclassified after publication; corrections are published as new entries alongside the original.</w:t>
      </w:r>
    </w:p>
    <w:p>
      <w:pPr>
        <w:spacing w:after="120"/>
        <w:ind w:left="431"/>
        <w:jc w:val="both"/>
      </w:pPr>
      <w:r>
        <w:rPr>
          <w:rFonts w:ascii="Garamond" w:eastAsia="Garamond" w:hAnsi="Garamond" w:cs="Garamond"/>
          <w:color w:val="2A2A2A"/>
          <w:sz w:val="22"/>
          <w:szCs w:val="22"/>
        </w:rPr>
        <w:t xml:space="preserve">(6)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w:t>
      </w:r>
    </w:p>
    <w:p>
      <w:pPr>
        <w:spacing w:after="120"/>
        <w:ind w:left="431"/>
        <w:jc w:val="both"/>
      </w:pPr>
      <w:r>
        <w:rPr>
          <w:rFonts w:ascii="Garamond" w:eastAsia="Garamond" w:hAnsi="Garamond" w:cs="Garamond"/>
          <w:color w:val="2A2A2A"/>
          <w:sz w:val="22"/>
          <w:szCs w:val="22"/>
        </w:rPr>
        <w:t xml:space="preserve">(7) Government acts take legal effect from the moment of issuance regardless of NRS status — the NRS is the record of government, not a condition of it.</w:t>
      </w:r>
    </w:p>
    <w:p>
      <w:pPr>
        <w:spacing w:after="120"/>
        <w:ind w:left="431"/>
        <w:jc w:val="both"/>
      </w:pPr>
      <w:r>
        <w:rPr>
          <w:rFonts w:ascii="Garamond" w:eastAsia="Garamond" w:hAnsi="Garamond" w:cs="Garamond"/>
          <w:color w:val="2A2A2A"/>
          <w:sz w:val="22"/>
          <w:szCs w:val="22"/>
        </w:rPr>
        <w:t xml:space="preserve">(8)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w:t>
      </w:r>
    </w:p>
    <w:p>
      <w:pPr>
        <w:spacing w:after="120"/>
        <w:ind w:left="431"/>
        <w:jc w:val="both"/>
      </w:pPr>
      <w:r>
        <w:rPr>
          <w:rFonts w:ascii="Garamond" w:eastAsia="Garamond" w:hAnsi="Garamond" w:cs="Garamond"/>
          <w:color w:val="2A2A2A"/>
          <w:sz w:val="22"/>
          <w:szCs w:val="22"/>
        </w:rPr>
        <w:t xml:space="preserve">(9)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pPr>
        <w:spacing w:after="120"/>
        <w:ind w:left="431"/>
        <w:jc w:val="both"/>
      </w:pPr>
      <w:r>
        <w:rPr>
          <w:rFonts w:ascii="Garamond" w:eastAsia="Garamond" w:hAnsi="Garamond" w:cs="Garamond"/>
          <w:color w:val="2A2A2A"/>
          <w:sz w:val="22"/>
          <w:szCs w:val="22"/>
        </w:rPr>
        <w:t xml:space="preserve">(1) Two constitutionally independent panels — the NRS Panel and the Elections Panel — operate the Republic's permanent record infrastructure and electoral systems respectively.</w:t>
      </w:r>
    </w:p>
    <w:p>
      <w:pPr>
        <w:spacing w:after="120"/>
        <w:ind w:left="431"/>
        <w:jc w:val="both"/>
      </w:pPr>
      <w:r>
        <w:rPr>
          <w:rFonts w:ascii="Garamond" w:eastAsia="Garamond" w:hAnsi="Garamond" w:cs="Garamond"/>
          <w:color w:val="2A2A2A"/>
          <w:sz w:val="22"/>
          <w:szCs w:val="22"/>
        </w:rPr>
        <w:t xml:space="preserve">(2) The NRS Panel operates the National Record System.</w:t>
      </w:r>
    </w:p>
    <w:p>
      <w:pPr>
        <w:spacing w:after="120"/>
        <w:ind w:left="431"/>
        <w:jc w:val="both"/>
      </w:pPr>
      <w:r>
        <w:rPr>
          <w:rFonts w:ascii="Garamond" w:eastAsia="Garamond" w:hAnsi="Garamond" w:cs="Garamond"/>
          <w:color w:val="2A2A2A"/>
          <w:sz w:val="22"/>
          <w:szCs w:val="22"/>
        </w:rPr>
        <w:t xml:space="preserve">(3)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w:t>
      </w:r>
    </w:p>
    <w:p>
      <w:pPr>
        <w:spacing w:after="120"/>
        <w:ind w:left="431"/>
        <w:jc w:val="both"/>
      </w:pPr>
      <w:r>
        <w:rPr>
          <w:rFonts w:ascii="Garamond" w:eastAsia="Garamond" w:hAnsi="Garamond" w:cs="Garamond"/>
          <w:color w:val="2A2A2A"/>
          <w:sz w:val="22"/>
          <w:szCs w:val="22"/>
        </w:rPr>
        <w:t xml:space="preserve">(4) Where the Elections Panel certifies a State's election system as non-compliant before an election, the Panel may withhold result certification for affected districts pending compliance or a special election under §7.2.a.</w:t>
      </w:r>
    </w:p>
    <w:p>
      <w:pPr>
        <w:spacing w:after="120"/>
        <w:ind w:left="431"/>
        <w:jc w:val="both"/>
      </w:pPr>
      <w:r>
        <w:rPr>
          <w:rFonts w:ascii="Garamond" w:eastAsia="Garamond" w:hAnsi="Garamond" w:cs="Garamond"/>
          <w:color w:val="2A2A2A"/>
          <w:sz w:val="22"/>
          <w:szCs w:val="22"/>
        </w:rPr>
        <w:t xml:space="preserve">(5) Each panel is operationally independent of the other, of both executives, and of the Legislature in the exercise of its functions.</w:t>
      </w:r>
    </w:p>
    <w:p>
      <w:pPr>
        <w:spacing w:after="120"/>
        <w:ind w:left="431"/>
        <w:jc w:val="both"/>
      </w:pPr>
      <w:r>
        <w:rPr>
          <w:rFonts w:ascii="Garamond" w:eastAsia="Garamond" w:hAnsi="Garamond" w:cs="Garamond"/>
          <w:color w:val="2A2A2A"/>
          <w:sz w:val="22"/>
          <w:szCs w:val="22"/>
        </w:rPr>
        <w:t xml:space="preserve">(6)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w:t>
      </w:r>
    </w:p>
    <w:p>
      <w:pPr>
        <w:spacing w:after="120"/>
        <w:ind w:left="431"/>
        <w:jc w:val="both"/>
      </w:pPr>
      <w:r>
        <w:rPr>
          <w:rFonts w:ascii="Garamond" w:eastAsia="Garamond" w:hAnsi="Garamond" w:cs="Garamond"/>
          <w:color w:val="2A2A2A"/>
          <w:sz w:val="22"/>
          <w:szCs w:val="22"/>
        </w:rPr>
        <w:t xml:space="preserve">(7) The Chair of each panel is its most senior member by continuous service; where two or more members have equal continuous service, the Chair is determined by lot conducted by the JMC.</w:t>
      </w:r>
    </w:p>
    <w:p>
      <w:pPr>
        <w:spacing w:after="120"/>
        <w:ind w:left="431"/>
        <w:jc w:val="both"/>
      </w:pPr>
      <w:r>
        <w:rPr>
          <w:rFonts w:ascii="Garamond" w:eastAsia="Garamond" w:hAnsi="Garamond" w:cs="Garamond"/>
          <w:color w:val="2A2A2A"/>
          <w:sz w:val="22"/>
          <w:szCs w:val="22"/>
        </w:rPr>
        <w:t xml:space="preserve">(8)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120"/>
        <w:ind w:left="431"/>
        <w:jc w:val="both"/>
      </w:pPr>
      <w:r>
        <w:rPr>
          <w:rFonts w:ascii="Garamond" w:eastAsia="Garamond" w:hAnsi="Garamond" w:cs="Garamond"/>
          <w:color w:val="2A2A2A"/>
          <w:sz w:val="22"/>
          <w:szCs w:val="22"/>
        </w:rPr>
        <w:t xml:space="preserve">(9)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pPr>
        <w:spacing w:after="120"/>
        <w:ind w:left="431"/>
        <w:jc w:val="both"/>
      </w:pPr>
      <w:r>
        <w:rPr>
          <w:rFonts w:ascii="Garamond" w:eastAsia="Garamond" w:hAnsi="Garamond" w:cs="Garamond"/>
          <w:color w:val="2A2A2A"/>
          <w:sz w:val="22"/>
          <w:szCs w:val="22"/>
        </w:rPr>
        <w:t xml:space="preserve">(1) 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w:t>
      </w:r>
    </w:p>
    <w:p>
      <w:pPr>
        <w:spacing w:after="120"/>
        <w:ind w:left="431"/>
        <w:jc w:val="both"/>
      </w:pPr>
      <w:r>
        <w:rPr>
          <w:rFonts w:ascii="Garamond" w:eastAsia="Garamond" w:hAnsi="Garamond" w:cs="Garamond"/>
          <w:color w:val="2A2A2A"/>
          <w:sz w:val="22"/>
          <w:szCs w:val="22"/>
        </w:rPr>
        <w:t xml:space="preserve">(2) The Assembly gives the Consuls' proposals due consideration in preparing the annual budget and is not bound by them.</w:t>
      </w:r>
    </w:p>
    <w:p>
      <w:pPr>
        <w:spacing w:after="120"/>
        <w:ind w:left="431"/>
        <w:jc w:val="both"/>
      </w:pPr>
      <w:r>
        <w:rPr>
          <w:rFonts w:ascii="Garamond" w:eastAsia="Garamond" w:hAnsi="Garamond" w:cs="Garamond"/>
          <w:color w:val="2A2A2A"/>
          <w:sz w:val="22"/>
          <w:szCs w:val="22"/>
        </w:rPr>
        <w:t xml:space="preserve">(3) A Consul's failure to submit a domain proposal does not delay or bar the budget process; the failure is published to the NRS and the Assembly proceeds.</w:t>
      </w:r>
    </w:p>
    <w:p>
      <w:pPr>
        <w:spacing w:after="120"/>
        <w:ind w:left="431"/>
        <w:jc w:val="both"/>
      </w:pPr>
      <w:r>
        <w:rPr>
          <w:rFonts w:ascii="Garamond" w:eastAsia="Garamond" w:hAnsi="Garamond" w:cs="Garamond"/>
          <w:color w:val="2A2A2A"/>
          <w:sz w:val="22"/>
          <w:szCs w:val="22"/>
        </w:rPr>
        <w:t xml:space="preserve">(4) The Legislature must pass a balanced budget or publish a structural deficit justification reviewed by the MA for fiscal accuracy.</w:t>
      </w:r>
    </w:p>
    <w:p>
      <w:pPr>
        <w:spacing w:after="120"/>
        <w:ind w:left="431"/>
        <w:jc w:val="both"/>
      </w:pPr>
      <w:r>
        <w:rPr>
          <w:rFonts w:ascii="Garamond" w:eastAsia="Garamond" w:hAnsi="Garamond" w:cs="Garamond"/>
          <w:color w:val="2A2A2A"/>
          <w:sz w:val="22"/>
          <w:szCs w:val="22"/>
        </w:rPr>
        <w:t xml:space="preserve">(5) Structural deficits above the threshold defined by the MA require a published plan for return to balance.</w:t>
      </w:r>
    </w:p>
    <w:p>
      <w:pPr>
        <w:spacing w:after="120"/>
        <w:ind w:left="431"/>
        <w:jc w:val="both"/>
      </w:pPr>
      <w:r>
        <w:rPr>
          <w:rFonts w:ascii="Garamond" w:eastAsia="Garamond" w:hAnsi="Garamond" w:cs="Garamond"/>
          <w:color w:val="2A2A2A"/>
          <w:sz w:val="22"/>
          <w:szCs w:val="22"/>
        </w:rPr>
        <w:t xml:space="preserve">(6) Where the Legislature fails to enact a budget by the constitutional deadline defined by statute, an interim automatic appropriation takes effect by constitutional operation covering:</w:t>
      </w:r>
    </w:p>
    <w:p>
      <w:pPr>
        <w:spacing w:after="120"/>
        <w:ind w:left="720"/>
        <w:jc w:val="both"/>
      </w:pPr>
      <w:r>
        <w:rPr>
          <w:rFonts w:ascii="Garamond" w:eastAsia="Garamond" w:hAnsi="Garamond" w:cs="Garamond"/>
          <w:color w:val="2A2A2A"/>
          <w:sz w:val="22"/>
          <w:szCs w:val="22"/>
        </w:rPr>
        <w:t xml:space="preserve">— judicial operations, active defense authorizations under §14.2, and social state continuity under §12.1;</w:t>
      </w:r>
    </w:p>
    <w:p>
      <w:pPr>
        <w:spacing w:after="120"/>
        <w:ind w:left="720"/>
        <w:jc w:val="both"/>
      </w:pPr>
      <w:r>
        <w:rPr>
          <w:rFonts w:ascii="Garamond" w:eastAsia="Garamond" w:hAnsi="Garamond" w:cs="Garamond"/>
          <w:color w:val="2A2A2A"/>
          <w:sz w:val="22"/>
          <w:szCs w:val="22"/>
        </w:rPr>
        <w:t xml:space="preserve">— civil service compensation;</w:t>
      </w:r>
    </w:p>
    <w:p>
      <w:pPr>
        <w:spacing w:after="120"/>
        <w:ind w:left="720"/>
        <w:jc w:val="both"/>
      </w:pPr>
      <w:r>
        <w:rPr>
          <w:rFonts w:ascii="Garamond" w:eastAsia="Garamond" w:hAnsi="Garamond" w:cs="Garamond"/>
          <w:color w:val="2A2A2A"/>
          <w:sz w:val="22"/>
          <w:szCs w:val="22"/>
        </w:rPr>
        <w:t xml:space="preserve">— and debt service obligations.</w:t>
      </w:r>
    </w:p>
    <w:p>
      <w:pPr>
        <w:spacing w:after="120"/>
        <w:ind w:left="431"/>
        <w:jc w:val="both"/>
      </w:pPr>
      <w:r>
        <w:rPr>
          <w:rFonts w:ascii="Garamond" w:eastAsia="Garamond" w:hAnsi="Garamond" w:cs="Garamond"/>
          <w:color w:val="2A2A2A"/>
          <w:sz w:val="22"/>
          <w:szCs w:val="22"/>
        </w:rPr>
        <w:t xml:space="preserve">(7) The interim appropriation continues at the prior fiscal year's inflation-adjusted level until a budget is enacted; no new programs may be initiated or expanded under the interim appropriation.</w:t>
      </w:r>
    </w:p>
    <w:p>
      <w:pPr>
        <w:spacing w:after="120"/>
        <w:ind w:left="431"/>
        <w:jc w:val="both"/>
      </w:pPr>
      <w:r>
        <w:rPr>
          <w:rFonts w:ascii="Garamond" w:eastAsia="Garamond" w:hAnsi="Garamond" w:cs="Garamond"/>
          <w:color w:val="2A2A2A"/>
          <w:sz w:val="22"/>
          <w:szCs w:val="22"/>
        </w:rPr>
        <w:t xml:space="preserve">(8)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pPr>
        <w:spacing w:after="120"/>
        <w:ind w:left="431"/>
        <w:jc w:val="both"/>
      </w:pPr>
      <w:r>
        <w:rPr>
          <w:rFonts w:ascii="Garamond" w:eastAsia="Garamond" w:hAnsi="Garamond" w:cs="Garamond"/>
          <w:color w:val="2A2A2A"/>
          <w:sz w:val="22"/>
          <w:szCs w:val="22"/>
        </w:rPr>
        <w:t xml:space="preserve">(1) A financial interest includes any holding, income source, liability, business relationship, or similar economic interest; a financial interest is disqualifying where it creates a direct and material conflict between an officer's personal economic interest and the impartial exercise of their official duties, with statute permitted to further specify categories and thresholds consistent with this standard.</w:t>
      </w:r>
    </w:p>
    <w:p>
      <w:pPr>
        <w:spacing w:after="120"/>
        <w:ind w:left="431"/>
        <w:jc w:val="both"/>
      </w:pPr>
      <w:r>
        <w:rPr>
          <w:rFonts w:ascii="Garamond" w:eastAsia="Garamond" w:hAnsi="Garamond" w:cs="Garamond"/>
          <w:color w:val="2A2A2A"/>
          <w:sz w:val="22"/>
          <w:szCs w:val="22"/>
        </w:rPr>
        <w:t xml:space="preserve">(2)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w:t>
      </w:r>
    </w:p>
    <w:p>
      <w:pPr>
        <w:spacing w:after="120"/>
        <w:ind w:left="431"/>
        <w:jc w:val="both"/>
      </w:pPr>
      <w:r>
        <w:rPr>
          <w:rFonts w:ascii="Garamond" w:eastAsia="Garamond" w:hAnsi="Garamond" w:cs="Garamond"/>
          <w:color w:val="2A2A2A"/>
          <w:sz w:val="22"/>
          <w:szCs w:val="22"/>
        </w:rPr>
        <w:t xml:space="preserve">(3) Candidates for a Monitor General's own candidate pool are audited for financial disclosure by the other two Monitors jointly rather than by the Monitor whose pool they would join, as provided in §9.3 and §9.4.</w:t>
      </w:r>
    </w:p>
    <w:p>
      <w:pPr>
        <w:spacing w:after="120"/>
        <w:ind w:left="431"/>
        <w:jc w:val="both"/>
      </w:pPr>
      <w:r>
        <w:rPr>
          <w:rFonts w:ascii="Garamond" w:eastAsia="Garamond" w:hAnsi="Garamond" w:cs="Garamond"/>
          <w:color w:val="2A2A2A"/>
          <w:sz w:val="22"/>
          <w:szCs w:val="22"/>
        </w:rPr>
        <w:t xml:space="preserve">(4) Any officer with a direct financial interest in a decision within their authority must recuse themselves; recusal is self-executing.</w:t>
      </w:r>
    </w:p>
    <w:p>
      <w:pPr>
        <w:spacing w:after="120"/>
        <w:ind w:left="431"/>
        <w:jc w:val="both"/>
      </w:pPr>
      <w:r>
        <w:rPr>
          <w:rFonts w:ascii="Garamond" w:eastAsia="Garamond" w:hAnsi="Garamond" w:cs="Garamond"/>
          <w:color w:val="2A2A2A"/>
          <w:sz w:val="22"/>
          <w:szCs w:val="22"/>
        </w:rPr>
        <w:t xml:space="preserve">(5) Any decision made without required recusal is voidable; the relevant chamber may void the decision by simple majority within 90 days of the conflict becoming a matter of public record on the NRS.</w:t>
      </w:r>
    </w:p>
    <w:p>
      <w:pPr>
        <w:spacing w:after="120"/>
        <w:ind w:left="431"/>
        <w:jc w:val="both"/>
      </w:pPr>
      <w:r>
        <w:rPr>
          <w:rFonts w:ascii="Garamond" w:eastAsia="Garamond" w:hAnsi="Garamond" w:cs="Garamond"/>
          <w:color w:val="2A2A2A"/>
          <w:sz w:val="22"/>
          <w:szCs w:val="22"/>
        </w:rPr>
        <w:t xml:space="preserve">(6)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w:t>
      </w:r>
    </w:p>
    <w:p>
      <w:pPr>
        <w:spacing w:after="120"/>
        <w:ind w:left="431"/>
        <w:jc w:val="both"/>
      </w:pPr>
      <w:r>
        <w:rPr>
          <w:rFonts w:ascii="Garamond" w:eastAsia="Garamond" w:hAnsi="Garamond" w:cs="Garamond"/>
          <w:color w:val="2A2A2A"/>
          <w:sz w:val="22"/>
          <w:szCs w:val="22"/>
        </w:rPr>
        <w:t xml:space="preserve">(7) Officers may not accept gifts above a de minimis threshold; all gifts above the threshold must be disclosed to their respective Monitor and deposited with the relevant treasury.</w:t>
      </w:r>
    </w:p>
    <w:p>
      <w:pPr>
        <w:spacing w:after="120"/>
        <w:ind w:left="431"/>
        <w:jc w:val="both"/>
      </w:pPr>
      <w:r>
        <w:rPr>
          <w:rFonts w:ascii="Garamond" w:eastAsia="Garamond" w:hAnsi="Garamond" w:cs="Garamond"/>
          <w:color w:val="2A2A2A"/>
          <w:sz w:val="22"/>
          <w:szCs w:val="22"/>
        </w:rPr>
        <w:t xml:space="preserve">(8) All records created in the exercise of official functions are public records and may not be retained, destroyed, or removed by departing officers.</w:t>
      </w:r>
    </w:p>
    <w:p>
      <w:pPr>
        <w:spacing w:after="120"/>
        <w:ind w:left="431"/>
        <w:jc w:val="both"/>
      </w:pPr>
      <w:r>
        <w:rPr>
          <w:rFonts w:ascii="Garamond" w:eastAsia="Garamond" w:hAnsi="Garamond" w:cs="Garamond"/>
          <w:color w:val="2A2A2A"/>
          <w:sz w:val="22"/>
          <w:szCs w:val="22"/>
        </w:rPr>
        <w:t xml:space="preserve">(9)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pPr>
        <w:spacing w:after="120"/>
        <w:ind w:left="431"/>
        <w:jc w:val="both"/>
      </w:pPr>
      <w:r>
        <w:rPr>
          <w:rFonts w:ascii="Garamond" w:eastAsia="Garamond" w:hAnsi="Garamond" w:cs="Garamond"/>
          <w:color w:val="2A2A2A"/>
          <w:sz w:val="22"/>
          <w:szCs w:val="22"/>
        </w:rPr>
        <w:t xml:space="preserve">(1) Citizens may initiate a national referendum to repeal enacted legislation. The petition process begins within 90 days of enactment and proceeds in two phases, each authenticated through the NVS using Citizen Voting Credentials.</w:t>
      </w:r>
    </w:p>
    <w:p>
      <w:pPr>
        <w:spacing w:after="120"/>
        <w:ind w:left="431"/>
        <w:jc w:val="both"/>
      </w:pPr>
      <w:r>
        <w:rPr>
          <w:rFonts w:ascii="Garamond" w:eastAsia="Garamond" w:hAnsi="Garamond" w:cs="Garamond"/>
          <w:color w:val="2A2A2A"/>
          <w:sz w:val="22"/>
          <w:szCs w:val="22"/>
        </w:rPr>
        <w:t xml:space="preserve">(2) Phase One, lasting up to 8 months, requires signatures from citizens equal to a percentage of eligible voters — defined by statute at not less than 0.5% nor more than 3% — in each of at least one-third of all States and Territories.</w:t>
      </w:r>
    </w:p>
    <w:p>
      <w:pPr>
        <w:spacing w:after="120"/>
        <w:ind w:left="431"/>
        <w:jc w:val="both"/>
      </w:pPr>
      <w:r>
        <w:rPr>
          <w:rFonts w:ascii="Garamond" w:eastAsia="Garamond" w:hAnsi="Garamond" w:cs="Garamond"/>
          <w:color w:val="2A2A2A"/>
          <w:sz w:val="22"/>
          <w:szCs w:val="22"/>
        </w:rPr>
        <w:t xml:space="preserve">(3) Phase Two, lasting up to 8 months following Phase One's completion, requires signatures from 5% of eligible voters nationally; signatures gathered in Phase One carry over and count toward this threshold.</w:t>
      </w:r>
    </w:p>
    <w:p>
      <w:pPr>
        <w:spacing w:after="120"/>
        <w:ind w:left="431"/>
        <w:jc w:val="both"/>
      </w:pPr>
      <w:r>
        <w:rPr>
          <w:rFonts w:ascii="Garamond" w:eastAsia="Garamond" w:hAnsi="Garamond" w:cs="Garamond"/>
          <w:color w:val="2A2A2A"/>
          <w:sz w:val="22"/>
          <w:szCs w:val="22"/>
        </w:rPr>
        <w:t xml:space="preserve">(4) Laws that solely or primarily expand an Article I right, budget laws, and laws implementing a constitutionally mandated obligation are ineligible.</w:t>
      </w:r>
    </w:p>
    <w:p>
      <w:pPr>
        <w:spacing w:after="120"/>
        <w:ind w:left="431"/>
        <w:jc w:val="both"/>
      </w:pPr>
      <w:r>
        <w:rPr>
          <w:rFonts w:ascii="Garamond" w:eastAsia="Garamond" w:hAnsi="Garamond" w:cs="Garamond"/>
          <w:color w:val="2A2A2A"/>
          <w:sz w:val="22"/>
          <w:szCs w:val="22"/>
        </w:rPr>
        <w:t xml:space="preserve">(5)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w:t>
      </w:r>
    </w:p>
    <w:p>
      <w:pPr>
        <w:spacing w:after="120"/>
        <w:ind w:left="431"/>
        <w:jc w:val="both"/>
      </w:pPr>
      <w:r>
        <w:rPr>
          <w:rFonts w:ascii="Garamond" w:eastAsia="Garamond" w:hAnsi="Garamond" w:cs="Garamond"/>
          <w:color w:val="2A2A2A"/>
          <w:sz w:val="22"/>
          <w:szCs w:val="22"/>
        </w:rPr>
        <w:t xml:space="preserve">(6)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w:t>
      </w:r>
    </w:p>
    <w:p>
      <w:pPr>
        <w:spacing w:after="120"/>
        <w:ind w:left="431"/>
        <w:jc w:val="both"/>
      </w:pPr>
      <w:r>
        <w:rPr>
          <w:rFonts w:ascii="Garamond" w:eastAsia="Garamond" w:hAnsi="Garamond" w:cs="Garamond"/>
          <w:color w:val="2A2A2A"/>
          <w:sz w:val="22"/>
          <w:szCs w:val="22"/>
        </w:rPr>
        <w:t xml:space="preserve">(7)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pPr>
        <w:spacing w:after="120"/>
        <w:ind w:left="431"/>
        <w:jc w:val="both"/>
      </w:pPr>
      <w:r>
        <w:rPr>
          <w:rFonts w:ascii="Garamond" w:eastAsia="Garamond" w:hAnsi="Garamond" w:cs="Garamond"/>
          <w:color w:val="2A2A2A"/>
          <w:sz w:val="22"/>
          <w:szCs w:val="22"/>
        </w:rPr>
        <w:t xml:space="preserve">(1) A State enters Mandatory Devolution upon three consecutive annual Statehood Audit findings of failure published by the JMC.</w:t>
      </w:r>
    </w:p>
    <w:p>
      <w:pPr>
        <w:spacing w:after="120"/>
        <w:ind w:left="431"/>
        <w:jc w:val="both"/>
      </w:pPr>
      <w:r>
        <w:rPr>
          <w:rFonts w:ascii="Garamond" w:eastAsia="Garamond" w:hAnsi="Garamond" w:cs="Garamond"/>
          <w:color w:val="2A2A2A"/>
          <w:sz w:val="22"/>
          <w:szCs w:val="22"/>
        </w:rPr>
        <w:t xml:space="preserve">(2) After each failing audit, the JMC publishes an Early Warning specifying compliance requirements; the State must publish a Remediation Plan within the period defined by statute. Upon three consecutive failures, the State enters Provisional status under §15.1.a.</w:t>
      </w:r>
    </w:p>
    <w:p>
      <w:pPr>
        <w:spacing w:after="120"/>
        <w:ind w:left="431"/>
        <w:jc w:val="both"/>
      </w:pPr>
      <w:r>
        <w:rPr>
          <w:rFonts w:ascii="Garamond" w:eastAsia="Garamond" w:hAnsi="Garamond" w:cs="Garamond"/>
          <w:color w:val="2A2A2A"/>
          <w:sz w:val="22"/>
          <w:szCs w:val="22"/>
        </w:rPr>
        <w:t xml:space="preserve">(3)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w:t>
      </w:r>
    </w:p>
    <w:p>
      <w:pPr>
        <w:spacing w:after="120"/>
        <w:ind w:left="431"/>
        <w:jc w:val="both"/>
      </w:pPr>
      <w:r>
        <w:rPr>
          <w:rFonts w:ascii="Garamond" w:eastAsia="Garamond" w:hAnsi="Garamond" w:cs="Garamond"/>
          <w:color w:val="2A2A2A"/>
          <w:sz w:val="22"/>
          <w:szCs w:val="22"/>
        </w:rPr>
        <w:t xml:space="preserve">(4)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w:t>
      </w:r>
    </w:p>
    <w:p>
      <w:pPr>
        <w:spacing w:after="120"/>
        <w:ind w:left="431"/>
        <w:jc w:val="both"/>
      </w:pPr>
      <w:r>
        <w:rPr>
          <w:rFonts w:ascii="Garamond" w:eastAsia="Garamond" w:hAnsi="Garamond" w:cs="Garamond"/>
          <w:color w:val="2A2A2A"/>
          <w:sz w:val="22"/>
          <w:szCs w:val="22"/>
        </w:rPr>
        <w:t xml:space="preserve">(5)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w:t>
      </w:r>
    </w:p>
    <w:p>
      <w:pPr>
        <w:spacing w:after="120"/>
        <w:ind w:left="431"/>
        <w:jc w:val="both"/>
      </w:pPr>
      <w:r>
        <w:rPr>
          <w:rFonts w:ascii="Garamond" w:eastAsia="Garamond" w:hAnsi="Garamond" w:cs="Garamond"/>
          <w:color w:val="2A2A2A"/>
          <w:sz w:val="22"/>
          <w:szCs w:val="22"/>
        </w:rPr>
        <w:t xml:space="preserve">(6) An affirmative vote proceeds through negotiation and Senate ratification under §15.4; the State remains in Provisional status throughout that process; absent an affirmative vote, the State continues in Provisional status under this section.</w:t>
      </w:r>
    </w:p>
    <w:p>
      <w:pPr>
        <w:spacing w:after="120"/>
        <w:ind w:left="431"/>
        <w:jc w:val="both"/>
      </w:pPr>
      <w:r>
        <w:rPr>
          <w:rFonts w:ascii="Garamond" w:eastAsia="Garamond" w:hAnsi="Garamond" w:cs="Garamond"/>
          <w:color w:val="2A2A2A"/>
          <w:sz w:val="22"/>
          <w:szCs w:val="22"/>
        </w:rPr>
        <w:t xml:space="preserve">(7)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pPr>
        <w:spacing w:after="120"/>
        <w:ind w:left="431"/>
        <w:jc w:val="both"/>
      </w:pPr>
      <w:r>
        <w:rPr>
          <w:rFonts w:ascii="Garamond" w:eastAsia="Garamond" w:hAnsi="Garamond" w:cs="Garamond"/>
          <w:color w:val="2A2A2A"/>
          <w:sz w:val="22"/>
          <w:szCs w:val="22"/>
        </w:rPr>
        <w:t xml:space="preserve">(1) A State may seek independence from the Republic through a three-stage process.</w:t>
      </w:r>
    </w:p>
    <w:p>
      <w:pPr>
        <w:spacing w:after="120"/>
        <w:ind w:left="431"/>
        <w:jc w:val="both"/>
      </w:pPr>
      <w:r>
        <w:rPr>
          <w:rFonts w:ascii="Garamond" w:eastAsia="Garamond" w:hAnsi="Garamond" w:cs="Garamond"/>
          <w:color w:val="2A2A2A"/>
          <w:sz w:val="22"/>
          <w:szCs w:val="22"/>
        </w:rPr>
        <w:t xml:space="preserve">(2)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w:t>
      </w:r>
    </w:p>
    <w:p>
      <w:pPr>
        <w:spacing w:after="120"/>
        <w:ind w:left="431"/>
        <w:jc w:val="both"/>
      </w:pPr>
      <w:r>
        <w:rPr>
          <w:rFonts w:ascii="Garamond" w:eastAsia="Garamond" w:hAnsi="Garamond" w:cs="Garamond"/>
          <w:color w:val="2A2A2A"/>
          <w:sz w:val="22"/>
          <w:szCs w:val="22"/>
        </w:rPr>
        <w:t xml:space="preserve">(3) Upon certification of the referendum result, the Elections Panel publishes the independence petition to the NRS; the petition may not be withdrawn by the State while the process continues.</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independence petition or referendum; the Republic must provide factual information about the process upon request.</w:t>
      </w:r>
    </w:p>
    <w:p>
      <w:pPr>
        <w:spacing w:after="120"/>
        <w:ind w:left="431"/>
        <w:jc w:val="both"/>
      </w:pPr>
      <w:r>
        <w:rPr>
          <w:rFonts w:ascii="Garamond" w:eastAsia="Garamond" w:hAnsi="Garamond" w:cs="Garamond"/>
          <w:color w:val="2A2A2A"/>
          <w:sz w:val="22"/>
          <w:szCs w:val="22"/>
        </w:rPr>
        <w:t xml:space="preserve">(5)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(6) Stage Three requires a national referendum administered by the Elections Panel within 180 days of the Stage Two vote, in which all eligible voters of the Republic — including those of the petitioning State — participate; independence is approved by 60% of votes cast under §7.2 with a minimum 50% citizen participation. Where the referendum fails,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(7)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