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200"/>
        <w:jc w:val="center"/>
      </w:pPr>
      <w:r>
        <w:rPr>
          <w:rFonts w:ascii="Garamond" w:cs="Garamond" w:eastAsia="Garamond" w:hAnsi="Garamond"/>
          <w:b/>
          <w:bCs/>
          <w:color w:val="1B2A4A"/>
          <w:spacing w:val="100"/>
          <w:sz w:val="44"/>
          <w:szCs w:val="44"/>
        </w:rPr>
        <w:t xml:space="preserve">THE FEDERATED REPUBLIC</w:t>
      </w:r>
    </w:p>
    <w:p>
      <w:pPr>
        <w:spacing w:after="200"/>
        <w:jc w:val="center"/>
      </w:pPr>
      <w:r>
        <w:rPr>
          <w:rFonts w:ascii="Garamond" w:cs="Garamond" w:eastAsia="Garamond" w:hAnsi="Garamond"/>
          <w:i/>
          <w:iCs/>
          <w:color w:val="C9A84C"/>
          <w:sz w:val="32"/>
          <w:szCs w:val="32"/>
        </w:rPr>
        <w:t xml:space="preserve">Constitution</w:t>
      </w:r>
    </w:p>
    <w:p>
      <w:pPr>
        <w:pBdr>
          <w:bottom w:val="single" w:color="C9A84C" w:sz="6" w:space="1"/>
        </w:pBdr>
        <w:spacing w:after="400"/>
        <w:jc w:val="center"/>
      </w:pPr>
    </w:p>
    <w:p>
      <w:pPr>
        <w:spacing w:after="800"/>
        <w:jc w:val="center"/>
      </w:pPr>
      <w:r>
        <w:rPr>
          <w:rFonts w:ascii="Garamond" w:cs="Garamond" w:eastAsia="Garamond" w:hAnsi="Garamond"/>
          <w:color w:val="7a7060"/>
          <w:sz w:val="22"/>
          <w:szCs w:val="22"/>
        </w:rPr>
        <w:t xml:space="preserve">May 2026</w:t>
      </w:r>
    </w:p>
    <w:p>
      <w:pPr>
        <w:spacing w:after="200"/>
        <w:jc w:val="center"/>
      </w:pPr>
      <w:r>
        <w:rPr>
          <w:rFonts w:ascii="Courier New" w:cs="Courier New" w:eastAsia="Courier New" w:hAnsi="Courier New"/>
          <w:color w:val="7a7060"/>
          <w:sz w:val="18"/>
          <w:szCs w:val="18"/>
        </w:rPr>
        <w:t xml:space="preserve">thefederatedrepublic.org</w:t>
      </w:r>
    </w:p>
    <w:p>
      <w:r>
        <w:br w:type="page"/>
      </w:r>
    </w:p>
    <w:p>
      <w:pPr>
        <w:pStyle w:val="Heading1"/>
        <w:spacing w:after="240" w:before="480"/>
      </w:pPr>
      <w:r>
        <w:rPr>
          <w:rFonts w:ascii="Garamond" w:cs="Garamond" w:eastAsia="Garamond" w:hAnsi="Garamond"/>
          <w:b/>
          <w:bCs/>
          <w:color w:val="1B2A4A"/>
          <w:sz w:val="32"/>
          <w:szCs w:val="32"/>
        </w:rPr>
        <w:t xml:space="preserve">Preamble</w:t>
      </w:r>
    </w:p>
    <w:p>
      <w:pPr>
        <w:spacing w:after="480"/>
        <w:jc w:val="both"/>
      </w:pPr>
      <w:r>
        <w:rPr>
          <w:rFonts w:ascii="Garamond" w:cs="Garamond" w:eastAsia="Garamond" w:hAnsi="Garamond"/>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r>
        <w:br w:type="page"/>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 — Individual Sovereignty and Rights</w:t>
      </w:r>
    </w:p>
    <w:p>
      <w:pPr>
        <w:spacing w:after="120"/>
      </w:pPr>
    </w:p>
    <w:p>
      <w:pPr>
        <w:spacing w:after="60" w:before="200"/>
        <w:ind w:left="431"/>
      </w:pPr>
      <w:r>
        <w:rPr>
          <w:rFonts w:ascii="Courier New" w:cs="Courier New" w:eastAsia="Courier New" w:hAnsi="Courier New"/>
          <w:b/>
          <w:bCs/>
          <w:color w:val="1B2A4A"/>
          <w:sz w:val="18"/>
          <w:szCs w:val="18"/>
        </w:rPr>
        <w:t xml:space="preserve">§1.0  </w:t>
      </w:r>
      <w:r>
        <w:rPr>
          <w:rFonts w:ascii="Garamond" w:cs="Garamond" w:eastAsia="Garamond" w:hAnsi="Garamond"/>
          <w:b/>
          <w:bCs/>
          <w:color w:val="1B2A4A"/>
          <w:sz w:val="22"/>
          <w:szCs w:val="22"/>
        </w:rPr>
        <w:t xml:space="preserve">Right of Access to Courts</w:t>
      </w:r>
    </w:p>
    <w:p>
      <w:pPr>
        <w:spacing w:after="120" w:before="0"/>
        <w:ind w:left="431"/>
        <w:jc w:val="both"/>
      </w:pPr>
      <w:r>
        <w:rPr>
          <w:rFonts w:ascii="Garamond" w:cs="Garamond" w:eastAsia="Garamond" w:hAnsi="Garamond"/>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pPr>
      <w:r>
        <w:rPr>
          <w:rFonts w:ascii="Courier New" w:cs="Courier New" w:eastAsia="Courier New" w:hAnsi="Courier New"/>
          <w:b/>
          <w:bCs/>
          <w:color w:val="1B2A4A"/>
          <w:sz w:val="18"/>
          <w:szCs w:val="18"/>
        </w:rPr>
        <w:t xml:space="preserve">§1.1  </w:t>
      </w:r>
      <w:r>
        <w:rPr>
          <w:rFonts w:ascii="Garamond" w:cs="Garamond" w:eastAsia="Garamond" w:hAnsi="Garamond"/>
          <w:b/>
          <w:bCs/>
          <w:color w:val="1B2A4A"/>
          <w:sz w:val="22"/>
          <w:szCs w:val="22"/>
        </w:rPr>
        <w:t xml:space="preserve">Individual Sovereignty Floor</w:t>
      </w:r>
    </w:p>
    <w:p>
      <w:pPr>
        <w:spacing w:after="120" w:before="0"/>
        <w:ind w:left="431"/>
        <w:jc w:val="both"/>
      </w:pPr>
      <w:r>
        <w:rPr>
          <w:rFonts w:ascii="Garamond" w:cs="Garamond" w:eastAsia="Garamond" w:hAnsi="Garamond"/>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 the constitution leaves to the legislature whether such sentences may include capital punishment. Any method a legislature permits remains subject to §1.2's prohibition on cruel, degrading, or inhumane treatment. The provision specifies that the State's obligations attach from the moment of live birth. This forecloses the argument that §1.1 requires any government to treat a fetus as a constitutional person — though states retain authority to protect fetal life through their own legislative powers. The distinction matters: a state may restrict abortion services through scope of practice regulation under §1.28; it may not claim §1.1 mandates that restriction.</w:t>
      </w:r>
    </w:p>
    <w:p>
      <w:pPr>
        <w:spacing w:after="60" w:before="200"/>
        <w:ind w:left="431"/>
      </w:pPr>
      <w:r>
        <w:rPr>
          <w:rFonts w:ascii="Courier New" w:cs="Courier New" w:eastAsia="Courier New" w:hAnsi="Courier New"/>
          <w:b/>
          <w:bCs/>
          <w:color w:val="1B2A4A"/>
          <w:sz w:val="18"/>
          <w:szCs w:val="18"/>
        </w:rPr>
        <w:t xml:space="preserve">§1.2  </w:t>
      </w:r>
      <w:r>
        <w:rPr>
          <w:rFonts w:ascii="Garamond" w:cs="Garamond" w:eastAsia="Garamond" w:hAnsi="Garamond"/>
          <w:b/>
          <w:bCs/>
          <w:color w:val="1B2A4A"/>
          <w:sz w:val="22"/>
          <w:szCs w:val="22"/>
        </w:rPr>
        <w:t xml:space="preserve">Prohibition of Torture and Cruel Treatment</w:t>
      </w:r>
    </w:p>
    <w:p>
      <w:pPr>
        <w:spacing w:after="120" w:before="0"/>
        <w:ind w:left="431"/>
        <w:jc w:val="both"/>
      </w:pPr>
      <w:r>
        <w:rPr>
          <w:rFonts w:ascii="Garamond" w:cs="Garamond" w:eastAsia="Garamond" w:hAnsi="Garamond"/>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pPr>
      <w:r>
        <w:rPr>
          <w:rFonts w:ascii="Courier New" w:cs="Courier New" w:eastAsia="Courier New" w:hAnsi="Courier New"/>
          <w:b/>
          <w:bCs/>
          <w:color w:val="1B2A4A"/>
          <w:sz w:val="18"/>
          <w:szCs w:val="18"/>
        </w:rPr>
        <w:t xml:space="preserve">§1.3  </w:t>
      </w:r>
      <w:r>
        <w:rPr>
          <w:rFonts w:ascii="Garamond" w:cs="Garamond" w:eastAsia="Garamond" w:hAnsi="Garamond"/>
          <w:b/>
          <w:bCs/>
          <w:color w:val="1B2A4A"/>
          <w:sz w:val="22"/>
          <w:szCs w:val="22"/>
        </w:rPr>
        <w:t xml:space="preserve">Prohibition of Slavery and Forced Labor</w:t>
      </w:r>
    </w:p>
    <w:p>
      <w:pPr>
        <w:spacing w:after="120" w:before="0"/>
        <w:ind w:left="431"/>
        <w:jc w:val="both"/>
      </w:pPr>
      <w:r>
        <w:rPr>
          <w:rFonts w:ascii="Garamond" w:cs="Garamond" w:eastAsia="Garamond" w:hAnsi="Garamond"/>
          <w:color w:val="2a2520"/>
          <w:sz w:val="22"/>
          <w:szCs w:val="22"/>
        </w:rPr>
        <w:t xml:space="preserve">Slavery, forced labor, debt bondage, and compelled service are prohibited absolutely and in all forms. This provision is permanently unamendable (§15.3.a) — no future majority can restore any form of servitude through constitutional amendment, even a unanimous one. The unamendable status reflects the drafters' conclusion that some prohibitions define the minimum conditions of human dignity that democratic government exists to protect. A democracy that permits slavery has abolished the premise on which democratic legitimacy rests. The prohibition extends to all persons within the Republic's jurisdiction, not merely to citizens.</w:t>
      </w:r>
    </w:p>
    <w:p>
      <w:pPr>
        <w:spacing w:after="60" w:before="200"/>
        <w:ind w:left="431"/>
      </w:pPr>
      <w:r>
        <w:rPr>
          <w:rFonts w:ascii="Courier New" w:cs="Courier New" w:eastAsia="Courier New" w:hAnsi="Courier New"/>
          <w:b/>
          <w:bCs/>
          <w:color w:val="1B2A4A"/>
          <w:sz w:val="18"/>
          <w:szCs w:val="18"/>
        </w:rPr>
        <w:t xml:space="preserve">§1.4  </w:t>
      </w:r>
      <w:r>
        <w:rPr>
          <w:rFonts w:ascii="Garamond" w:cs="Garamond" w:eastAsia="Garamond" w:hAnsi="Garamond"/>
          <w:b/>
          <w:bCs/>
          <w:color w:val="1B2A4A"/>
          <w:sz w:val="22"/>
          <w:szCs w:val="22"/>
        </w:rPr>
        <w:t xml:space="preserve">Freedom of Expression</w:t>
      </w:r>
    </w:p>
    <w:p>
      <w:pPr>
        <w:spacing w:after="120" w:before="0"/>
        <w:ind w:left="431"/>
        <w:jc w:val="both"/>
      </w:pPr>
      <w:r>
        <w:rPr>
          <w:rFonts w:ascii="Garamond" w:cs="Garamond" w:eastAsia="Garamond" w:hAnsi="Garamond"/>
          <w:color w:val="2a2520"/>
          <w:sz w:val="22"/>
          <w:szCs w:val="22"/>
        </w:rPr>
        <w:t xml:space="preserve">No branch, agency, official, or instrumentality of the Republic or any State may abridge the freedom of speech, press, or assembly in any medium — physical or digital. §1.4.a prohibits censorship by proxy (government coercion of private entities to suppress speech); §1.4.b establishes separation of church and state and prohibits religious establishment by law.</w:t>
      </w:r>
    </w:p>
    <w:p>
      <w:pPr>
        <w:spacing w:after="60" w:before="200"/>
        <w:ind w:left="863"/>
      </w:pPr>
      <w:r>
        <w:rPr>
          <w:rFonts w:ascii="Courier New" w:cs="Courier New" w:eastAsia="Courier New" w:hAnsi="Courier New"/>
          <w:b/>
          <w:bCs/>
          <w:color w:val="1B2A4A"/>
          <w:sz w:val="18"/>
          <w:szCs w:val="18"/>
        </w:rPr>
        <w:t xml:space="preserve">§1.4.a  </w:t>
      </w:r>
      <w:r>
        <w:rPr>
          <w:rFonts w:ascii="Garamond" w:cs="Garamond" w:eastAsia="Garamond" w:hAnsi="Garamond"/>
          <w:b/>
          <w:bCs/>
          <w:color w:val="1B2A4A"/>
          <w:sz w:val="22"/>
          <w:szCs w:val="22"/>
        </w:rPr>
        <w:t xml:space="preserve">Censorship by Proxy</w:t>
      </w:r>
    </w:p>
    <w:p>
      <w:pPr>
        <w:spacing w:after="120" w:before="0"/>
        <w:ind w:left="863"/>
        <w:jc w:val="both"/>
      </w:pPr>
      <w:r>
        <w:rPr>
          <w:rFonts w:ascii="Garamond" w:cs="Garamond" w:eastAsia="Garamond" w:hAnsi="Garamond"/>
          <w:color w:val="2a2520"/>
          <w:sz w:val="22"/>
          <w:szCs w:val="22"/>
        </w:rPr>
        <w:t xml:space="preserve">The most operationally significant speech protection. Governments that cannot censor directly regularly achieve the same result by threatening, incentivizing, or coercing private platforms and institutions to suppress speech on their behalf. This provision closes that route: a government agent who pressures a private entity to remove speech commits the same constitutional violation as direct censorship — the proxy does not launder the act. The provision applies equally to digital and physical media. It also prohibits viewpoint-based conditions on government benefits, contracts, or licensing.</w:t>
      </w:r>
    </w:p>
    <w:p>
      <w:pPr>
        <w:spacing w:after="60" w:before="200"/>
        <w:ind w:left="863"/>
      </w:pPr>
      <w:r>
        <w:rPr>
          <w:rFonts w:ascii="Courier New" w:cs="Courier New" w:eastAsia="Courier New" w:hAnsi="Courier New"/>
          <w:b/>
          <w:bCs/>
          <w:color w:val="1B2A4A"/>
          <w:sz w:val="18"/>
          <w:szCs w:val="18"/>
        </w:rPr>
        <w:t xml:space="preserve">§1.4.b  </w:t>
      </w:r>
      <w:r>
        <w:rPr>
          <w:rFonts w:ascii="Garamond" w:cs="Garamond" w:eastAsia="Garamond" w:hAnsi="Garamond"/>
          <w:b/>
          <w:bCs/>
          <w:color w:val="1B2A4A"/>
          <w:sz w:val="22"/>
          <w:szCs w:val="22"/>
        </w:rPr>
        <w:t xml:space="preserve">Separation of Church and State</w:t>
      </w:r>
    </w:p>
    <w:p>
      <w:pPr>
        <w:spacing w:after="120" w:before="0"/>
        <w:ind w:left="863"/>
        <w:jc w:val="both"/>
      </w:pPr>
      <w:r>
        <w:rPr>
          <w:rFonts w:ascii="Garamond" w:cs="Garamond" w:eastAsia="Garamond" w:hAnsi="Garamond"/>
          <w:color w:val="2a2520"/>
          <w:sz w:val="22"/>
          <w:szCs w:val="22"/>
        </w:rPr>
        <w:t xml:space="preserve">No religion may be established by law, and public funds directed to religious organizations must comply with the equality requirements of §1.8. The separation of church and state is structural, not merely preferential.</w:t>
      </w:r>
    </w:p>
    <w:p>
      <w:pPr>
        <w:spacing w:after="60" w:before="200"/>
        <w:ind w:left="431"/>
      </w:pPr>
      <w:r>
        <w:rPr>
          <w:rFonts w:ascii="Courier New" w:cs="Courier New" w:eastAsia="Courier New" w:hAnsi="Courier New"/>
          <w:b/>
          <w:bCs/>
          <w:color w:val="1B2A4A"/>
          <w:sz w:val="18"/>
          <w:szCs w:val="18"/>
        </w:rPr>
        <w:t xml:space="preserve">§1.5  </w:t>
      </w:r>
      <w:r>
        <w:rPr>
          <w:rFonts w:ascii="Garamond" w:cs="Garamond" w:eastAsia="Garamond" w:hAnsi="Garamond"/>
          <w:b/>
          <w:bCs/>
          <w:color w:val="1B2A4A"/>
          <w:sz w:val="22"/>
          <w:szCs w:val="22"/>
        </w:rPr>
        <w:t xml:space="preserve">Freedom of Thought, Conscience, and Religion</w:t>
      </w:r>
    </w:p>
    <w:p>
      <w:pPr>
        <w:spacing w:after="120" w:before="0"/>
        <w:ind w:left="431"/>
        <w:jc w:val="both"/>
      </w:pPr>
      <w:r>
        <w:rPr>
          <w:rFonts w:ascii="Garamond" w:cs="Garamond" w:eastAsia="Garamond" w:hAnsi="Garamond"/>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pPr>
      <w:r>
        <w:rPr>
          <w:rFonts w:ascii="Courier New" w:cs="Courier New" w:eastAsia="Courier New" w:hAnsi="Courier New"/>
          <w:b/>
          <w:bCs/>
          <w:color w:val="1B2A4A"/>
          <w:sz w:val="18"/>
          <w:szCs w:val="18"/>
        </w:rPr>
        <w:t xml:space="preserve">§1.6  </w:t>
      </w:r>
      <w:r>
        <w:rPr>
          <w:rFonts w:ascii="Garamond" w:cs="Garamond" w:eastAsia="Garamond" w:hAnsi="Garamond"/>
          <w:b/>
          <w:bCs/>
          <w:color w:val="1B2A4A"/>
          <w:sz w:val="22"/>
          <w:szCs w:val="22"/>
        </w:rPr>
        <w:t xml:space="preserve">Freedom of Association</w:t>
      </w:r>
    </w:p>
    <w:p>
      <w:pPr>
        <w:spacing w:after="120" w:before="0"/>
        <w:ind w:left="431"/>
        <w:jc w:val="both"/>
      </w:pPr>
      <w:r>
        <w:rPr>
          <w:rFonts w:ascii="Garamond" w:cs="Garamond" w:eastAsia="Garamond" w:hAnsi="Garamond"/>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pPr>
      <w:r>
        <w:rPr>
          <w:rFonts w:ascii="Courier New" w:cs="Courier New" w:eastAsia="Courier New" w:hAnsi="Courier New"/>
          <w:b/>
          <w:bCs/>
          <w:color w:val="1B2A4A"/>
          <w:sz w:val="18"/>
          <w:szCs w:val="18"/>
        </w:rPr>
        <w:t xml:space="preserve">§1.7  </w:t>
      </w:r>
      <w:r>
        <w:rPr>
          <w:rFonts w:ascii="Garamond" w:cs="Garamond" w:eastAsia="Garamond" w:hAnsi="Garamond"/>
          <w:b/>
          <w:bCs/>
          <w:color w:val="1B2A4A"/>
          <w:sz w:val="22"/>
          <w:szCs w:val="22"/>
        </w:rPr>
        <w:t xml:space="preserve">Right to Petition</w:t>
      </w:r>
    </w:p>
    <w:p>
      <w:pPr>
        <w:spacing w:after="120" w:before="0"/>
        <w:ind w:left="431"/>
        <w:jc w:val="both"/>
      </w:pPr>
      <w:r>
        <w:rPr>
          <w:rFonts w:ascii="Garamond" w:cs="Garamond" w:eastAsia="Garamond" w:hAnsi="Garamond"/>
          <w:color w:val="2a2520"/>
          <w:sz w:val="22"/>
          <w:szCs w:val="22"/>
        </w:rPr>
        <w:t xml:space="preserve">Every citizen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pPr>
      <w:r>
        <w:rPr>
          <w:rFonts w:ascii="Courier New" w:cs="Courier New" w:eastAsia="Courier New" w:hAnsi="Courier New"/>
          <w:b/>
          <w:bCs/>
          <w:color w:val="1B2A4A"/>
          <w:sz w:val="18"/>
          <w:szCs w:val="18"/>
        </w:rPr>
        <w:t xml:space="preserve">§1.8  </w:t>
      </w:r>
      <w:r>
        <w:rPr>
          <w:rFonts w:ascii="Garamond" w:cs="Garamond" w:eastAsia="Garamond" w:hAnsi="Garamond"/>
          <w:b/>
          <w:bCs/>
          <w:color w:val="1B2A4A"/>
          <w:sz w:val="22"/>
          <w:szCs w:val="22"/>
        </w:rPr>
        <w:t xml:space="preserve">Equality and Non-Discrimination</w:t>
      </w:r>
    </w:p>
    <w:p>
      <w:pPr>
        <w:spacing w:after="120" w:before="0"/>
        <w:ind w:left="431"/>
        <w:jc w:val="both"/>
      </w:pPr>
      <w:r>
        <w:rPr>
          <w:rFonts w:ascii="Garamond" w:cs="Garamond" w:eastAsia="Garamond" w:hAnsi="Garamond"/>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 — the means-testing carve-out in this section is the primary application of this lower standard</w:t>
      </w:r>
    </w:p>
    <w:p>
      <w:pPr>
        <w:spacing w:after="60" w:before="200"/>
        <w:ind w:left="431"/>
      </w:pPr>
      <w:r>
        <w:rPr>
          <w:rFonts w:ascii="Courier New" w:cs="Courier New" w:eastAsia="Courier New" w:hAnsi="Courier New"/>
          <w:b/>
          <w:bCs/>
          <w:color w:val="1B2A4A"/>
          <w:sz w:val="18"/>
          <w:szCs w:val="18"/>
        </w:rPr>
        <w:t xml:space="preserve">§1.9  </w:t>
      </w:r>
      <w:r>
        <w:rPr>
          <w:rFonts w:ascii="Garamond" w:cs="Garamond" w:eastAsia="Garamond" w:hAnsi="Garamond"/>
          <w:b/>
          <w:bCs/>
          <w:color w:val="1B2A4A"/>
          <w:sz w:val="22"/>
          <w:szCs w:val="22"/>
        </w:rPr>
        <w:t xml:space="preserve">Bodily Autonomy and Digital Privacy</w:t>
      </w:r>
    </w:p>
    <w:p>
      <w:pPr>
        <w:spacing w:after="120" w:before="0"/>
        <w:ind w:left="431"/>
        <w:jc w:val="both"/>
      </w:pPr>
      <w:r>
        <w:rPr>
          <w:rFonts w:ascii="Garamond" w:cs="Garamond" w:eastAsia="Garamond" w:hAnsi="Garamond"/>
          <w:color w:val="2a2520"/>
          <w:sz w:val="22"/>
          <w:szCs w:val="22"/>
        </w:rPr>
        <w:t xml:space="preserve">Three protections: §1.9.a — absolute right to refuse any medical procedure or biological sampling; no mandate is permissible under any emergency without uncoerced revocable written consent. §1.9.b — individuals own their personal data, likeness, and biometric information; government data collection is subject to strict necessity limits and may not build behavioral profiles. §1.9.c — cryptographic keys are private property; no court or agency may compel their disclosure.</w:t>
      </w:r>
    </w:p>
    <w:p>
      <w:pPr>
        <w:spacing w:after="60" w:before="200"/>
        <w:ind w:left="863"/>
      </w:pPr>
      <w:r>
        <w:rPr>
          <w:rFonts w:ascii="Courier New" w:cs="Courier New" w:eastAsia="Courier New" w:hAnsi="Courier New"/>
          <w:b/>
          <w:bCs/>
          <w:color w:val="1B2A4A"/>
          <w:sz w:val="18"/>
          <w:szCs w:val="18"/>
        </w:rPr>
        <w:t xml:space="preserve">§1.9.a  </w:t>
      </w:r>
      <w:r>
        <w:rPr>
          <w:rFonts w:ascii="Garamond" w:cs="Garamond" w:eastAsia="Garamond" w:hAnsi="Garamond"/>
          <w:b/>
          <w:bCs/>
          <w:color w:val="1B2A4A"/>
          <w:sz w:val="22"/>
          <w:szCs w:val="22"/>
        </w:rPr>
        <w:t xml:space="preserve">Physical Sovereignty</w:t>
      </w:r>
    </w:p>
    <w:p>
      <w:pPr>
        <w:spacing w:after="120" w:before="0"/>
        <w:ind w:left="863"/>
        <w:jc w:val="both"/>
      </w:pPr>
      <w:r>
        <w:rPr>
          <w:rFonts w:ascii="Garamond" w:cs="Garamond" w:eastAsia="Garamond" w:hAnsi="Garamond"/>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863"/>
      </w:pPr>
      <w:r>
        <w:rPr>
          <w:rFonts w:ascii="Courier New" w:cs="Courier New" w:eastAsia="Courier New" w:hAnsi="Courier New"/>
          <w:b/>
          <w:bCs/>
          <w:color w:val="1B2A4A"/>
          <w:sz w:val="18"/>
          <w:szCs w:val="18"/>
        </w:rPr>
        <w:t xml:space="preserve">§1.9.b  </w:t>
      </w:r>
      <w:r>
        <w:rPr>
          <w:rFonts w:ascii="Garamond" w:cs="Garamond" w:eastAsia="Garamond" w:hAnsi="Garamond"/>
          <w:b/>
          <w:bCs/>
          <w:color w:val="1B2A4A"/>
          <w:sz w:val="22"/>
          <w:szCs w:val="22"/>
        </w:rPr>
        <w:t xml:space="preserve">Data Ownership</w:t>
      </w:r>
    </w:p>
    <w:p>
      <w:pPr>
        <w:spacing w:after="120" w:before="0"/>
        <w:ind w:left="863"/>
        <w:jc w:val="both"/>
      </w:pPr>
      <w:r>
        <w:rPr>
          <w:rFonts w:ascii="Garamond" w:cs="Garamond" w:eastAsia="Garamond" w:hAnsi="Garamond"/>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863"/>
      </w:pPr>
      <w:r>
        <w:rPr>
          <w:rFonts w:ascii="Courier New" w:cs="Courier New" w:eastAsia="Courier New" w:hAnsi="Courier New"/>
          <w:b/>
          <w:bCs/>
          <w:color w:val="1B2A4A"/>
          <w:sz w:val="18"/>
          <w:szCs w:val="18"/>
        </w:rPr>
        <w:t xml:space="preserve">§1.9.c  </w:t>
      </w:r>
      <w:r>
        <w:rPr>
          <w:rFonts w:ascii="Garamond" w:cs="Garamond" w:eastAsia="Garamond" w:hAnsi="Garamond"/>
          <w:b/>
          <w:bCs/>
          <w:color w:val="1B2A4A"/>
          <w:sz w:val="22"/>
          <w:szCs w:val="22"/>
        </w:rPr>
        <w:t xml:space="preserve">Encryption Protection</w:t>
      </w:r>
    </w:p>
    <w:p>
      <w:pPr>
        <w:spacing w:after="120" w:before="0"/>
        <w:ind w:left="863"/>
        <w:jc w:val="both"/>
      </w:pPr>
      <w:r>
        <w:rPr>
          <w:rFonts w:ascii="Garamond" w:cs="Garamond" w:eastAsia="Garamond" w:hAnsi="Garamond"/>
          <w:color w:val="2a2520"/>
          <w:sz w:val="22"/>
          <w:szCs w:val="22"/>
        </w:rPr>
        <w:t xml:space="preserve">Cryptographic keys are private property. No court or agency may compel their disclosure. Absolute rule, consistent with §1.16's self-incrimination prohibition — closes the digital search-and-seizure loophole present in most existing constitutions.</w:t>
      </w:r>
    </w:p>
    <w:p>
      <w:pPr>
        <w:spacing w:after="60" w:before="200"/>
        <w:ind w:left="431"/>
      </w:pPr>
      <w:r>
        <w:rPr>
          <w:rFonts w:ascii="Courier New" w:cs="Courier New" w:eastAsia="Courier New" w:hAnsi="Courier New"/>
          <w:b/>
          <w:bCs/>
          <w:color w:val="1B2A4A"/>
          <w:sz w:val="18"/>
          <w:szCs w:val="18"/>
        </w:rPr>
        <w:t xml:space="preserve">§1.10  </w:t>
      </w:r>
      <w:r>
        <w:rPr>
          <w:rFonts w:ascii="Garamond" w:cs="Garamond" w:eastAsia="Garamond" w:hAnsi="Garamond"/>
          <w:b/>
          <w:bCs/>
          <w:color w:val="1B2A4A"/>
          <w:sz w:val="22"/>
          <w:szCs w:val="22"/>
        </w:rPr>
        <w:t xml:space="preserve">Inviolability of the Home and Property Rights</w:t>
      </w:r>
    </w:p>
    <w:p>
      <w:pPr>
        <w:spacing w:after="120" w:before="0"/>
        <w:ind w:left="431"/>
        <w:jc w:val="both"/>
      </w:pPr>
      <w:r>
        <w:rPr>
          <w:rFonts w:ascii="Garamond" w:cs="Garamond" w:eastAsia="Garamond" w:hAnsi="Garamond"/>
          <w:color w:val="2a2520"/>
          <w:sz w:val="22"/>
          <w:szCs w:val="22"/>
        </w:rPr>
        <w:t xml:space="preserve">§1.10.a extends "home" to all physical residences and digital spaces secured by private cryptographic keys; State access requires a precise warrant recorded on the NRS before execution; general warrants are absolutely prohibited. §1.10.b governs eminent domain: requires proof of absolute public necessity, 150% fair market value payment, NRS recording, and prohibits private-to-private transfer.</w:t>
      </w:r>
    </w:p>
    <w:p>
      <w:pPr>
        <w:spacing w:after="60" w:before="200"/>
        <w:ind w:left="863"/>
      </w:pPr>
      <w:r>
        <w:rPr>
          <w:rFonts w:ascii="Courier New" w:cs="Courier New" w:eastAsia="Courier New" w:hAnsi="Courier New"/>
          <w:b/>
          <w:bCs/>
          <w:color w:val="1B2A4A"/>
          <w:sz w:val="18"/>
          <w:szCs w:val="18"/>
        </w:rPr>
        <w:t xml:space="preserve">§1.10.a  </w:t>
      </w:r>
      <w:r>
        <w:rPr>
          <w:rFonts w:ascii="Garamond" w:cs="Garamond" w:eastAsia="Garamond" w:hAnsi="Garamond"/>
          <w:b/>
          <w:bCs/>
          <w:color w:val="1B2A4A"/>
          <w:sz w:val="22"/>
          <w:szCs w:val="22"/>
        </w:rPr>
        <w:t xml:space="preserve">Home and Digital Privacy</w:t>
      </w:r>
    </w:p>
    <w:p>
      <w:pPr>
        <w:spacing w:after="120" w:before="0"/>
        <w:ind w:left="863"/>
        <w:jc w:val="both"/>
      </w:pPr>
      <w:r>
        <w:rPr>
          <w:rFonts w:ascii="Garamond" w:cs="Garamond" w:eastAsia="Garamond" w:hAnsi="Garamond"/>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863"/>
      </w:pPr>
      <w:r>
        <w:rPr>
          <w:rFonts w:ascii="Courier New" w:cs="Courier New" w:eastAsia="Courier New" w:hAnsi="Courier New"/>
          <w:b/>
          <w:bCs/>
          <w:color w:val="1B2A4A"/>
          <w:sz w:val="18"/>
          <w:szCs w:val="18"/>
        </w:rPr>
        <w:t xml:space="preserve">§1.10.b  </w:t>
      </w:r>
      <w:r>
        <w:rPr>
          <w:rFonts w:ascii="Garamond" w:cs="Garamond" w:eastAsia="Garamond" w:hAnsi="Garamond"/>
          <w:b/>
          <w:bCs/>
          <w:color w:val="1B2A4A"/>
          <w:sz w:val="22"/>
          <w:szCs w:val="22"/>
        </w:rPr>
        <w:t xml:space="preserve">Eminent Domain</w:t>
      </w:r>
    </w:p>
    <w:p>
      <w:pPr>
        <w:spacing w:after="120" w:before="0"/>
        <w:ind w:left="863"/>
        <w:jc w:val="both"/>
      </w:pPr>
      <w:r>
        <w:rPr>
          <w:rFonts w:ascii="Garamond" w:cs="Garamond" w:eastAsia="Garamond" w:hAnsi="Garamond"/>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Self-Defense and the Right to Bear Arms</w:t>
      </w:r>
    </w:p>
    <w:p>
      <w:pPr>
        <w:spacing w:after="120" w:before="0"/>
        <w:ind w:left="431"/>
        <w:jc w:val="both"/>
      </w:pPr>
      <w:r>
        <w:rPr>
          <w:rFonts w:ascii="Garamond" w:cs="Garamond" w:eastAsia="Garamond" w:hAnsi="Garamond"/>
          <w:color w:val="2a2520"/>
          <w:sz w:val="22"/>
          <w:szCs w:val="22"/>
        </w:rPr>
        <w:t xml:space="preserve">The right to keep and bear arms for personal defense and hunting must not be infringed. States may establish proportionate licensing requirements (§1.11.b) but may not impose requirements that function as effective prohibitions on lawful ownership (§1.11.c). The burden of proof lies with the State to demonstrate any challenged requirement is proportionate, non-discriminatory, and genuinely serves a safety purpose.</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Right to Bear Arms</w:t>
      </w:r>
    </w:p>
    <w:p>
      <w:pPr>
        <w:spacing w:after="120" w:before="0"/>
        <w:ind w:left="863"/>
        <w:jc w:val="both"/>
      </w:pPr>
      <w:r>
        <w:rPr>
          <w:rFonts w:ascii="Garamond" w:cs="Garamond" w:eastAsia="Garamond" w:hAnsi="Garamond"/>
          <w:color w:val="2a2520"/>
          <w:sz w:val="22"/>
          <w:szCs w:val="22"/>
        </w:rPr>
        <w:t xml:space="preserve">The right to keep and bear arms for personal defense and hunting must not be infringed. The provision is deliberately narrow in scope — personal defense and hunting — which bounds the right without eliminating it.</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State Licensing Latitude</w:t>
      </w:r>
    </w:p>
    <w:p>
      <w:pPr>
        <w:spacing w:after="120" w:before="0"/>
        <w:ind w:left="863"/>
        <w:jc w:val="both"/>
      </w:pPr>
      <w:r>
        <w:rPr>
          <w:rFonts w:ascii="Garamond" w:cs="Garamond" w:eastAsia="Garamond" w:hAnsi="Garamond"/>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863"/>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Non-Prohibition Principle</w:t>
      </w:r>
    </w:p>
    <w:p>
      <w:pPr>
        <w:spacing w:after="120" w:before="0"/>
        <w:ind w:left="863"/>
        <w:jc w:val="both"/>
      </w:pPr>
      <w:r>
        <w:rPr>
          <w:rFonts w:ascii="Garamond" w:cs="Garamond" w:eastAsia="Garamond" w:hAnsi="Garamond"/>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Freedom of Movement and Labor</w:t>
      </w:r>
    </w:p>
    <w:p>
      <w:pPr>
        <w:spacing w:after="120" w:before="0"/>
        <w:ind w:left="431"/>
        <w:jc w:val="both"/>
      </w:pPr>
      <w:r>
        <w:rPr>
          <w:rFonts w:ascii="Garamond" w:cs="Garamond" w:eastAsia="Garamond" w:hAnsi="Garamond"/>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863"/>
      </w:pPr>
      <w:r>
        <w:rPr>
          <w:rFonts w:ascii="Courier New" w:cs="Courier New" w:eastAsia="Courier New" w:hAnsi="Courier New"/>
          <w:b/>
          <w:bCs/>
          <w:color w:val="1B2A4A"/>
          <w:sz w:val="18"/>
          <w:szCs w:val="18"/>
        </w:rPr>
        <w:t xml:space="preserve">§1.13.a  </w:t>
      </w:r>
      <w:r>
        <w:rPr>
          <w:rFonts w:ascii="Garamond" w:cs="Garamond" w:eastAsia="Garamond" w:hAnsi="Garamond"/>
          <w:b/>
          <w:bCs/>
          <w:color w:val="1B2A4A"/>
          <w:sz w:val="22"/>
          <w:szCs w:val="22"/>
        </w:rPr>
        <w:t xml:space="preserve">First Appearance</w:t>
      </w:r>
    </w:p>
    <w:p>
      <w:pPr>
        <w:spacing w:after="120" w:before="0"/>
        <w:ind w:left="863"/>
        <w:jc w:val="both"/>
      </w:pPr>
      <w:r>
        <w:rPr>
          <w:rFonts w:ascii="Garamond" w:cs="Garamond" w:eastAsia="Garamond" w:hAnsi="Garamond"/>
          <w:color w:val="2a2520"/>
          <w:sz w:val="22"/>
          <w:szCs w:val="22"/>
        </w:rPr>
        <w:t xml:space="preserve">Any person taken into custody must appear before a judicial officer within 72 hoursMeasured from the moment of physical custody, not from formal arrest. Clock does not pause for weekends or public holidays. of arrest. At the First Appearance, the judge must determine whether custody is lawful and whether conditions of release are appropriate.</w:t>
      </w:r>
    </w:p>
    <w:p>
      <w:pPr>
        <w:spacing w:after="60" w:before="200"/>
        <w:ind w:left="863"/>
      </w:pPr>
      <w:r>
        <w:rPr>
          <w:rFonts w:ascii="Courier New" w:cs="Courier New" w:eastAsia="Courier New" w:hAnsi="Courier New"/>
          <w:b/>
          <w:bCs/>
          <w:color w:val="1B2A4A"/>
          <w:sz w:val="18"/>
          <w:szCs w:val="18"/>
        </w:rPr>
        <w:t xml:space="preserve">§1.13.b  </w:t>
      </w:r>
      <w:r>
        <w:rPr>
          <w:rFonts w:ascii="Garamond" w:cs="Garamond" w:eastAsia="Garamond" w:hAnsi="Garamond"/>
          <w:b/>
          <w:bCs/>
          <w:color w:val="1B2A4A"/>
          <w:sz w:val="22"/>
          <w:szCs w:val="22"/>
        </w:rPr>
        <w:t xml:space="preserve">Habeas Corpus Response Deadline</w:t>
      </w:r>
    </w:p>
    <w:p>
      <w:pPr>
        <w:spacing w:after="120" w:before="0"/>
        <w:ind w:left="863"/>
        <w:jc w:val="both"/>
      </w:pPr>
      <w:r>
        <w:rPr>
          <w:rFonts w:ascii="Garamond" w:cs="Garamond" w:eastAsia="Garamond" w:hAnsi="Garamond"/>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 a judicial officer immediately.</w:t>
      </w:r>
    </w:p>
    <w:p>
      <w:pPr>
        <w:spacing w:after="60" w:before="200"/>
        <w:ind w:left="863"/>
      </w:pPr>
      <w:r>
        <w:rPr>
          <w:rFonts w:ascii="Courier New" w:cs="Courier New" w:eastAsia="Courier New" w:hAnsi="Courier New"/>
          <w:b/>
          <w:bCs/>
          <w:color w:val="1B2A4A"/>
          <w:sz w:val="18"/>
          <w:szCs w:val="18"/>
        </w:rPr>
        <w:t xml:space="preserve">§1.13.c  </w:t>
      </w:r>
      <w:r>
        <w:rPr>
          <w:rFonts w:ascii="Garamond" w:cs="Garamond" w:eastAsia="Garamond" w:hAnsi="Garamond"/>
          <w:b/>
          <w:bCs/>
          <w:color w:val="1B2A4A"/>
          <w:sz w:val="22"/>
          <w:szCs w:val="22"/>
        </w:rPr>
        <w:t xml:space="preserve">Habeas Corpus</w:t>
      </w:r>
    </w:p>
    <w:p>
      <w:pPr>
        <w:spacing w:after="120" w:before="0"/>
        <w:ind w:left="863"/>
        <w:jc w:val="both"/>
      </w:pPr>
      <w:r>
        <w:rPr>
          <w:rFonts w:ascii="Garamond" w:cs="Garamond" w:eastAsia="Garamond" w:hAnsi="Garamond"/>
          <w:color w:val="2a2520"/>
          <w:sz w:val="22"/>
          <w:szCs w:val="22"/>
        </w:rPr>
        <w:t xml:space="preserve">Any person detained by the State has the absolute right to challenge the lawfulness of their confinement before a judge at any time. The right cannot be suspended by emergency declaration by emergency declaration — it appears in §1.25.b's list of absolutely non-derogable rights.</w:t>
      </w:r>
    </w:p>
    <w:p>
      <w:pPr>
        <w:spacing w:after="60" w:before="200"/>
        <w:ind w:left="863"/>
      </w:pPr>
      <w:r>
        <w:rPr>
          <w:rFonts w:ascii="Courier New" w:cs="Courier New" w:eastAsia="Courier New" w:hAnsi="Courier New"/>
          <w:b/>
          <w:bCs/>
          <w:color w:val="1B2A4A"/>
          <w:sz w:val="18"/>
          <w:szCs w:val="18"/>
        </w:rPr>
        <w:t xml:space="preserve">§1.14.a  </w:t>
      </w:r>
      <w:r>
        <w:rPr>
          <w:rFonts w:ascii="Garamond" w:cs="Garamond" w:eastAsia="Garamond" w:hAnsi="Garamond"/>
          <w:b/>
          <w:bCs/>
          <w:color w:val="1B2A4A"/>
          <w:sz w:val="22"/>
          <w:szCs w:val="22"/>
        </w:rPr>
        <w:t xml:space="preserve">Right to Counsel</w:t>
      </w:r>
    </w:p>
    <w:p>
      <w:pPr>
        <w:spacing w:after="120" w:before="0"/>
        <w:ind w:left="863"/>
        <w:jc w:val="both"/>
      </w:pPr>
      <w:r>
        <w:rPr>
          <w:rFonts w:ascii="Garamond" w:cs="Garamond" w:eastAsia="Garamond" w:hAnsi="Garamond"/>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863"/>
      </w:pPr>
      <w:r>
        <w:rPr>
          <w:rFonts w:ascii="Courier New" w:cs="Courier New" w:eastAsia="Courier New" w:hAnsi="Courier New"/>
          <w:b/>
          <w:bCs/>
          <w:color w:val="1B2A4A"/>
          <w:sz w:val="18"/>
          <w:szCs w:val="18"/>
        </w:rPr>
        <w:t xml:space="preserve">§1.14.b  </w:t>
      </w:r>
      <w:r>
        <w:rPr>
          <w:rFonts w:ascii="Garamond" w:cs="Garamond" w:eastAsia="Garamond" w:hAnsi="Garamond"/>
          <w:b/>
          <w:bCs/>
          <w:color w:val="1B2A4A"/>
          <w:sz w:val="22"/>
          <w:szCs w:val="22"/>
        </w:rPr>
        <w:t xml:space="preserve">Caseload Guarantee</w:t>
      </w:r>
    </w:p>
    <w:p>
      <w:pPr>
        <w:spacing w:after="120" w:before="0"/>
        <w:ind w:left="863"/>
        <w:jc w:val="both"/>
      </w:pPr>
      <w:r>
        <w:rPr>
          <w:rFonts w:ascii="Garamond" w:cs="Garamond" w:eastAsia="Garamond" w:hAnsi="Garamond"/>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863"/>
      </w:pPr>
      <w:r>
        <w:rPr>
          <w:rFonts w:ascii="Courier New" w:cs="Courier New" w:eastAsia="Courier New" w:hAnsi="Courier New"/>
          <w:b/>
          <w:bCs/>
          <w:color w:val="1B2A4A"/>
          <w:sz w:val="18"/>
          <w:szCs w:val="18"/>
        </w:rPr>
        <w:t xml:space="preserve">§1.14.c  </w:t>
      </w:r>
      <w:r>
        <w:rPr>
          <w:rFonts w:ascii="Garamond" w:cs="Garamond" w:eastAsia="Garamond" w:hAnsi="Garamond"/>
          <w:b/>
          <w:bCs/>
          <w:color w:val="1B2A4A"/>
          <w:sz w:val="22"/>
          <w:szCs w:val="22"/>
        </w:rPr>
        <w:t xml:space="preserve">Right to Be Informed of Charges</w:t>
      </w:r>
    </w:p>
    <w:p>
      <w:pPr>
        <w:spacing w:after="120" w:before="0"/>
        <w:ind w:left="863"/>
        <w:jc w:val="both"/>
      </w:pPr>
      <w:r>
        <w:rPr>
          <w:rFonts w:ascii="Garamond" w:cs="Garamond" w:eastAsia="Garamond" w:hAnsi="Garamond"/>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863"/>
      </w:pPr>
      <w:r>
        <w:rPr>
          <w:rFonts w:ascii="Courier New" w:cs="Courier New" w:eastAsia="Courier New" w:hAnsi="Courier New"/>
          <w:b/>
          <w:bCs/>
          <w:color w:val="1B2A4A"/>
          <w:sz w:val="18"/>
          <w:szCs w:val="18"/>
        </w:rPr>
        <w:t xml:space="preserve">§1.14.d  </w:t>
      </w:r>
      <w:r>
        <w:rPr>
          <w:rFonts w:ascii="Garamond" w:cs="Garamond" w:eastAsia="Garamond" w:hAnsi="Garamond"/>
          <w:b/>
          <w:bCs/>
          <w:color w:val="1B2A4A"/>
          <w:sz w:val="22"/>
          <w:szCs w:val="22"/>
        </w:rPr>
        <w:t xml:space="preserve">Right to Full Disclosure</w:t>
      </w:r>
    </w:p>
    <w:p>
      <w:pPr>
        <w:spacing w:after="120" w:before="0"/>
        <w:ind w:left="863"/>
        <w:jc w:val="both"/>
      </w:pPr>
      <w:r>
        <w:rPr>
          <w:rFonts w:ascii="Garamond" w:cs="Garamond" w:eastAsia="Garamond" w:hAnsi="Garamond"/>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863"/>
      </w:pPr>
      <w:r>
        <w:rPr>
          <w:rFonts w:ascii="Courier New" w:cs="Courier New" w:eastAsia="Courier New" w:hAnsi="Courier New"/>
          <w:b/>
          <w:bCs/>
          <w:color w:val="1B2A4A"/>
          <w:sz w:val="18"/>
          <w:szCs w:val="18"/>
        </w:rPr>
        <w:t xml:space="preserve">§1.15.a  </w:t>
      </w:r>
      <w:r>
        <w:rPr>
          <w:rFonts w:ascii="Garamond" w:cs="Garamond" w:eastAsia="Garamond" w:hAnsi="Garamond"/>
          <w:b/>
          <w:bCs/>
          <w:color w:val="1B2A4A"/>
          <w:sz w:val="22"/>
          <w:szCs w:val="22"/>
        </w:rPr>
        <w:t xml:space="preserve">Speedy Trial Principle</w:t>
      </w:r>
    </w:p>
    <w:p>
      <w:pPr>
        <w:spacing w:after="120" w:before="0"/>
        <w:ind w:left="863"/>
        <w:jc w:val="both"/>
      </w:pPr>
      <w:r>
        <w:rPr>
          <w:rFonts w:ascii="Garamond" w:cs="Garamond" w:eastAsia="Garamond" w:hAnsi="Garamond"/>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863"/>
      </w:pPr>
      <w:r>
        <w:rPr>
          <w:rFonts w:ascii="Courier New" w:cs="Courier New" w:eastAsia="Courier New" w:hAnsi="Courier New"/>
          <w:b/>
          <w:bCs/>
          <w:color w:val="1B2A4A"/>
          <w:sz w:val="18"/>
          <w:szCs w:val="18"/>
        </w:rPr>
        <w:t xml:space="preserve">§1.15.b  </w:t>
      </w:r>
      <w:r>
        <w:rPr>
          <w:rFonts w:ascii="Garamond" w:cs="Garamond" w:eastAsia="Garamond" w:hAnsi="Garamond"/>
          <w:b/>
          <w:bCs/>
          <w:color w:val="1B2A4A"/>
          <w:sz w:val="22"/>
          <w:szCs w:val="22"/>
        </w:rPr>
        <w:t xml:space="preserve">Bail Proportionality</w:t>
      </w:r>
    </w:p>
    <w:p>
      <w:pPr>
        <w:spacing w:after="120" w:before="0"/>
        <w:ind w:left="863"/>
        <w:jc w:val="both"/>
      </w:pPr>
      <w:r>
        <w:rPr>
          <w:rFonts w:ascii="Garamond" w:cs="Garamond" w:eastAsia="Garamond" w:hAnsi="Garamond"/>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 to what the accused can actually pay.</w:t>
      </w:r>
    </w:p>
    <w:p>
      <w:pPr>
        <w:spacing w:after="60" w:before="200"/>
        <w:ind w:left="863"/>
      </w:pPr>
      <w:r>
        <w:rPr>
          <w:rFonts w:ascii="Courier New" w:cs="Courier New" w:eastAsia="Courier New" w:hAnsi="Courier New"/>
          <w:b/>
          <w:bCs/>
          <w:color w:val="1B2A4A"/>
          <w:sz w:val="18"/>
          <w:szCs w:val="18"/>
        </w:rPr>
        <w:t xml:space="preserve">§1.15.c  </w:t>
      </w:r>
      <w:r>
        <w:rPr>
          <w:rFonts w:ascii="Garamond" w:cs="Garamond" w:eastAsia="Garamond" w:hAnsi="Garamond"/>
          <w:b/>
          <w:bCs/>
          <w:color w:val="1B2A4A"/>
          <w:sz w:val="22"/>
          <w:szCs w:val="22"/>
        </w:rPr>
        <w:t xml:space="preserve">Protection from Trial Penalties</w:t>
      </w:r>
    </w:p>
    <w:p>
      <w:pPr>
        <w:spacing w:after="120" w:before="0"/>
        <w:ind w:left="863"/>
        <w:jc w:val="both"/>
      </w:pPr>
      <w:r>
        <w:rPr>
          <w:rFonts w:ascii="Garamond" w:cs="Garamond" w:eastAsia="Garamond" w:hAnsi="Garamond"/>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863"/>
      </w:pPr>
      <w:r>
        <w:rPr>
          <w:rFonts w:ascii="Courier New" w:cs="Courier New" w:eastAsia="Courier New" w:hAnsi="Courier New"/>
          <w:b/>
          <w:bCs/>
          <w:color w:val="1B2A4A"/>
          <w:sz w:val="18"/>
          <w:szCs w:val="18"/>
        </w:rPr>
        <w:t xml:space="preserve">§1.15.d  </w:t>
      </w:r>
      <w:r>
        <w:rPr>
          <w:rFonts w:ascii="Garamond" w:cs="Garamond" w:eastAsia="Garamond" w:hAnsi="Garamond"/>
          <w:b/>
          <w:bCs/>
          <w:color w:val="1B2A4A"/>
          <w:sz w:val="22"/>
          <w:szCs w:val="22"/>
        </w:rPr>
        <w:t xml:space="preserve">Source Code Right</w:t>
      </w:r>
    </w:p>
    <w:p>
      <w:pPr>
        <w:spacing w:after="120" w:before="0"/>
        <w:ind w:left="863"/>
        <w:jc w:val="both"/>
      </w:pPr>
      <w:r>
        <w:rPr>
          <w:rFonts w:ascii="Garamond" w:cs="Garamond" w:eastAsia="Garamond" w:hAnsi="Garamond"/>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pPr>
      <w:r>
        <w:rPr>
          <w:rFonts w:ascii="Courier New" w:cs="Courier New" w:eastAsia="Courier New" w:hAnsi="Courier New"/>
          <w:b/>
          <w:bCs/>
          <w:color w:val="1B2A4A"/>
          <w:sz w:val="18"/>
          <w:szCs w:val="18"/>
        </w:rPr>
        <w:t xml:space="preserve">§1.16  </w:t>
      </w:r>
      <w:r>
        <w:rPr>
          <w:rFonts w:ascii="Garamond" w:cs="Garamond" w:eastAsia="Garamond" w:hAnsi="Garamond"/>
          <w:b/>
          <w:bCs/>
          <w:color w:val="1B2A4A"/>
          <w:sz w:val="22"/>
          <w:szCs w:val="22"/>
        </w:rPr>
        <w:t xml:space="preserve">Right to Silence</w:t>
      </w:r>
    </w:p>
    <w:p>
      <w:pPr>
        <w:spacing w:after="120" w:before="0"/>
        <w:ind w:left="431"/>
        <w:jc w:val="both"/>
      </w:pPr>
      <w:r>
        <w:rPr>
          <w:rFonts w:ascii="Garamond" w:cs="Garamond" w:eastAsia="Garamond" w:hAnsi="Garamond"/>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§1.9.c, this extends to cryptographic keys.</w:t>
      </w:r>
    </w:p>
    <w:p>
      <w:pPr>
        <w:spacing w:after="60" w:before="200"/>
        <w:ind w:left="431"/>
      </w:pPr>
      <w:r>
        <w:rPr>
          <w:rFonts w:ascii="Courier New" w:cs="Courier New" w:eastAsia="Courier New" w:hAnsi="Courier New"/>
          <w:b/>
          <w:bCs/>
          <w:color w:val="1B2A4A"/>
          <w:sz w:val="18"/>
          <w:szCs w:val="18"/>
        </w:rPr>
        <w:t xml:space="preserve">§1.17  </w:t>
      </w:r>
      <w:r>
        <w:rPr>
          <w:rFonts w:ascii="Garamond" w:cs="Garamond" w:eastAsia="Garamond" w:hAnsi="Garamond"/>
          <w:b/>
          <w:bCs/>
          <w:color w:val="1B2A4A"/>
          <w:sz w:val="22"/>
          <w:szCs w:val="22"/>
        </w:rPr>
        <w:t xml:space="preserve">Right to a Public Trial</w:t>
      </w:r>
    </w:p>
    <w:p>
      <w:pPr>
        <w:spacing w:after="120" w:before="0"/>
        <w:ind w:left="431"/>
        <w:jc w:val="both"/>
      </w:pPr>
      <w:r>
        <w:rPr>
          <w:rFonts w:ascii="Garamond" w:cs="Garamond" w:eastAsia="Garamond" w:hAnsi="Garamond"/>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863"/>
      </w:pPr>
      <w:r>
        <w:rPr>
          <w:rFonts w:ascii="Courier New" w:cs="Courier New" w:eastAsia="Courier New" w:hAnsi="Courier New"/>
          <w:b/>
          <w:bCs/>
          <w:color w:val="1B2A4A"/>
          <w:sz w:val="18"/>
          <w:szCs w:val="18"/>
        </w:rPr>
        <w:t xml:space="preserve">§1.18.a  </w:t>
      </w:r>
      <w:r>
        <w:rPr>
          <w:rFonts w:ascii="Garamond" w:cs="Garamond" w:eastAsia="Garamond" w:hAnsi="Garamond"/>
          <w:b/>
          <w:bCs/>
          <w:color w:val="1B2A4A"/>
          <w:sz w:val="22"/>
          <w:szCs w:val="22"/>
        </w:rPr>
        <w:t xml:space="preserve">No Retroactive Criminal Laws</w:t>
      </w:r>
    </w:p>
    <w:p>
      <w:pPr>
        <w:spacing w:after="120" w:before="0"/>
        <w:ind w:left="863"/>
        <w:jc w:val="both"/>
      </w:pPr>
      <w:r>
        <w:rPr>
          <w:rFonts w:ascii="Garamond" w:cs="Garamond" w:eastAsia="Garamond" w:hAnsi="Garamond"/>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863"/>
      </w:pPr>
      <w:r>
        <w:rPr>
          <w:rFonts w:ascii="Courier New" w:cs="Courier New" w:eastAsia="Courier New" w:hAnsi="Courier New"/>
          <w:b/>
          <w:bCs/>
          <w:color w:val="1B2A4A"/>
          <w:sz w:val="18"/>
          <w:szCs w:val="18"/>
        </w:rPr>
        <w:t xml:space="preserve">§1.18.b  </w:t>
      </w:r>
      <w:r>
        <w:rPr>
          <w:rFonts w:ascii="Garamond" w:cs="Garamond" w:eastAsia="Garamond" w:hAnsi="Garamond"/>
          <w:b/>
          <w:bCs/>
          <w:color w:val="1B2A4A"/>
          <w:sz w:val="22"/>
          <w:szCs w:val="22"/>
        </w:rPr>
        <w:t xml:space="preserve">Double Jeopardy</w:t>
      </w:r>
    </w:p>
    <w:p>
      <w:pPr>
        <w:spacing w:after="120" w:before="0"/>
        <w:ind w:left="863"/>
        <w:jc w:val="both"/>
      </w:pPr>
      <w:r>
        <w:rPr>
          <w:rFonts w:ascii="Garamond" w:cs="Garamond" w:eastAsia="Garamond" w:hAnsi="Garamond"/>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pPr>
      <w:r>
        <w:rPr>
          <w:rFonts w:ascii="Courier New" w:cs="Courier New" w:eastAsia="Courier New" w:hAnsi="Courier New"/>
          <w:b/>
          <w:bCs/>
          <w:color w:val="1B2A4A"/>
          <w:sz w:val="18"/>
          <w:szCs w:val="18"/>
        </w:rPr>
        <w:t xml:space="preserve">§1.19  </w:t>
      </w:r>
      <w:r>
        <w:rPr>
          <w:rFonts w:ascii="Garamond" w:cs="Garamond" w:eastAsia="Garamond" w:hAnsi="Garamond"/>
          <w:b/>
          <w:bCs/>
          <w:color w:val="1B2A4A"/>
          <w:sz w:val="22"/>
          <w:szCs w:val="22"/>
        </w:rPr>
        <w:t xml:space="preserve">Right to Democratic Participation</w:t>
      </w:r>
    </w:p>
    <w:p>
      <w:pPr>
        <w:spacing w:after="120" w:before="0"/>
        <w:ind w:left="431"/>
        <w:jc w:val="both"/>
      </w:pPr>
      <w:r>
        <w:rPr>
          <w:rFonts w:ascii="Garamond" w:cs="Garamond" w:eastAsia="Garamond" w:hAnsi="Garamond"/>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The provision is self-executing: a citizen facing a material barrier may bring a constitutional claim directly in court. The right to democratic participation is the meta-right on which all other constitutional rights depend — a citizenry unable to vote cannot protect any of the other rights this Article guarantees.</w:t>
      </w:r>
    </w:p>
    <w:p>
      <w:pPr>
        <w:spacing w:after="60" w:before="200"/>
        <w:ind w:left="431"/>
      </w:pPr>
      <w:r>
        <w:rPr>
          <w:rFonts w:ascii="Courier New" w:cs="Courier New" w:eastAsia="Courier New" w:hAnsi="Courier New"/>
          <w:b/>
          <w:bCs/>
          <w:color w:val="1B2A4A"/>
          <w:sz w:val="18"/>
          <w:szCs w:val="18"/>
        </w:rPr>
        <w:t xml:space="preserve">§1.20  </w:t>
      </w:r>
      <w:r>
        <w:rPr>
          <w:rFonts w:ascii="Garamond" w:cs="Garamond" w:eastAsia="Garamond" w:hAnsi="Garamond"/>
          <w:b/>
          <w:bCs/>
          <w:color w:val="1B2A4A"/>
          <w:sz w:val="22"/>
          <w:szCs w:val="22"/>
        </w:rPr>
        <w:t xml:space="preserve">Right to Marry and Found a Family</w:t>
      </w:r>
    </w:p>
    <w:p>
      <w:pPr>
        <w:spacing w:after="120" w:before="0"/>
        <w:ind w:left="431"/>
        <w:jc w:val="both"/>
      </w:pPr>
      <w:r>
        <w:rPr>
          <w:rFonts w:ascii="Garamond" w:cs="Garamond" w:eastAsia="Garamond" w:hAnsi="Garamond"/>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Rights of Children</w:t>
      </w:r>
    </w:p>
    <w:p>
      <w:pPr>
        <w:spacing w:after="120" w:before="0"/>
        <w:ind w:left="431"/>
        <w:jc w:val="both"/>
      </w:pPr>
      <w:r>
        <w:rPr>
          <w:rFonts w:ascii="Garamond" w:cs="Garamond" w:eastAsia="Garamond" w:hAnsi="Garamond"/>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 The protection of children is the one area where the Individual Sovereignty Floor explicitly sets 'the primary' rather than 'a' standard.</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Environmental Accountability</w:t>
      </w:r>
    </w:p>
    <w:p>
      <w:pPr>
        <w:spacing w:after="120" w:before="0"/>
        <w:ind w:left="431"/>
        <w:jc w:val="both"/>
      </w:pPr>
      <w:r>
        <w:rPr>
          <w:rFonts w:ascii="Garamond" w:cs="Garamond" w:eastAsia="Garamond" w:hAnsi="Garamond"/>
          <w:color w:val="2a2520"/>
          <w:sz w:val="22"/>
          <w:szCs w:val="22"/>
        </w:rPr>
        <w:t xml:space="preserve">Article I's environmental provisions establish two constitutional obligations: Government Non-Harm (§1.22.a) prevents authorities from knowingly exposing communities to environmental hazards without disclosure, consultation, and mitigation; Environmental Stewardship (§1.22.b) creates an enforceable duty to maintain ecological integrity. Together they make environmental protection a constitutional obligation with Inspectorate reporting requirements, not merely a policy preference.</w:t>
      </w:r>
    </w:p>
    <w:p>
      <w:pPr>
        <w:spacing w:after="60" w:before="200"/>
        <w:ind w:left="863"/>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Government Non-Harm</w:t>
      </w:r>
    </w:p>
    <w:p>
      <w:pPr>
        <w:spacing w:after="120" w:before="0"/>
        <w:ind w:left="863"/>
        <w:jc w:val="both"/>
      </w:pPr>
      <w:r>
        <w:rPr>
          <w:rFonts w:ascii="Garamond" w:cs="Garamond" w:eastAsia="Garamond" w:hAnsi="Garamond"/>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a constitutional violation, not merely a policy failure.</w:t>
      </w:r>
    </w:p>
    <w:p>
      <w:pPr>
        <w:spacing w:after="60" w:before="200"/>
        <w:ind w:left="863"/>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Environmental Stewardship</w:t>
      </w:r>
    </w:p>
    <w:p>
      <w:pPr>
        <w:spacing w:after="120" w:before="0"/>
        <w:ind w:left="863"/>
        <w:jc w:val="both"/>
      </w:pPr>
      <w:r>
        <w:rPr>
          <w:rFonts w:ascii="Garamond" w:cs="Garamond" w:eastAsia="Garamond" w:hAnsi="Garamond"/>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Federal Education Assistance</w:t>
      </w:r>
    </w:p>
    <w:p>
      <w:pPr>
        <w:spacing w:after="120" w:before="0"/>
        <w:ind w:left="431"/>
        <w:jc w:val="both"/>
      </w:pPr>
      <w:r>
        <w:rPr>
          <w:rFonts w:ascii="Garamond" w:cs="Garamond" w:eastAsia="Garamond" w:hAnsi="Garamond"/>
          <w:color w:val="2a2520"/>
          <w:sz w:val="22"/>
          <w:szCs w:val="22"/>
        </w:rPr>
        <w:t xml:space="preserve">Three interlocking education provisions: §1.23.a requires the Republic to fund education assistance so no child's opportunity depends on their territory's wealth. §1.23.b requires public education to equip students to meet the Constitutional Logic Test standard — education for citizenship is a constitutional obligation. §1.23.c preserves parental choice: the Republic sets the floor; it may not mandate the method.</w:t>
      </w:r>
    </w:p>
    <w:p>
      <w:pPr>
        <w:spacing w:after="60" w:before="200"/>
        <w:ind w:left="863"/>
      </w:pPr>
      <w:r>
        <w:rPr>
          <w:rFonts w:ascii="Courier New" w:cs="Courier New" w:eastAsia="Courier New" w:hAnsi="Courier New"/>
          <w:b/>
          <w:bCs/>
          <w:color w:val="1B2A4A"/>
          <w:sz w:val="18"/>
          <w:szCs w:val="18"/>
        </w:rPr>
        <w:t xml:space="preserve">§1.23.a  </w:t>
      </w:r>
      <w:r>
        <w:rPr>
          <w:rFonts w:ascii="Garamond" w:cs="Garamond" w:eastAsia="Garamond" w:hAnsi="Garamond"/>
          <w:b/>
          <w:bCs/>
          <w:color w:val="1B2A4A"/>
          <w:sz w:val="22"/>
          <w:szCs w:val="22"/>
        </w:rPr>
        <w:t xml:space="preserve">Federal Education Assistance</w:t>
      </w:r>
    </w:p>
    <w:p>
      <w:pPr>
        <w:spacing w:after="120" w:before="0"/>
        <w:ind w:left="863"/>
        <w:jc w:val="both"/>
      </w:pPr>
      <w:r>
        <w:rPr>
          <w:rFonts w:ascii="Garamond" w:cs="Garamond" w:eastAsia="Garamond" w:hAnsi="Garamond"/>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863"/>
      </w:pPr>
      <w:r>
        <w:rPr>
          <w:rFonts w:ascii="Courier New" w:cs="Courier New" w:eastAsia="Courier New" w:hAnsi="Courier New"/>
          <w:b/>
          <w:bCs/>
          <w:color w:val="1B2A4A"/>
          <w:sz w:val="18"/>
          <w:szCs w:val="18"/>
        </w:rPr>
        <w:t xml:space="preserve">§1.23.b  </w:t>
      </w:r>
      <w:r>
        <w:rPr>
          <w:rFonts w:ascii="Garamond" w:cs="Garamond" w:eastAsia="Garamond" w:hAnsi="Garamond"/>
          <w:b/>
          <w:bCs/>
          <w:color w:val="1B2A4A"/>
          <w:sz w:val="22"/>
          <w:szCs w:val="22"/>
        </w:rPr>
        <w:t xml:space="preserve">Constitutional Literacy</w:t>
      </w:r>
    </w:p>
    <w:p>
      <w:pPr>
        <w:spacing w:after="120" w:before="0"/>
        <w:ind w:left="863"/>
        <w:jc w:val="both"/>
      </w:pPr>
      <w:r>
        <w:rPr>
          <w:rFonts w:ascii="Garamond" w:cs="Garamond" w:eastAsia="Garamond" w:hAnsi="Garamond"/>
          <w:color w:val="2a2520"/>
          <w:sz w:val="22"/>
          <w:szCs w:val="22"/>
        </w:rPr>
        <w:t xml:space="preserve">The Republic's constitutional literacy standard for citizenship purposes is the CLT, defined in §5.4. Public education must equip students to meet that standard — education for citizenship is a constitutional obligation, not a civic nicety.</w:t>
      </w:r>
    </w:p>
    <w:p>
      <w:pPr>
        <w:spacing w:after="60" w:before="200"/>
        <w:ind w:left="863"/>
      </w:pPr>
      <w:r>
        <w:rPr>
          <w:rFonts w:ascii="Courier New" w:cs="Courier New" w:eastAsia="Courier New" w:hAnsi="Courier New"/>
          <w:b/>
          <w:bCs/>
          <w:color w:val="1B2A4A"/>
          <w:sz w:val="18"/>
          <w:szCs w:val="18"/>
        </w:rPr>
        <w:t xml:space="preserve">§1.23.c  </w:t>
      </w:r>
      <w:r>
        <w:rPr>
          <w:rFonts w:ascii="Garamond" w:cs="Garamond" w:eastAsia="Garamond" w:hAnsi="Garamond"/>
          <w:b/>
          <w:bCs/>
          <w:color w:val="1B2A4A"/>
          <w:sz w:val="22"/>
          <w:szCs w:val="22"/>
        </w:rPr>
        <w:t xml:space="preserve">Parental Right</w:t>
      </w:r>
    </w:p>
    <w:p>
      <w:pPr>
        <w:spacing w:after="120" w:before="0"/>
        <w:ind w:left="863"/>
        <w:jc w:val="both"/>
      </w:pPr>
      <w:r>
        <w:rPr>
          <w:rFonts w:ascii="Garamond" w:cs="Garamond" w:eastAsia="Garamond" w:hAnsi="Garamond"/>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Housing Non-Exclusion</w:t>
      </w:r>
    </w:p>
    <w:p>
      <w:pPr>
        <w:spacing w:after="120" w:before="0"/>
        <w:ind w:left="431"/>
        <w:jc w:val="both"/>
      </w:pPr>
      <w:r>
        <w:rPr>
          <w:rFonts w:ascii="Garamond" w:cs="Garamond" w:eastAsia="Garamond" w:hAnsi="Garamond"/>
          <w:color w:val="2a2520"/>
          <w:sz w:val="22"/>
          <w:szCs w:val="22"/>
        </w:rPr>
        <w:t xml:space="preserve">Article I's housing provisions create constitutional barriers to exclusion and a constitutional obligation to provide. The Non-Exclusion Principle (§1.24.a) prohibits exclusionary zoning and any regulatory mechanism designed to keep certain populations out. The BNF Housing Obligation (§1.24.b) anchors housing as a Basic Needs Floor category — persons who cannot independently secure housing are constitutionally entitled to it through the BNF system.</w:t>
      </w:r>
    </w:p>
    <w:p>
      <w:pPr>
        <w:spacing w:after="60" w:before="200"/>
        <w:ind w:left="863"/>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Non-Exclusion Principle</w:t>
      </w:r>
    </w:p>
    <w:p>
      <w:pPr>
        <w:spacing w:after="120" w:before="0"/>
        <w:ind w:left="863"/>
        <w:jc w:val="both"/>
      </w:pPr>
      <w:r>
        <w:rPr>
          <w:rFonts w:ascii="Garamond" w:cs="Garamond" w:eastAsia="Garamond" w:hAnsi="Garamond"/>
          <w:color w:val="2a2520"/>
          <w:sz w:val="22"/>
          <w:szCs w:val="22"/>
        </w:rPr>
        <w:t xml:space="preserve">No government authority — federal, State, or local — may use regulatory or land-use powers to exclude any person from access to housing on the basis of any characteristic enumerated in §1.8. Exclusionary zoning designed to keep certain populations out of a community is constitutionally prohibited.</w:t>
      </w:r>
    </w:p>
    <w:p>
      <w:pPr>
        <w:spacing w:after="60" w:before="200"/>
        <w:ind w:left="863"/>
      </w:pPr>
      <w:r>
        <w:rPr>
          <w:rFonts w:ascii="Courier New" w:cs="Courier New" w:eastAsia="Courier New" w:hAnsi="Courier New"/>
          <w:b/>
          <w:bCs/>
          <w:color w:val="1B2A4A"/>
          <w:sz w:val="18"/>
          <w:szCs w:val="18"/>
        </w:rPr>
        <w:t xml:space="preserve">§1.24.b  </w:t>
      </w:r>
      <w:r>
        <w:rPr>
          <w:rFonts w:ascii="Garamond" w:cs="Garamond" w:eastAsia="Garamond" w:hAnsi="Garamond"/>
          <w:b/>
          <w:bCs/>
          <w:color w:val="1B2A4A"/>
          <w:sz w:val="22"/>
          <w:szCs w:val="22"/>
        </w:rPr>
        <w:t xml:space="preserve">BNF Housing Obligation</w:t>
      </w:r>
    </w:p>
    <w:p>
      <w:pPr>
        <w:spacing w:after="120" w:before="0"/>
        <w:ind w:left="863"/>
        <w:jc w:val="both"/>
      </w:pPr>
      <w:r>
        <w:rPr>
          <w:rFonts w:ascii="Garamond" w:cs="Garamond" w:eastAsia="Garamond" w:hAnsi="Garamond"/>
          <w:color w:val="2a2520"/>
          <w:sz w:val="22"/>
          <w:szCs w:val="22"/>
        </w:rPr>
        <w:t xml:space="preserve">The Republic's obligation to ensure housing access for persons who cannot independently secure it is part of the Basic Needs Floor under §10.1. This provision anchors housing as a BNF category and makes housing exclusion an enforceable constitutional violation.</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Emergency Derogation — Declaration Requirements</w:t>
      </w:r>
    </w:p>
    <w:p>
      <w:pPr>
        <w:spacing w:after="120" w:before="0"/>
        <w:ind w:left="863"/>
        <w:jc w:val="both"/>
      </w:pPr>
      <w:r>
        <w:rPr>
          <w:rFonts w:ascii="Garamond" w:cs="Garamond" w:eastAsia="Garamond" w:hAnsi="Garamond"/>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(§1.25.d) without renewal ensures that even a properly declared emergency cannot become a permanent parallel constitutional order through inaction or extension by the same actor who declared it.</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Non-Derogable Rights</w:t>
      </w:r>
    </w:p>
    <w:p>
      <w:pPr>
        <w:spacing w:after="120" w:before="0"/>
        <w:ind w:left="863"/>
        <w:jc w:val="both"/>
      </w:pPr>
      <w:r>
        <w:rPr>
          <w:rFonts w:ascii="Garamond" w:cs="Garamond" w:eastAsia="Garamond" w:hAnsi="Garamond"/>
          <w:color w:val="2a2520"/>
          <w:sz w:val="22"/>
          <w:szCs w:val="22"/>
        </w:rPr>
        <w:t xml:space="preserve">These five rights are absolute under any circumstances: the prohibition on torture (§1.2); slavery (§1.3); habeas corpus (§1.13); the right to a public trial (§1.17); and no retroactive punishment (§1.18).</w:t>
      </w:r>
    </w:p>
    <w:p>
      <w:pPr>
        <w:spacing w:after="60" w:before="200"/>
        <w:ind w:left="863"/>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Inspectorate Continuity</w:t>
      </w:r>
    </w:p>
    <w:p>
      <w:pPr>
        <w:spacing w:after="120" w:before="0"/>
        <w:ind w:left="863"/>
        <w:jc w:val="both"/>
      </w:pPr>
      <w:r>
        <w:rPr>
          <w:rFonts w:ascii="Garamond" w:cs="Garamond" w:eastAsia="Garamond" w:hAnsi="Garamond"/>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863"/>
      </w:pPr>
      <w:r>
        <w:rPr>
          <w:rFonts w:ascii="Courier New" w:cs="Courier New" w:eastAsia="Courier New" w:hAnsi="Courier New"/>
          <w:b/>
          <w:bCs/>
          <w:color w:val="1B2A4A"/>
          <w:sz w:val="18"/>
          <w:szCs w:val="18"/>
        </w:rPr>
        <w:t xml:space="preserve">§1.25.d  </w:t>
      </w:r>
      <w:r>
        <w:rPr>
          <w:rFonts w:ascii="Garamond" w:cs="Garamond" w:eastAsia="Garamond" w:hAnsi="Garamond"/>
          <w:b/>
          <w:bCs/>
          <w:color w:val="1B2A4A"/>
          <w:sz w:val="22"/>
          <w:szCs w:val="22"/>
        </w:rPr>
        <w:t xml:space="preserve">Automatic Expiry and Judicial Review</w:t>
      </w:r>
    </w:p>
    <w:p>
      <w:pPr>
        <w:spacing w:after="120" w:before="0"/>
        <w:ind w:left="863"/>
        <w:jc w:val="both"/>
      </w:pPr>
      <w:r>
        <w:rPr>
          <w:rFonts w:ascii="Garamond" w:cs="Garamond" w:eastAsia="Garamond" w:hAnsi="Garamond"/>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863"/>
      </w:pPr>
      <w:r>
        <w:rPr>
          <w:rFonts w:ascii="Courier New" w:cs="Courier New" w:eastAsia="Courier New" w:hAnsi="Courier New"/>
          <w:b/>
          <w:bCs/>
          <w:color w:val="1B2A4A"/>
          <w:sz w:val="18"/>
          <w:szCs w:val="18"/>
        </w:rPr>
        <w:t xml:space="preserve">§1.25.e  </w:t>
      </w:r>
      <w:r>
        <w:rPr>
          <w:rFonts w:ascii="Garamond" w:cs="Garamond" w:eastAsia="Garamond" w:hAnsi="Garamond"/>
          <w:b/>
          <w:bCs/>
          <w:color w:val="1B2A4A"/>
          <w:sz w:val="22"/>
          <w:szCs w:val="22"/>
        </w:rPr>
        <w:t xml:space="preserve">No Permanent Emergency</w:t>
      </w:r>
    </w:p>
    <w:p>
      <w:pPr>
        <w:spacing w:after="120" w:before="0"/>
        <w:ind w:left="863"/>
        <w:jc w:val="both"/>
      </w:pPr>
      <w:r>
        <w:rPr>
          <w:rFonts w:ascii="Garamond" w:cs="Garamond" w:eastAsia="Garamond" w:hAnsi="Garamond"/>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pPr>
      <w:r>
        <w:rPr>
          <w:rFonts w:ascii="Courier New" w:cs="Courier New" w:eastAsia="Courier New" w:hAnsi="Courier New"/>
          <w:b/>
          <w:bCs/>
          <w:color w:val="1B2A4A"/>
          <w:sz w:val="18"/>
          <w:szCs w:val="18"/>
        </w:rPr>
        <w:t xml:space="preserve">§1.26  </w:t>
      </w:r>
      <w:r>
        <w:rPr>
          <w:rFonts w:ascii="Garamond" w:cs="Garamond" w:eastAsia="Garamond" w:hAnsi="Garamond"/>
          <w:b/>
          <w:bCs/>
          <w:color w:val="1B2A4A"/>
          <w:sz w:val="22"/>
          <w:szCs w:val="22"/>
        </w:rPr>
        <w:t xml:space="preserve">Associated Community Residents</w:t>
      </w:r>
    </w:p>
    <w:p>
      <w:pPr>
        <w:spacing w:after="120" w:before="0"/>
        <w:ind w:left="431"/>
        <w:jc w:val="both"/>
      </w:pPr>
      <w:r>
        <w:rPr>
          <w:rFonts w:ascii="Garamond" w:cs="Garamond" w:eastAsia="Garamond" w:hAnsi="Garamond"/>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color w:val="1B2A4A"/>
          <w:sz w:val="22"/>
          <w:szCs w:val="22"/>
        </w:rPr>
        <w:t xml:space="preserve">Non-Refoulement</w:t>
      </w:r>
    </w:p>
    <w:p>
      <w:pPr>
        <w:spacing w:after="120" w:before="0"/>
        <w:ind w:left="431"/>
        <w:jc w:val="both"/>
      </w:pPr>
      <w:r>
        <w:rPr>
          <w:rFonts w:ascii="Garamond" w:cs="Garamond" w:eastAsia="Garamond" w:hAnsi="Garamond"/>
          <w:color w:val="2a2520"/>
          <w:sz w:val="22"/>
          <w:szCs w:val="22"/>
        </w:rPr>
        <w:t xml:space="preserve">The absolute prohibition on returning any person to persecution — one of the six permanently unamendable provisions under §15.3.a. No exception for immigration status, mode of entry, or emergency declaration. The Republic cannot return, expel, or extradite any person to a territory where they face genuine risk of persecution, torture, or deprivation of life based on race, religion, nationality, political opinion, or group membership. This provision is the constitutional foundation of the asylum track in §6.4 — a person who files a §1.27 claim cannot be removed while it is pending.</w:t>
      </w:r>
    </w:p>
    <w:p>
      <w:pPr>
        <w:spacing w:after="6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color w:val="1B2A4A"/>
          <w:sz w:val="22"/>
          <w:szCs w:val="22"/>
        </w:rPr>
        <w:t xml:space="preserve">Medical Autonomy</w:t>
      </w:r>
    </w:p>
    <w:p>
      <w:pPr>
        <w:spacing w:after="120" w:before="0"/>
        <w:ind w:left="431"/>
        <w:jc w:val="both"/>
      </w:pPr>
      <w:r>
        <w:rPr>
          <w:rFonts w:ascii="Garamond" w:cs="Garamond" w:eastAsia="Garamond" w:hAnsi="Garamond"/>
          <w:color w:val="2a2520"/>
          <w:sz w:val="22"/>
          <w:szCs w:val="22"/>
        </w:rPr>
        <w:t xml:space="preserve">Medical decisions belong to the patient and their licensed provider — not to the State. The first paragraph establishes this as a constitutional principle: government cannot require or forbid specific treatments in the individual patient-provider relationship. The State's legitimate role is safety and standards: licensing, scope of practice, quality regulation. State governments may regulate which services licensed professionals offer within their jurisdiction — this is the provision that makes state-level restrictions on contested services constitutionally valid. The second paragraph closes extraterritorial reach on four independent grounds: the patient who receives care elsewhere is protected; the person who helps them travel or pay is protected; the provider at home who refers them or provides information is protected; the out-of-state provider who performed the care is protected. All four protections apply to care that was lawful where it was provided. A state may restrict services within its borders; it may not follow its citizens across those borders or reach across to punish those who served them.</w:t>
      </w:r>
    </w:p>
    <w:p>
      <w:pPr>
        <w:spacing w:after="60" w:before="200"/>
        <w:ind w:left="431"/>
      </w:pPr>
      <w:r>
        <w:rPr>
          <w:rFonts w:ascii="Courier New" w:cs="Courier New" w:eastAsia="Courier New" w:hAnsi="Courier New"/>
          <w:b/>
          <w:bCs/>
          <w:color w:val="1B2A4A"/>
          <w:sz w:val="18"/>
          <w:szCs w:val="18"/>
        </w:rPr>
        <w:t xml:space="preserve">§1.29  </w:t>
      </w:r>
      <w:r>
        <w:rPr>
          <w:rFonts w:ascii="Garamond" w:cs="Garamond" w:eastAsia="Garamond" w:hAnsi="Garamond"/>
          <w:b/>
          <w:bCs/>
          <w:color w:val="1B2A4A"/>
          <w:sz w:val="22"/>
          <w:szCs w:val="22"/>
        </w:rPr>
        <w:t xml:space="preserve">Right to Privacy</w:t>
      </w:r>
    </w:p>
    <w:p>
      <w:pPr>
        <w:spacing w:after="120" w:before="0"/>
        <w:ind w:left="431"/>
        <w:jc w:val="both"/>
      </w:pPr>
      <w:r>
        <w:rPr>
          <w:rFonts w:ascii="Garamond" w:cs="Garamond" w:eastAsia="Garamond" w:hAnsi="Garamond"/>
          <w:color w:val="2a2520"/>
          <w:sz w:val="22"/>
          <w:szCs w:val="22"/>
        </w:rPr>
        <w:t xml:space="preserve">The general right to privacy is the interpretive umbrella over all specific privacy protections in the constitution. A person has the right to privacy in their person, home, communications, associations, health, and personal data — the enumeration signals breadth, not limitation. The general right governs wherever no specific provision addresses the question. The government may abridge it only on a showing of specific, articulable necessity and only to the minimum extent that necessity requires. This formulation is narrower than a pure proportionality test — necessity must be specific and articulable, not merely proportionate to a general state interest. Associational privacy — the right to keep private who you associate with, distinct from freedom of association and from communications content — is pinned for future consideration; the general right provides a constitutional hook in the interim.</w:t>
      </w:r>
    </w:p>
    <w:p>
      <w:pPr>
        <w:spacing w:after="60" w:before="200"/>
        <w:ind w:left="863"/>
      </w:pPr>
      <w:r>
        <w:rPr>
          <w:rFonts w:ascii="Courier New" w:cs="Courier New" w:eastAsia="Courier New" w:hAnsi="Courier New"/>
          <w:b/>
          <w:bCs/>
          <w:color w:val="1B2A4A"/>
          <w:sz w:val="18"/>
          <w:szCs w:val="18"/>
        </w:rPr>
        <w:t xml:space="preserve">§1.29.a  </w:t>
      </w:r>
      <w:r>
        <w:rPr>
          <w:rFonts w:ascii="Garamond" w:cs="Garamond" w:eastAsia="Garamond" w:hAnsi="Garamond"/>
          <w:b/>
          <w:bCs/>
          <w:color w:val="1B2A4A"/>
          <w:sz w:val="22"/>
          <w:szCs w:val="22"/>
        </w:rPr>
        <w:t xml:space="preserve">Searches and Seizures</w:t>
      </w:r>
    </w:p>
    <w:p>
      <w:pPr>
        <w:spacing w:after="120" w:before="0"/>
        <w:ind w:left="863"/>
        <w:jc w:val="both"/>
      </w:pPr>
      <w:r>
        <w:rPr>
          <w:rFonts w:ascii="Garamond" w:cs="Garamond" w:eastAsia="Garamond" w:hAnsi="Garamond"/>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 This provision supplements §1.10.a's home and digital privacy warrant requirement; the more protective standard applies in any conflict. The consolidation under §1.29 gives these protections an explicit privacy grounding rather than a purely procedural one — the search and seizure prohibition is an expression of the right to privacy, not merely a limit on government procedure.</w:t>
      </w:r>
    </w:p>
    <w:p>
      <w:pPr>
        <w:spacing w:after="60" w:before="200"/>
        <w:ind w:left="863"/>
      </w:pPr>
      <w:r>
        <w:rPr>
          <w:rFonts w:ascii="Courier New" w:cs="Courier New" w:eastAsia="Courier New" w:hAnsi="Courier New"/>
          <w:b/>
          <w:bCs/>
          <w:color w:val="1B2A4A"/>
          <w:sz w:val="18"/>
          <w:szCs w:val="18"/>
        </w:rPr>
        <w:t xml:space="preserve">§1.29.b  </w:t>
      </w:r>
      <w:r>
        <w:rPr>
          <w:rFonts w:ascii="Garamond" w:cs="Garamond" w:eastAsia="Garamond" w:hAnsi="Garamond"/>
          <w:b/>
          <w:bCs/>
          <w:color w:val="1B2A4A"/>
          <w:sz w:val="22"/>
          <w:szCs w:val="22"/>
        </w:rPr>
        <w:t xml:space="preserve">Medical Privacy</w:t>
      </w:r>
    </w:p>
    <w:p>
      <w:pPr>
        <w:spacing w:after="120" w:before="0"/>
        <w:ind w:left="863"/>
        <w:jc w:val="both"/>
      </w:pPr>
      <w:r>
        <w:rPr>
          <w:rFonts w:ascii="Garamond" w:cs="Garamond" w:eastAsia="Garamond" w:hAnsi="Garamond"/>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 This provision is distinct from §1.28 Medical Autonomy — §1.28 protects the right to make medical decisions; §1.29.b protects the privacy of information about those decisions and about a person's health generally. Both apply independently. A government could theoretically comply with §1.28 while violating §1.29.b — respecting a treatment decision while disclosing the health information associated with it. The two provisions close different gaps.</w:t>
      </w:r>
    </w:p>
    <w:p>
      <w:pPr>
        <w:spacing w:after="60" w:before="200"/>
        <w:ind w:left="863"/>
      </w:pPr>
      <w:r>
        <w:rPr>
          <w:rFonts w:ascii="Courier New" w:cs="Courier New" w:eastAsia="Courier New" w:hAnsi="Courier New"/>
          <w:b/>
          <w:bCs/>
          <w:color w:val="1B2A4A"/>
          <w:sz w:val="18"/>
          <w:szCs w:val="18"/>
        </w:rPr>
        <w:t xml:space="preserve">§1.29.c  </w:t>
      </w:r>
      <w:r>
        <w:rPr>
          <w:rFonts w:ascii="Garamond" w:cs="Garamond" w:eastAsia="Garamond" w:hAnsi="Garamond"/>
          <w:b/>
          <w:bCs/>
          <w:color w:val="1B2A4A"/>
          <w:sz w:val="22"/>
          <w:szCs w:val="22"/>
        </w:rPr>
        <w:t xml:space="preserve">Communications and Data</w:t>
      </w:r>
    </w:p>
    <w:p>
      <w:pPr>
        <w:spacing w:after="120" w:before="0"/>
        <w:ind w:left="863"/>
        <w:jc w:val="both"/>
      </w:pPr>
      <w:r>
        <w:rPr>
          <w:rFonts w:ascii="Garamond" w:cs="Garamond" w:eastAsia="Garamond" w:hAnsi="Garamond"/>
          <w:color w:val="2a2520"/>
          <w:sz w:val="22"/>
          <w:szCs w:val="22"/>
        </w:rPr>
        <w:t xml:space="preserve">Government collection of private communications or personal data requires specific judicial authorization identifying the person, the data sought, and the collection period. Bulk collection — without individual identification — is prohibited outright. Private-sector entities cannot be compelled to collect or disclose on government's behalf beyond what independent judicial authorization would permit; this closes the "compelled intermediary" gap where governments use private companies as collection proxies. The Legislature may establish data minimization and retention limits for government-held data. This provision gives the constitution a forward-facing hook for technologies that didn't exist at drafting — whatever form data collection takes, the judicial authorization requirement applies.</w:t>
      </w:r>
    </w:p>
    <w:p>
      <w:pPr>
        <w:spacing w:after="60" w:before="200"/>
        <w:ind w:left="863"/>
      </w:pPr>
      <w:r>
        <w:rPr>
          <w:rFonts w:ascii="Courier New" w:cs="Courier New" w:eastAsia="Courier New" w:hAnsi="Courier New"/>
          <w:b/>
          <w:bCs/>
          <w:color w:val="1B2A4A"/>
          <w:sz w:val="18"/>
          <w:szCs w:val="18"/>
        </w:rPr>
        <w:t xml:space="preserve">§1.29.d  </w:t>
      </w:r>
      <w:r>
        <w:rPr>
          <w:rFonts w:ascii="Garamond" w:cs="Garamond" w:eastAsia="Garamond" w:hAnsi="Garamond"/>
          <w:b/>
          <w:bCs/>
          <w:color w:val="1B2A4A"/>
          <w:sz w:val="22"/>
          <w:szCs w:val="22"/>
        </w:rPr>
        <w:t xml:space="preserve">Intelligence Firewall</w:t>
      </w:r>
    </w:p>
    <w:p>
      <w:pPr>
        <w:spacing w:after="120" w:before="0"/>
        <w:ind w:left="863"/>
        <w:jc w:val="both"/>
      </w:pPr>
      <w:r>
        <w:rPr>
          <w:rFonts w:ascii="Garamond" w:cs="Garamond" w:eastAsia="Garamond" w:hAnsi="Garamond"/>
          <w:color w:val="2a2520"/>
          <w:sz w:val="22"/>
          <w:szCs w:val="22"/>
        </w:rPr>
        <w:t xml:space="preserve">Migrated from §12.3 with language unchanged. All domestic intelligence operations against Republic citizens are permanently prohibited and constitutionally void. Any such order is reported to the NRS by the EI. This prohibition is non-derogable — no emergency, treaty, or statute can suspend it. Placed in Article I rather than Article XII because it is a rights provision, not merely a structural one: §12.3 approached it as an institutional constraint on the intelligence apparatus; §1.29.d grounds it as a right of every person in the Republic. The non-derogable character means it cannot be balanced against the general privacy right's necessity standard — necessity, however compelling, does not justify domestic intelligence operations. This provision goes further than any of the other §1.29 sub-provisions: §1.29.a through §1.29.c can be overridden by specific judicial authorization; §1.29.d cannot be overridden at all.</w:t>
      </w:r>
    </w:p>
    <w:p>
      <w:pPr>
        <w:spacing w:after="60" w:before="200"/>
        <w:ind w:left="863"/>
      </w:pPr>
      <w:r>
        <w:rPr>
          <w:rFonts w:ascii="Courier New" w:cs="Courier New" w:eastAsia="Courier New" w:hAnsi="Courier New"/>
          <w:b/>
          <w:bCs/>
          <w:color w:val="1B2A4A"/>
          <w:sz w:val="18"/>
          <w:szCs w:val="18"/>
        </w:rPr>
        <w:t xml:space="preserve">§1.29.e  </w:t>
      </w:r>
      <w:r>
        <w:rPr>
          <w:rFonts w:ascii="Garamond" w:cs="Garamond" w:eastAsia="Garamond" w:hAnsi="Garamond"/>
          <w:b/>
          <w:bCs/>
          <w:color w:val="1B2A4A"/>
          <w:sz w:val="22"/>
          <w:szCs w:val="22"/>
        </w:rPr>
        <w:t xml:space="preserve">Associational Privacy</w:t>
      </w:r>
    </w:p>
    <w:p>
      <w:pPr>
        <w:spacing w:after="120" w:before="0"/>
        <w:ind w:left="863"/>
        <w:jc w:val="both"/>
      </w:pPr>
      <w:r>
        <w:rPr>
          <w:rFonts w:ascii="Garamond" w:cs="Garamond" w:eastAsia="Garamond" w:hAnsi="Garamond"/>
          <w:color w:val="2a2520"/>
          <w:sz w:val="22"/>
          <w:szCs w:val="22"/>
        </w:rPr>
        <w:t xml:space="preserve">The explicit provision that closes the gap between freedom of association (§1.6) and privacy in associations. §1.6 protects the right to associate; §1.29.e protects the right to keep private who you associate with and the fact that you do. A government can comply with §1.6 while violating §1.29.e — it can refrain from prohibiting membership while systematically mapping it. The NAACP v. Alabama problem: compelling a membership list doesn't stop anyone from associating, but it destroys the practical value of the protection. Government mapping of associations — who a person knows, meets, communicates with, or joins — requires the same specific judicial authorization as communications collection under §1.29.c. Bulk mapping is prohibited on the same terms as bulk collection. The general right in §1.29 listed "associations" but didn't specify this protection explicitly; §1.29.e closes that interpretive gap.</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 — The Dual Executive</w:t>
      </w:r>
    </w:p>
    <w:p>
      <w:pPr>
        <w:spacing w:after="120"/>
      </w:pPr>
    </w:p>
    <w:p>
      <w:pPr>
        <w:spacing w:after="60" w:before="200"/>
        <w:ind w:left="431"/>
      </w:pPr>
      <w:r>
        <w:rPr>
          <w:rFonts w:ascii="Courier New" w:cs="Courier New" w:eastAsia="Courier New" w:hAnsi="Courier New"/>
          <w:b/>
          <w:bCs/>
          <w:color w:val="1B2A4A"/>
          <w:sz w:val="18"/>
          <w:szCs w:val="18"/>
        </w:rPr>
        <w:t xml:space="preserve">§2.1  </w:t>
      </w:r>
      <w:r>
        <w:rPr>
          <w:rFonts w:ascii="Garamond" w:cs="Garamond" w:eastAsia="Garamond" w:hAnsi="Garamond"/>
          <w:b/>
          <w:bCs/>
          <w:color w:val="1B2A4A"/>
          <w:sz w:val="22"/>
          <w:szCs w:val="22"/>
        </w:rPr>
        <w:t xml:space="preserve">The President — Term and Transfer</w:t>
      </w:r>
    </w:p>
    <w:p>
      <w:pPr>
        <w:spacing w:after="120" w:before="0"/>
        <w:ind w:left="431"/>
        <w:jc w:val="both"/>
      </w:pPr>
      <w:r>
        <w:rPr>
          <w:rFonts w:ascii="Garamond" w:cs="Garamond" w:eastAsia="Garamond" w:hAnsi="Garamond"/>
          <w:color w:val="2a2520"/>
          <w:sz w:val="22"/>
          <w:szCs w:val="22"/>
        </w:rPr>
        <w:t xml:space="preserve">The opening provision of the Presidential domain. Authority is defined and bounded — military command, foreign affairs, intelligence, treaty negotiation, trade agreements, domain officer appointments, and the domain-scoped veto. The structure is intentional: Presidential authority is enumerated; PM authority is residual. Any question about which executive holds a function resolves to the PM unless the President can point to a specific enumerated power here.</w:t>
      </w:r>
    </w:p>
    <w:p>
      <w:pPr>
        <w:spacing w:after="60" w:before="200"/>
        <w:ind w:left="863"/>
      </w:pPr>
      <w:r>
        <w:rPr>
          <w:rFonts w:ascii="Courier New" w:cs="Courier New" w:eastAsia="Courier New" w:hAnsi="Courier New"/>
          <w:b/>
          <w:bCs/>
          <w:color w:val="1B2A4A"/>
          <w:sz w:val="18"/>
          <w:szCs w:val="18"/>
        </w:rPr>
        <w:t xml:space="preserve">§2.1.a  </w:t>
      </w:r>
      <w:r>
        <w:rPr>
          <w:rFonts w:ascii="Garamond" w:cs="Garamond" w:eastAsia="Garamond" w:hAnsi="Garamond"/>
          <w:b/>
          <w:bCs/>
          <w:color w:val="1B2A4A"/>
          <w:sz w:val="22"/>
          <w:szCs w:val="22"/>
        </w:rPr>
        <w:t xml:space="preserve">Tier 1 — Immediate Defensive Response</w:t>
      </w:r>
    </w:p>
    <w:p>
      <w:pPr>
        <w:spacing w:after="120" w:before="0"/>
        <w:ind w:left="863"/>
        <w:jc w:val="both"/>
      </w:pPr>
      <w:r>
        <w:rPr>
          <w:rFonts w:ascii="Garamond" w:cs="Garamond" w:eastAsia="Garamond" w:hAnsi="Garamond"/>
          <w:color w:val="2a2520"/>
          <w:sz w:val="22"/>
          <w:szCs w:val="22"/>
        </w:rPr>
        <w:t xml:space="preserve">Tier 1: immediate defensive response — self-executing, no prior authorization required.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863"/>
      </w:pPr>
      <w:r>
        <w:rPr>
          <w:rFonts w:ascii="Courier New" w:cs="Courier New" w:eastAsia="Courier New" w:hAnsi="Courier New"/>
          <w:b/>
          <w:bCs/>
          <w:color w:val="1B2A4A"/>
          <w:sz w:val="18"/>
          <w:szCs w:val="18"/>
        </w:rPr>
        <w:t xml:space="preserve">§2.1.b  </w:t>
      </w:r>
      <w:r>
        <w:rPr>
          <w:rFonts w:ascii="Garamond" w:cs="Garamond" w:eastAsia="Garamond" w:hAnsi="Garamond"/>
          <w:b/>
          <w:bCs/>
          <w:color w:val="1B2A4A"/>
          <w:sz w:val="22"/>
          <w:szCs w:val="22"/>
        </w:rPr>
        <w:t xml:space="preserve">Tier 2 — Senate Armed Services Authorization</w:t>
      </w:r>
    </w:p>
    <w:p>
      <w:pPr>
        <w:spacing w:after="120" w:before="0"/>
        <w:ind w:left="863"/>
        <w:jc w:val="both"/>
      </w:pPr>
      <w:r>
        <w:rPr>
          <w:rFonts w:ascii="Garamond" w:cs="Garamond" w:eastAsia="Garamond" w:hAnsi="Garamond"/>
          <w:color w:val="2a2520"/>
          <w:sz w:val="22"/>
          <w:szCs w:val="22"/>
        </w:rPr>
        <w:t xml:space="preserve">Tier 2: Senate Armed Services Committee authorization — 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863"/>
      </w:pPr>
      <w:r>
        <w:rPr>
          <w:rFonts w:ascii="Courier New" w:cs="Courier New" w:eastAsia="Courier New" w:hAnsi="Courier New"/>
          <w:b/>
          <w:bCs/>
          <w:color w:val="1B2A4A"/>
          <w:sz w:val="18"/>
          <w:szCs w:val="18"/>
        </w:rPr>
        <w:t xml:space="preserve">§2.1.c  </w:t>
      </w:r>
      <w:r>
        <w:rPr>
          <w:rFonts w:ascii="Garamond" w:cs="Garamond" w:eastAsia="Garamond" w:hAnsi="Garamond"/>
          <w:b/>
          <w:bCs/>
          <w:color w:val="1B2A4A"/>
          <w:sz w:val="22"/>
          <w:szCs w:val="22"/>
        </w:rPr>
        <w:t xml:space="preserve">Tier 3 — Legislative Declaration of Defense</w:t>
      </w:r>
    </w:p>
    <w:p>
      <w:pPr>
        <w:spacing w:after="120" w:before="0"/>
        <w:ind w:left="863"/>
        <w:jc w:val="both"/>
      </w:pPr>
      <w:r>
        <w:rPr>
          <w:rFonts w:ascii="Garamond" w:cs="Garamond" w:eastAsia="Garamond" w:hAnsi="Garamond"/>
          <w:color w:val="2a2520"/>
          <w:sz w:val="22"/>
          <w:szCs w:val="22"/>
        </w:rPr>
        <w:t xml:space="preserve">Tier 3: Legislative Declaration of Defense — 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863"/>
      </w:pPr>
      <w:r>
        <w:rPr>
          <w:rFonts w:ascii="Courier New" w:cs="Courier New" w:eastAsia="Courier New" w:hAnsi="Courier New"/>
          <w:b/>
          <w:bCs/>
          <w:color w:val="1B2A4A"/>
          <w:sz w:val="18"/>
          <w:szCs w:val="18"/>
        </w:rPr>
        <w:t xml:space="preserve">§2.1.d  </w:t>
      </w:r>
      <w:r>
        <w:rPr>
          <w:rFonts w:ascii="Garamond" w:cs="Garamond" w:eastAsia="Garamond" w:hAnsi="Garamond"/>
          <w:b/>
          <w:bCs/>
          <w:color w:val="1B2A4A"/>
          <w:sz w:val="22"/>
          <w:szCs w:val="22"/>
        </w:rPr>
        <w:t xml:space="preserve">Funding Lock</w:t>
      </w:r>
    </w:p>
    <w:p>
      <w:pPr>
        <w:spacing w:after="120" w:before="0"/>
        <w:ind w:left="863"/>
        <w:jc w:val="both"/>
      </w:pPr>
      <w:r>
        <w:rPr>
          <w:rFonts w:ascii="Garamond" w:cs="Garamond" w:eastAsia="Garamond" w:hAnsi="Garamond"/>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863"/>
      </w:pPr>
      <w:r>
        <w:rPr>
          <w:rFonts w:ascii="Courier New" w:cs="Courier New" w:eastAsia="Courier New" w:hAnsi="Courier New"/>
          <w:b/>
          <w:bCs/>
          <w:color w:val="1B2A4A"/>
          <w:sz w:val="18"/>
          <w:szCs w:val="18"/>
        </w:rPr>
        <w:t xml:space="preserve">§2.1.e  </w:t>
      </w:r>
      <w:r>
        <w:rPr>
          <w:rFonts w:ascii="Garamond" w:cs="Garamond" w:eastAsia="Garamond" w:hAnsi="Garamond"/>
          <w:b/>
          <w:bCs/>
          <w:color w:val="1B2A4A"/>
          <w:sz w:val="22"/>
          <w:szCs w:val="22"/>
        </w:rPr>
        <w:t xml:space="preserve">Privacy Firewall</w:t>
      </w:r>
    </w:p>
    <w:p>
      <w:pPr>
        <w:spacing w:after="120" w:before="0"/>
        <w:ind w:left="863"/>
        <w:jc w:val="both"/>
      </w:pPr>
      <w:r>
        <w:rPr>
          <w:rFonts w:ascii="Garamond" w:cs="Garamond" w:eastAsia="Garamond" w:hAnsi="Garamond"/>
          <w:color w:val="2a2520"/>
          <w:sz w:val="22"/>
          <w:szCs w:val="22"/>
        </w:rPr>
        <w:t xml:space="preserve">Cross-references §1.29.d as the authoritative Intelligence Firewall provision. The prohibition on domestic intelligence operations against Republic citizens is non-derogable and permanent — governed by §1.29.d. §2.1.e previously restated the prohibition in language not identical to §1.29.d. Now redirects all references to §1.29.d. Any order in violation is constitutionally void; the EI reports any such order to the NRS.</w:t>
      </w:r>
    </w:p>
    <w:p>
      <w:pPr>
        <w:spacing w:after="60" w:before="200"/>
        <w:ind w:left="863"/>
      </w:pPr>
      <w:r>
        <w:rPr>
          <w:rFonts w:ascii="Courier New" w:cs="Courier New" w:eastAsia="Courier New" w:hAnsi="Courier New"/>
          <w:b/>
          <w:bCs/>
          <w:color w:val="1B2A4A"/>
          <w:sz w:val="18"/>
          <w:szCs w:val="18"/>
        </w:rPr>
        <w:t xml:space="preserve">§2.1.f  </w:t>
      </w:r>
      <w:r>
        <w:rPr>
          <w:rFonts w:ascii="Garamond" w:cs="Garamond" w:eastAsia="Garamond" w:hAnsi="Garamond"/>
          <w:b/>
          <w:bCs/>
          <w:color w:val="1B2A4A"/>
          <w:sz w:val="22"/>
          <w:szCs w:val="22"/>
        </w:rPr>
        <w:t xml:space="preserve">Presidential Veto — Scope</w:t>
      </w:r>
    </w:p>
    <w:p>
      <w:pPr>
        <w:spacing w:after="120" w:before="0"/>
        <w:ind w:left="863"/>
        <w:jc w:val="both"/>
      </w:pPr>
      <w:r>
        <w:rPr>
          <w:rFonts w:ascii="Garamond" w:cs="Garamond" w:eastAsia="Garamond" w:hAnsi="Garamond"/>
          <w:color w:val="2a2520"/>
          <w:sz w:val="22"/>
          <w:szCs w:val="22"/>
        </w:rPr>
        <w:t xml:space="preserve">Domain-scoped veto — deliberately the most limited presidential veto in any constitutional design. The President may veto only bills raising a genuine constitutional concern within the security domain: military operations, intelligence, treaty obligations, border security. A general or speculative security connection is not sufficient. The SC reviews any presidential veto within 48 hours on petition from either Speaker — prevents the veto from becoming a de facto policy lever dressed in security language.</w:t>
      </w:r>
    </w:p>
    <w:p>
      <w:pPr>
        <w:spacing w:after="60" w:before="200"/>
        <w:ind w:left="1296"/>
      </w:pPr>
      <w:r>
        <w:rPr>
          <w:rFonts w:ascii="Courier New" w:cs="Courier New" w:eastAsia="Courier New" w:hAnsi="Courier New"/>
          <w:b/>
          <w:bCs/>
          <w:color w:val="1B2A4A"/>
          <w:sz w:val="18"/>
          <w:szCs w:val="18"/>
        </w:rPr>
        <w:t xml:space="preserve">§2.1.f.i  </w:t>
      </w:r>
      <w:r>
        <w:rPr>
          <w:rFonts w:ascii="Garamond" w:cs="Garamond" w:eastAsia="Garamond" w:hAnsi="Garamond"/>
          <w:b/>
          <w:bCs/>
          <w:color w:val="1B2A4A"/>
          <w:sz w:val="22"/>
          <w:szCs w:val="22"/>
        </w:rPr>
        <w:t xml:space="preserve">Judicial Review and Override</w:t>
      </w:r>
    </w:p>
    <w:p>
      <w:pPr>
        <w:spacing w:after="120" w:before="0"/>
        <w:ind w:left="1296"/>
        <w:jc w:val="both"/>
      </w:pPr>
      <w:r>
        <w:rPr>
          <w:rFonts w:ascii="Garamond" w:cs="Garamond" w:eastAsia="Garamond" w:hAnsi="Garamond"/>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863"/>
      </w:pPr>
      <w:r>
        <w:rPr>
          <w:rFonts w:ascii="Courier New" w:cs="Courier New" w:eastAsia="Courier New" w:hAnsi="Courier New"/>
          <w:b/>
          <w:bCs/>
          <w:color w:val="1B2A4A"/>
          <w:sz w:val="18"/>
          <w:szCs w:val="18"/>
        </w:rPr>
        <w:t xml:space="preserve">§2.1.g  </w:t>
      </w:r>
      <w:r>
        <w:rPr>
          <w:rFonts w:ascii="Garamond" w:cs="Garamond" w:eastAsia="Garamond" w:hAnsi="Garamond"/>
          <w:b/>
          <w:bCs/>
          <w:color w:val="1B2A4A"/>
          <w:sz w:val="22"/>
          <w:szCs w:val="22"/>
        </w:rPr>
        <w:t xml:space="preserve">Presidential Clemency</w:t>
      </w:r>
    </w:p>
    <w:p>
      <w:pPr>
        <w:spacing w:after="120" w:before="0"/>
        <w:ind w:left="863"/>
        <w:jc w:val="both"/>
      </w:pPr>
      <w:r>
        <w:rPr>
          <w:rFonts w:ascii="Garamond" w:cs="Garamond" w:eastAsia="Garamond" w:hAnsi="Garamond"/>
          <w:color w:val="2a2520"/>
          <w:sz w:val="22"/>
          <w:szCs w:val="22"/>
        </w:rPr>
        <w:t xml:space="preserve">Presidential clemency is domain-scoped: military law and national security offenses only. Before any grant, the EI publishes a factual background report — the petitioner's record, conviction circumstances, and prior EI findings — simultaneously to the NRS. Self-clemency is constitutionally prohibited under §2.9.b. Cross-chamber prohibition under §2.9.c: the President may not pardon a PM offense, nor the PM a Presidential one.</w:t>
      </w:r>
    </w:p>
    <w:p>
      <w:pPr>
        <w:spacing w:after="60" w:before="200"/>
        <w:ind w:left="863"/>
      </w:pPr>
      <w:r>
        <w:rPr>
          <w:rFonts w:ascii="Courier New" w:cs="Courier New" w:eastAsia="Courier New" w:hAnsi="Courier New"/>
          <w:b/>
          <w:bCs/>
          <w:color w:val="1B2A4A"/>
          <w:sz w:val="18"/>
          <w:szCs w:val="18"/>
        </w:rPr>
        <w:t xml:space="preserve">§2.1.h  </w:t>
      </w:r>
      <w:r>
        <w:rPr>
          <w:rFonts w:ascii="Garamond" w:cs="Garamond" w:eastAsia="Garamond" w:hAnsi="Garamond"/>
          <w:b/>
          <w:bCs/>
          <w:color w:val="1B2A4A"/>
          <w:sz w:val="22"/>
          <w:szCs w:val="22"/>
        </w:rPr>
        <w:t xml:space="preserve">Dual Executive Conflict Resolution During Active Operations</w:t>
      </w:r>
    </w:p>
    <w:p>
      <w:pPr>
        <w:spacing w:after="120" w:before="0"/>
        <w:ind w:left="863"/>
        <w:jc w:val="both"/>
      </w:pPr>
      <w:r>
        <w:rPr>
          <w:rFonts w:ascii="Garamond" w:cs="Garamond" w:eastAsia="Garamond" w:hAnsi="Garamond"/>
          <w:color w:val="2a2520"/>
          <w:sz w:val="22"/>
          <w:szCs w:val="22"/>
        </w:rPr>
        <w:t xml:space="preserve">Conflict resolution during active military operations — four steps: written NRS objection within 6 hours; 12-hour negotiation window; SC emergency domain determination within 24 hours on petition; pending ruling, Presidential order governs only for operations directly connected to the active military situation while all other government functions follow the PM. Prevents either executive from using military operations as cover to assert authority over the other's domain.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863"/>
      </w:pPr>
      <w:r>
        <w:rPr>
          <w:rFonts w:ascii="Courier New" w:cs="Courier New" w:eastAsia="Courier New" w:hAnsi="Courier New"/>
          <w:b/>
          <w:bCs/>
          <w:color w:val="1B2A4A"/>
          <w:sz w:val="18"/>
          <w:szCs w:val="18"/>
        </w:rPr>
        <w:t xml:space="preserve">§2.1.i  </w:t>
      </w:r>
      <w:r>
        <w:rPr>
          <w:rFonts w:ascii="Garamond" w:cs="Garamond" w:eastAsia="Garamond" w:hAnsi="Garamond"/>
          <w:b/>
          <w:bCs/>
          <w:color w:val="1B2A4A"/>
          <w:sz w:val="22"/>
          <w:szCs w:val="22"/>
        </w:rPr>
        <w:t xml:space="preserve">International Trade Authority</w:t>
      </w:r>
    </w:p>
    <w:p>
      <w:pPr>
        <w:spacing w:after="120" w:before="0"/>
        <w:ind w:left="863"/>
        <w:jc w:val="both"/>
      </w:pPr>
      <w:r>
        <w:rPr>
          <w:rFonts w:ascii="Garamond" w:cs="Garamond" w:eastAsia="Garamond" w:hAnsi="Garamond"/>
          <w:color w:val="2a2520"/>
          <w:sz w:val="22"/>
          <w:szCs w:val="22"/>
        </w:rPr>
        <w:t xml:space="preserve">President negotiates and concludes trade agreements; PM written concurrence required where materially affecting the domestic economy. The SC ruled in The Concurrence Dispute (Year 28) that national treatment obligations within Republic territory require PM concurrence — they directly govern how domestic industry is regulated. Where PM concurrence is withheld, domestic provisions may be transmitted to the House Speaker as ordinary legislation. Ratification by 2/3 Senate majority under §3.2.e.</w:t>
      </w:r>
    </w:p>
    <w:p>
      <w:pPr>
        <w:spacing w:after="60" w:before="200"/>
        <w:ind w:left="863"/>
      </w:pPr>
      <w:r>
        <w:rPr>
          <w:rFonts w:ascii="Courier New" w:cs="Courier New" w:eastAsia="Courier New" w:hAnsi="Courier New"/>
          <w:b/>
          <w:bCs/>
          <w:color w:val="1B2A4A"/>
          <w:sz w:val="18"/>
          <w:szCs w:val="18"/>
        </w:rPr>
        <w:t xml:space="preserve">§2.1.j  </w:t>
      </w:r>
      <w:r>
        <w:rPr>
          <w:rFonts w:ascii="Garamond" w:cs="Garamond" w:eastAsia="Garamond" w:hAnsi="Garamond"/>
          <w:b/>
          <w:bCs/>
          <w:color w:val="1B2A4A"/>
          <w:sz w:val="22"/>
          <w:szCs w:val="22"/>
        </w:rPr>
        <w:t xml:space="preserve">Presidential Officer Appointments and Removal</w:t>
      </w:r>
    </w:p>
    <w:p>
      <w:pPr>
        <w:spacing w:after="120" w:before="0"/>
        <w:ind w:left="863"/>
        <w:jc w:val="both"/>
      </w:pPr>
      <w:r>
        <w:rPr>
          <w:rFonts w:ascii="Garamond" w:cs="Garamond" w:eastAsia="Garamond" w:hAnsi="Garamond"/>
          <w:color w:val="2a2520"/>
          <w:sz w:val="22"/>
          <w:szCs w:val="22"/>
        </w:rPr>
        <w:t xml:space="preserve">The three Presidential domain officers: Director of Intelligence, Secretary for Foreign Affairs, Secretary for Defense. PM nominates from the JI-maintained candidate registry; Senate confirms by simple majority. PM failure to nominate within 90 days triggers the Senate nomination pathway. Senate confirmation provides a check on the President's operational domain — the President directs these officers but does not control who holds the positions.</w:t>
      </w:r>
    </w:p>
    <w:p>
      <w:pPr>
        <w:spacing w:after="60" w:before="200"/>
        <w:ind w:left="431"/>
      </w:pPr>
      <w:r>
        <w:rPr>
          <w:rFonts w:ascii="Courier New" w:cs="Courier New" w:eastAsia="Courier New" w:hAnsi="Courier New"/>
          <w:b/>
          <w:bCs/>
          <w:color w:val="1B2A4A"/>
          <w:sz w:val="18"/>
          <w:szCs w:val="18"/>
        </w:rPr>
        <w:t xml:space="preserve">§2.2  </w:t>
      </w:r>
      <w:r>
        <w:rPr>
          <w:rFonts w:ascii="Garamond" w:cs="Garamond" w:eastAsia="Garamond" w:hAnsi="Garamond"/>
          <w:b/>
          <w:bCs/>
          <w:color w:val="1B2A4A"/>
          <w:sz w:val="22"/>
          <w:szCs w:val="22"/>
        </w:rPr>
        <w:t xml:space="preserve">The Prime Minister — Domestic Executive Domain</w:t>
      </w:r>
    </w:p>
    <w:p>
      <w:pPr>
        <w:spacing w:after="120" w:before="0"/>
        <w:ind w:left="431"/>
        <w:jc w:val="both"/>
      </w:pPr>
      <w:r>
        <w:rPr>
          <w:rFonts w:ascii="Garamond" w:cs="Garamond" w:eastAsia="Garamond" w:hAnsi="Garamond"/>
          <w:color w:val="2a2520"/>
          <w:sz w:val="22"/>
          <w:szCs w:val="22"/>
        </w:rPr>
        <w:t xml:space="preserve">The PM domain opening — residual authority. Everything not enumerated as Presidential is the PM's. Domestic policy, fiscal policy, BNF administration, legislation review, judicial nominations, independent agency appointments, PM clemency. The PM answers to the House through the confidence mechanism — unlike the President, who is directly elected and does not require legislative confidence.</w:t>
      </w:r>
    </w:p>
    <w:p>
      <w:pPr>
        <w:spacing w:after="60" w:before="200"/>
        <w:ind w:left="863"/>
      </w:pPr>
      <w:r>
        <w:rPr>
          <w:rFonts w:ascii="Courier New" w:cs="Courier New" w:eastAsia="Courier New" w:hAnsi="Courier New"/>
          <w:b/>
          <w:bCs/>
          <w:color w:val="1B2A4A"/>
          <w:sz w:val="18"/>
          <w:szCs w:val="18"/>
        </w:rPr>
        <w:t xml:space="preserve">§2.2.a  </w:t>
      </w:r>
      <w:r>
        <w:rPr>
          <w:rFonts w:ascii="Garamond" w:cs="Garamond" w:eastAsia="Garamond" w:hAnsi="Garamond"/>
          <w:b/>
          <w:bCs/>
          <w:color w:val="1B2A4A"/>
          <w:sz w:val="22"/>
          <w:szCs w:val="22"/>
        </w:rPr>
        <w:t xml:space="preserve">The Record System Mandate</w:t>
      </w:r>
    </w:p>
    <w:p>
      <w:pPr>
        <w:spacing w:after="120" w:before="0"/>
        <w:ind w:left="863"/>
        <w:jc w:val="both"/>
      </w:pPr>
      <w:r>
        <w:rPr>
          <w:rFonts w:ascii="Garamond" w:cs="Garamond" w:eastAsia="Garamond" w:hAnsi="Garamond"/>
          <w:color w:val="2a2520"/>
          <w:sz w:val="22"/>
          <w:szCs w:val="22"/>
        </w:rPr>
        <w:t xml:space="preserve">Domestic Policy Authority — the PM's broadest power. Healthcare, education, infrastructure, housing, labour, environment, all domestic regulatory frameworks. The residual nature of PM authority means any new policy domain that emerges belongs to the PM unless it clearly falls within the President's enumerated security domain.</w:t>
      </w:r>
    </w:p>
    <w:p>
      <w:pPr>
        <w:spacing w:after="60" w:before="200"/>
        <w:ind w:left="863"/>
      </w:pPr>
      <w:r>
        <w:rPr>
          <w:rFonts w:ascii="Courier New" w:cs="Courier New" w:eastAsia="Courier New" w:hAnsi="Courier New"/>
          <w:b/>
          <w:bCs/>
          <w:color w:val="1B2A4A"/>
          <w:sz w:val="18"/>
          <w:szCs w:val="18"/>
        </w:rPr>
        <w:t xml:space="preserve">§2.2.b  </w:t>
      </w:r>
      <w:r>
        <w:rPr>
          <w:rFonts w:ascii="Garamond" w:cs="Garamond" w:eastAsia="Garamond" w:hAnsi="Garamond"/>
          <w:b/>
          <w:bCs/>
          <w:color w:val="1B2A4A"/>
          <w:sz w:val="22"/>
          <w:szCs w:val="22"/>
        </w:rPr>
        <w:t xml:space="preserve">Duty of Refusal</w:t>
      </w:r>
    </w:p>
    <w:p>
      <w:pPr>
        <w:spacing w:after="120" w:before="0"/>
        <w:ind w:left="863"/>
        <w:jc w:val="both"/>
      </w:pPr>
      <w:r>
        <w:rPr>
          <w:rFonts w:ascii="Garamond" w:cs="Garamond" w:eastAsia="Garamond" w:hAnsi="Garamond"/>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863"/>
      </w:pPr>
      <w:r>
        <w:rPr>
          <w:rFonts w:ascii="Courier New" w:cs="Courier New" w:eastAsia="Courier New" w:hAnsi="Courier New"/>
          <w:b/>
          <w:bCs/>
          <w:color w:val="1B2A4A"/>
          <w:sz w:val="18"/>
          <w:szCs w:val="18"/>
        </w:rPr>
        <w:t xml:space="preserve">§2.2.c  </w:t>
      </w:r>
      <w:r>
        <w:rPr>
          <w:rFonts w:ascii="Garamond" w:cs="Garamond" w:eastAsia="Garamond" w:hAnsi="Garamond"/>
          <w:b/>
          <w:bCs/>
          <w:color w:val="1B2A4A"/>
          <w:sz w:val="22"/>
          <w:szCs w:val="22"/>
        </w:rPr>
        <w:t xml:space="preserve">PM Maximum Consecutive Service</w:t>
      </w:r>
    </w:p>
    <w:p>
      <w:pPr>
        <w:spacing w:after="120" w:before="0"/>
        <w:ind w:left="863"/>
        <w:jc w:val="both"/>
      </w:pPr>
      <w:r>
        <w:rPr>
          <w:rFonts w:ascii="Garamond" w:cs="Garamond" w:eastAsia="Garamond" w:hAnsi="Garamond"/>
          <w:color w:val="2a2520"/>
          <w:sz w:val="22"/>
          <w:szCs w:val="22"/>
        </w:rPr>
        <w:t xml:space="preserve">Fiscal policy and budget — 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863"/>
      </w:pPr>
      <w:r>
        <w:rPr>
          <w:rFonts w:ascii="Courier New" w:cs="Courier New" w:eastAsia="Courier New" w:hAnsi="Courier New"/>
          <w:b/>
          <w:bCs/>
          <w:color w:val="1B2A4A"/>
          <w:sz w:val="18"/>
          <w:szCs w:val="18"/>
        </w:rPr>
        <w:t xml:space="preserve">§2.2.d  </w:t>
      </w:r>
      <w:r>
        <w:rPr>
          <w:rFonts w:ascii="Garamond" w:cs="Garamond" w:eastAsia="Garamond" w:hAnsi="Garamond"/>
          <w:b/>
          <w:bCs/>
          <w:color w:val="1B2A4A"/>
          <w:sz w:val="22"/>
          <w:szCs w:val="22"/>
        </w:rPr>
        <w:t xml:space="preserve">Civil Service Integrity</w:t>
      </w:r>
    </w:p>
    <w:p>
      <w:pPr>
        <w:spacing w:after="120" w:before="0"/>
        <w:ind w:left="863"/>
        <w:jc w:val="both"/>
      </w:pPr>
      <w:r>
        <w:rPr>
          <w:rFonts w:ascii="Garamond" w:cs="Garamond" w:eastAsia="Garamond" w:hAnsi="Garamond"/>
          <w:color w:val="2a2520"/>
          <w:sz w:val="22"/>
          <w:szCs w:val="22"/>
        </w:rPr>
        <w:t xml:space="preserve">Legislative Review Period — 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00"/>
        <w:ind w:left="863"/>
      </w:pPr>
      <w:r>
        <w:rPr>
          <w:rFonts w:ascii="Courier New" w:cs="Courier New" w:eastAsia="Courier New" w:hAnsi="Courier New"/>
          <w:b/>
          <w:bCs/>
          <w:color w:val="1B2A4A"/>
          <w:sz w:val="18"/>
          <w:szCs w:val="18"/>
        </w:rPr>
        <w:t xml:space="preserve">§2.2.e  </w:t>
      </w:r>
      <w:r>
        <w:rPr>
          <w:rFonts w:ascii="Garamond" w:cs="Garamond" w:eastAsia="Garamond" w:hAnsi="Garamond"/>
          <w:b/>
          <w:bCs/>
          <w:color w:val="1B2A4A"/>
          <w:sz w:val="22"/>
          <w:szCs w:val="22"/>
        </w:rPr>
        <w:t xml:space="preserve">Domestic Emergency Authority</w:t>
      </w:r>
    </w:p>
    <w:p>
      <w:pPr>
        <w:spacing w:after="120" w:before="0"/>
        <w:ind w:left="863"/>
        <w:jc w:val="both"/>
      </w:pPr>
      <w:r>
        <w:rPr>
          <w:rFonts w:ascii="Garamond" w:cs="Garamond" w:eastAsia="Garamond" w:hAnsi="Garamond"/>
          <w:color w:val="2a2520"/>
          <w:sz w:val="22"/>
          <w:szCs w:val="22"/>
        </w:rPr>
        <w:t xml:space="preserve">Domestic Emergency Authority — 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863"/>
      </w:pPr>
      <w:r>
        <w:rPr>
          <w:rFonts w:ascii="Courier New" w:cs="Courier New" w:eastAsia="Courier New" w:hAnsi="Courier New"/>
          <w:b/>
          <w:bCs/>
          <w:color w:val="1B2A4A"/>
          <w:sz w:val="18"/>
          <w:szCs w:val="18"/>
        </w:rPr>
        <w:t xml:space="preserve">§2.2.f  </w:t>
      </w:r>
      <w:r>
        <w:rPr>
          <w:rFonts w:ascii="Garamond" w:cs="Garamond" w:eastAsia="Garamond" w:hAnsi="Garamond"/>
          <w:b/>
          <w:bCs/>
          <w:color w:val="1B2A4A"/>
          <w:sz w:val="22"/>
          <w:szCs w:val="22"/>
        </w:rPr>
        <w:t xml:space="preserve">PM Clemency</w:t>
      </w:r>
    </w:p>
    <w:p>
      <w:pPr>
        <w:spacing w:after="120" w:before="0"/>
        <w:ind w:left="863"/>
        <w:jc w:val="both"/>
      </w:pPr>
      <w:r>
        <w:rPr>
          <w:rFonts w:ascii="Garamond" w:cs="Garamond" w:eastAsia="Garamond" w:hAnsi="Garamond"/>
          <w:color w:val="2a2520"/>
          <w:sz w:val="22"/>
          <w:szCs w:val="22"/>
        </w:rPr>
        <w:t xml:space="preserve">PM clemency for domestic offenses — 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863"/>
      </w:pPr>
      <w:r>
        <w:rPr>
          <w:rFonts w:ascii="Courier New" w:cs="Courier New" w:eastAsia="Courier New" w:hAnsi="Courier New"/>
          <w:b/>
          <w:bCs/>
          <w:color w:val="1B2A4A"/>
          <w:sz w:val="18"/>
          <w:szCs w:val="18"/>
        </w:rPr>
        <w:t xml:space="preserve">§2.2.g  </w:t>
      </w:r>
      <w:r>
        <w:rPr>
          <w:rFonts w:ascii="Garamond" w:cs="Garamond" w:eastAsia="Garamond" w:hAnsi="Garamond"/>
          <w:b/>
          <w:bCs/>
          <w:color w:val="1B2A4A"/>
          <w:sz w:val="22"/>
          <w:szCs w:val="22"/>
        </w:rPr>
        <w:t xml:space="preserve">Ministerial Appointments</w:t>
      </w:r>
    </w:p>
    <w:p>
      <w:pPr>
        <w:spacing w:after="120" w:before="0"/>
        <w:ind w:left="863"/>
        <w:jc w:val="both"/>
      </w:pPr>
      <w:r>
        <w:rPr>
          <w:rFonts w:ascii="Garamond" w:cs="Garamond" w:eastAsia="Garamond" w:hAnsi="Garamond"/>
          <w:color w:val="2a2520"/>
          <w:sz w:val="22"/>
          <w:szCs w:val="22"/>
        </w:rPr>
        <w:t xml:space="preserve">PM Information Rights — the PM has a constitutional right to full and timely briefing on all national security matters affecting domestic interests. The President may not withhold information from the PM on grounds of security classification where the PM's domestic responsibilities are genuinely engaged. The Intelligence Firewall under §1.29.d applies equally to both executives.</w:t>
      </w:r>
    </w:p>
    <w:p>
      <w:pPr>
        <w:spacing w:after="60" w:before="200"/>
        <w:ind w:left="863"/>
      </w:pPr>
      <w:r>
        <w:rPr>
          <w:rFonts w:ascii="Courier New" w:cs="Courier New" w:eastAsia="Courier New" w:hAnsi="Courier New"/>
          <w:b/>
          <w:bCs/>
          <w:color w:val="1B2A4A"/>
          <w:sz w:val="18"/>
          <w:szCs w:val="18"/>
        </w:rPr>
        <w:t xml:space="preserve">§2.2.h  </w:t>
      </w:r>
      <w:r>
        <w:rPr>
          <w:rFonts w:ascii="Garamond" w:cs="Garamond" w:eastAsia="Garamond" w:hAnsi="Garamond"/>
          <w:b/>
          <w:bCs/>
          <w:color w:val="1B2A4A"/>
          <w:sz w:val="22"/>
          <w:szCs w:val="22"/>
        </w:rPr>
        <w:t xml:space="preserve">Administrative Acting Officer Framework</w:t>
      </w:r>
    </w:p>
    <w:p>
      <w:pPr>
        <w:spacing w:after="120" w:before="0"/>
        <w:ind w:left="863"/>
        <w:jc w:val="both"/>
      </w:pPr>
      <w:r>
        <w:rPr>
          <w:rFonts w:ascii="Garamond" w:cs="Garamond" w:eastAsia="Garamond" w:hAnsi="Garamond"/>
          <w:color w:val="2a2520"/>
          <w:sz w:val="22"/>
          <w:szCs w:val="22"/>
        </w:rPr>
        <w:t xml:space="preserve">Acting PM provisions — who governs when the PM cannot. The most senior Domestic Affairs Council Officer (SDACO) serves as Caretaker PM. The SDACO's authority is limited to maintaining existing policy and emergency functions. Caretaker status expires when a new PM takes confidence.</w:t>
      </w:r>
    </w:p>
    <w:p>
      <w:pPr>
        <w:spacing w:after="60" w:before="200"/>
        <w:ind w:left="863"/>
      </w:pPr>
      <w:r>
        <w:rPr>
          <w:rFonts w:ascii="Courier New" w:cs="Courier New" w:eastAsia="Courier New" w:hAnsi="Courier New"/>
          <w:b/>
          <w:bCs/>
          <w:color w:val="1B2A4A"/>
          <w:sz w:val="18"/>
          <w:szCs w:val="18"/>
        </w:rPr>
        <w:t xml:space="preserve">§2.3.a  </w:t>
      </w:r>
      <w:r>
        <w:rPr>
          <w:rFonts w:ascii="Garamond" w:cs="Garamond" w:eastAsia="Garamond" w:hAnsi="Garamond"/>
          <w:b/>
          <w:bCs/>
          <w:color w:val="1B2A4A"/>
          <w:sz w:val="22"/>
          <w:szCs w:val="22"/>
        </w:rPr>
        <w:t xml:space="preserve">Selection</w:t>
      </w:r>
    </w:p>
    <w:p>
      <w:pPr>
        <w:spacing w:after="120" w:before="0"/>
        <w:ind w:left="863"/>
        <w:jc w:val="both"/>
      </w:pPr>
      <w:r>
        <w:rPr>
          <w:rFonts w:ascii="Garamond" w:cs="Garamond" w:eastAsia="Garamond" w:hAnsi="Garamond"/>
          <w:color w:val="2a2520"/>
          <w:sz w:val="22"/>
          <w:szCs w:val="22"/>
        </w:rPr>
        <w:t xml:space="preserve">The Constructive Vote of No Confidence — the House cannot simply vote 'no confidence' and leave a vacuum; it must simultaneously elect a replacement by absolute majority of full seated House membership. Both the removal and successor election occur in the same vote. This prevents parliamentary paralysis — the House can only remove a PM if it has already agreed on who comes next.</w:t>
      </w:r>
    </w:p>
    <w:p>
      <w:pPr>
        <w:spacing w:after="60" w:before="200"/>
        <w:ind w:left="863"/>
      </w:pPr>
      <w:r>
        <w:rPr>
          <w:rFonts w:ascii="Courier New" w:cs="Courier New" w:eastAsia="Courier New" w:hAnsi="Courier New"/>
          <w:b/>
          <w:bCs/>
          <w:color w:val="1B2A4A"/>
          <w:sz w:val="18"/>
          <w:szCs w:val="18"/>
        </w:rPr>
        <w:t xml:space="preserve">§2.3.b  </w:t>
      </w:r>
      <w:r>
        <w:rPr>
          <w:rFonts w:ascii="Garamond" w:cs="Garamond" w:eastAsia="Garamond" w:hAnsi="Garamond"/>
          <w:b/>
          <w:bCs/>
          <w:color w:val="1B2A4A"/>
          <w:sz w:val="22"/>
          <w:szCs w:val="22"/>
        </w:rPr>
        <w:t xml:space="preserve">Constructive Vote of No Confidence</w:t>
      </w:r>
    </w:p>
    <w:p>
      <w:pPr>
        <w:spacing w:after="120" w:before="0"/>
        <w:ind w:left="863"/>
        <w:jc w:val="both"/>
      </w:pPr>
      <w:r>
        <w:rPr>
          <w:rFonts w:ascii="Garamond" w:cs="Garamond" w:eastAsia="Garamond" w:hAnsi="Garamond"/>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863"/>
      </w:pPr>
      <w:r>
        <w:rPr>
          <w:rFonts w:ascii="Courier New" w:cs="Courier New" w:eastAsia="Courier New" w:hAnsi="Courier New"/>
          <w:b/>
          <w:bCs/>
          <w:color w:val="1B2A4A"/>
          <w:sz w:val="18"/>
          <w:szCs w:val="18"/>
        </w:rPr>
        <w:t xml:space="preserve">§2.3.c  </w:t>
      </w:r>
      <w:r>
        <w:rPr>
          <w:rFonts w:ascii="Garamond" w:cs="Garamond" w:eastAsia="Garamond" w:hAnsi="Garamond"/>
          <w:b/>
          <w:bCs/>
          <w:color w:val="1B2A4A"/>
          <w:sz w:val="22"/>
          <w:szCs w:val="22"/>
        </w:rPr>
        <w:t xml:space="preserve">Caretaker Protocol</w:t>
      </w:r>
    </w:p>
    <w:p>
      <w:pPr>
        <w:spacing w:after="120" w:before="0"/>
        <w:ind w:left="863"/>
        <w:jc w:val="both"/>
      </w:pPr>
      <w:r>
        <w:rPr>
          <w:rFonts w:ascii="Garamond" w:cs="Garamond" w:eastAsia="Garamond" w:hAnsi="Garamond"/>
          <w:color w:val="2a2520"/>
          <w:sz w:val="22"/>
          <w:szCs w:val="22"/>
        </w:rPr>
        <w:t xml:space="preserve">Initial election of the PM — 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w:t>
      </w:r>
    </w:p>
    <w:p>
      <w:pPr>
        <w:spacing w:after="60" w:before="200"/>
        <w:ind w:left="863"/>
      </w:pPr>
      <w:r>
        <w:rPr>
          <w:rFonts w:ascii="Courier New" w:cs="Courier New" w:eastAsia="Courier New" w:hAnsi="Courier New"/>
          <w:b/>
          <w:bCs/>
          <w:color w:val="1B2A4A"/>
          <w:sz w:val="18"/>
          <w:szCs w:val="18"/>
        </w:rPr>
        <w:t xml:space="preserve">§2.4.a  </w:t>
      </w:r>
      <w:r>
        <w:rPr>
          <w:rFonts w:ascii="Garamond" w:cs="Garamond" w:eastAsia="Garamond" w:hAnsi="Garamond"/>
          <w:b/>
          <w:bCs/>
          <w:color w:val="1B2A4A"/>
          <w:sz w:val="22"/>
          <w:szCs w:val="22"/>
        </w:rPr>
        <w:t xml:space="preserve">Suspensive Veto</w:t>
      </w:r>
    </w:p>
    <w:p>
      <w:pPr>
        <w:spacing w:after="120" w:before="0"/>
        <w:ind w:left="863"/>
        <w:jc w:val="both"/>
      </w:pPr>
      <w:r>
        <w:rPr>
          <w:rFonts w:ascii="Garamond" w:cs="Garamond" w:eastAsia="Garamond" w:hAnsi="Garamond"/>
          <w:color w:val="2a2520"/>
          <w:sz w:val="22"/>
          <w:szCs w:val="22"/>
        </w:rPr>
        <w:t xml:space="preserve">Suspensive Veto — returns the bill to the Legislature with written constitutional grounds. Legislature may override by 2/3 of both chambers simultaneously. The PM must give the LI's constitutional analysis due consideration before issuing a Suspensive Veto. A veto issued purely for political reasons without constitutional grounds is a constitutional breach. Used in The Stagflation Years when the PM correctly identified the Mandate Rebalancing Act as void under §10.4.b.</w:t>
      </w:r>
    </w:p>
    <w:p>
      <w:pPr>
        <w:spacing w:after="60" w:before="200"/>
        <w:ind w:left="863"/>
      </w:pPr>
      <w:r>
        <w:rPr>
          <w:rFonts w:ascii="Courier New" w:cs="Courier New" w:eastAsia="Courier New" w:hAnsi="Courier New"/>
          <w:b/>
          <w:bCs/>
          <w:color w:val="1B2A4A"/>
          <w:sz w:val="18"/>
          <w:szCs w:val="18"/>
        </w:rPr>
        <w:t xml:space="preserve">§2.4.b  </w:t>
      </w:r>
      <w:r>
        <w:rPr>
          <w:rFonts w:ascii="Garamond" w:cs="Garamond" w:eastAsia="Garamond" w:hAnsi="Garamond"/>
          <w:b/>
          <w:bCs/>
          <w:color w:val="1B2A4A"/>
          <w:sz w:val="22"/>
          <w:szCs w:val="22"/>
        </w:rPr>
        <w:t xml:space="preserve">Fiscal Objection</w:t>
      </w:r>
    </w:p>
    <w:p>
      <w:pPr>
        <w:spacing w:after="120" w:before="0"/>
        <w:ind w:left="863"/>
        <w:jc w:val="both"/>
      </w:pPr>
      <w:r>
        <w:rPr>
          <w:rFonts w:ascii="Garamond" w:cs="Garamond" w:eastAsia="Garamond" w:hAnsi="Garamond"/>
          <w:color w:val="2a2520"/>
          <w:sz w:val="22"/>
          <w:szCs w:val="22"/>
        </w:rPr>
        <w:t xml:space="preserve">Fiscal Objection — 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 'This is too expensive' is not a valid ground — 'this breaches the constitutional fiscal threshold' is.</w:t>
      </w:r>
    </w:p>
    <w:p>
      <w:pPr>
        <w:spacing w:after="60" w:before="200"/>
        <w:ind w:left="863"/>
      </w:pPr>
      <w:r>
        <w:rPr>
          <w:rFonts w:ascii="Courier New" w:cs="Courier New" w:eastAsia="Courier New" w:hAnsi="Courier New"/>
          <w:b/>
          <w:bCs/>
          <w:color w:val="1B2A4A"/>
          <w:sz w:val="18"/>
          <w:szCs w:val="18"/>
        </w:rPr>
        <w:t xml:space="preserve">§2.4.c  </w:t>
      </w:r>
      <w:r>
        <w:rPr>
          <w:rFonts w:ascii="Garamond" w:cs="Garamond" w:eastAsia="Garamond" w:hAnsi="Garamond"/>
          <w:b/>
          <w:bCs/>
          <w:color w:val="1B2A4A"/>
          <w:sz w:val="22"/>
          <w:szCs w:val="22"/>
        </w:rPr>
        <w:t xml:space="preserve">Objection Limits</w:t>
      </w:r>
    </w:p>
    <w:p>
      <w:pPr>
        <w:spacing w:after="120" w:before="0"/>
        <w:ind w:left="863"/>
        <w:jc w:val="both"/>
      </w:pPr>
      <w:r>
        <w:rPr>
          <w:rFonts w:ascii="Garamond" w:cs="Garamond" w:eastAsia="Garamond" w:hAnsi="Garamond"/>
          <w:color w:val="2a2520"/>
          <w:sz w:val="22"/>
          <w:szCs w:val="22"/>
        </w:rPr>
        <w:t xml:space="preserve">Deemed Enactment — if the PM neither signs, objects, nor vetoes within the Legislative Review Period, the bill is automatically enacted. Silence is not a veto. This prevents the PM from blocking legislation through inaction and forces the PM to take a public constitutional position on every bill.</w:t>
      </w:r>
    </w:p>
    <w:p>
      <w:pPr>
        <w:spacing w:after="60" w:before="200"/>
        <w:ind w:left="863"/>
      </w:pPr>
      <w:r>
        <w:rPr>
          <w:rFonts w:ascii="Courier New" w:cs="Courier New" w:eastAsia="Courier New" w:hAnsi="Courier New"/>
          <w:b/>
          <w:bCs/>
          <w:color w:val="1B2A4A"/>
          <w:sz w:val="18"/>
          <w:szCs w:val="18"/>
        </w:rPr>
        <w:t xml:space="preserve">§2.5.a  </w:t>
      </w:r>
      <w:r>
        <w:rPr>
          <w:rFonts w:ascii="Garamond" w:cs="Garamond" w:eastAsia="Garamond" w:hAnsi="Garamond"/>
          <w:b/>
          <w:bCs/>
          <w:color w:val="1B2A4A"/>
          <w:sz w:val="22"/>
          <w:szCs w:val="22"/>
        </w:rPr>
        <w:t xml:space="preserve">Emergency Legislative Continuity</w:t>
      </w:r>
    </w:p>
    <w:p>
      <w:pPr>
        <w:spacing w:after="120" w:before="0"/>
        <w:ind w:left="863"/>
        <w:jc w:val="both"/>
      </w:pPr>
      <w:r>
        <w:rPr>
          <w:rFonts w:ascii="Garamond" w:cs="Garamond" w:eastAsia="Garamond" w:hAnsi="Garamond"/>
          <w:color w:val="2a2520"/>
          <w:sz w:val="22"/>
          <w:szCs w:val="22"/>
        </w:rPr>
        <w:t xml:space="preserve">The Legislative Review Period — duration defined by statute, bounded between 7 and 30 days. The PM must act within the period. The period begins from final passage in both chambers, not from the PM's receipt of the bill.</w:t>
      </w:r>
    </w:p>
    <w:p>
      <w:pPr>
        <w:spacing w:after="60" w:before="200"/>
        <w:ind w:left="431"/>
      </w:pPr>
      <w:r>
        <w:rPr>
          <w:rFonts w:ascii="Courier New" w:cs="Courier New" w:eastAsia="Courier New" w:hAnsi="Courier New"/>
          <w:b/>
          <w:bCs/>
          <w:color w:val="1B2A4A"/>
          <w:sz w:val="18"/>
          <w:szCs w:val="18"/>
        </w:rPr>
        <w:t xml:space="preserve">§2.6  </w:t>
      </w:r>
      <w:r>
        <w:rPr>
          <w:rFonts w:ascii="Garamond" w:cs="Garamond" w:eastAsia="Garamond" w:hAnsi="Garamond"/>
          <w:b/>
          <w:bCs/>
          <w:color w:val="1B2A4A"/>
          <w:sz w:val="22"/>
          <w:szCs w:val="22"/>
        </w:rPr>
        <w:t xml:space="preserve">Presidential Succession</w:t>
      </w:r>
    </w:p>
    <w:p>
      <w:pPr>
        <w:spacing w:after="120" w:before="0"/>
        <w:ind w:left="431"/>
        <w:jc w:val="both"/>
      </w:pPr>
      <w:r>
        <w:rPr>
          <w:rFonts w:ascii="Garamond" w:cs="Garamond" w:eastAsia="Garamond" w:hAnsi="Garamond"/>
          <w:color w:val="2a2520"/>
          <w:sz w:val="22"/>
          <w:szCs w:val="22"/>
        </w:rPr>
        <w:t xml:space="preserve">Presidential Succession — a complete framework for filling a Presidential vacancy. The Speaker of the Senate serves as Acting President, immediately triggering a special presidential election. The design keeps succession within the elected political class rather than delegating it to an appointed official.</w:t>
      </w:r>
    </w:p>
    <w:p>
      <w:pPr>
        <w:spacing w:after="60" w:before="200"/>
        <w:ind w:left="863"/>
      </w:pPr>
      <w:r>
        <w:rPr>
          <w:rFonts w:ascii="Courier New" w:cs="Courier New" w:eastAsia="Courier New" w:hAnsi="Courier New"/>
          <w:b/>
          <w:bCs/>
          <w:color w:val="1B2A4A"/>
          <w:sz w:val="18"/>
          <w:szCs w:val="18"/>
        </w:rPr>
        <w:t xml:space="preserve">§2.6.a  </w:t>
      </w:r>
      <w:r>
        <w:rPr>
          <w:rFonts w:ascii="Garamond" w:cs="Garamond" w:eastAsia="Garamond" w:hAnsi="Garamond"/>
          <w:b/>
          <w:bCs/>
          <w:color w:val="1B2A4A"/>
          <w:sz w:val="22"/>
          <w:szCs w:val="22"/>
        </w:rPr>
        <w:t xml:space="preserve">Presidential Succession Line</w:t>
      </w:r>
    </w:p>
    <w:p>
      <w:pPr>
        <w:spacing w:after="120" w:before="0"/>
        <w:ind w:left="863"/>
        <w:jc w:val="both"/>
      </w:pPr>
      <w:r>
        <w:rPr>
          <w:rFonts w:ascii="Garamond" w:cs="Garamond" w:eastAsia="Garamond" w:hAnsi="Garamond"/>
          <w:color w:val="2a2520"/>
          <w:sz w:val="22"/>
          <w:szCs w:val="22"/>
        </w:rPr>
        <w:t xml:space="preserve">Acting Presidential Authority triggers automatically on Presidential death, resignation, removal, or certified permanent incapacity. The Senate Speaker assumes Acting Authority immediately — no gap, no confirmation required. The Senate Speaker's own Senate seat is simultaneously vacated; the Deputy Speaker assumes the Speaker role.</w:t>
      </w:r>
    </w:p>
    <w:p>
      <w:pPr>
        <w:spacing w:after="60" w:before="200"/>
        <w:ind w:left="863"/>
      </w:pPr>
      <w:r>
        <w:rPr>
          <w:rFonts w:ascii="Courier New" w:cs="Courier New" w:eastAsia="Courier New" w:hAnsi="Courier New"/>
          <w:b/>
          <w:bCs/>
          <w:color w:val="1B2A4A"/>
          <w:sz w:val="18"/>
          <w:szCs w:val="18"/>
        </w:rPr>
        <w:t xml:space="preserve">§2.6.b  </w:t>
      </w:r>
      <w:r>
        <w:rPr>
          <w:rFonts w:ascii="Garamond" w:cs="Garamond" w:eastAsia="Garamond" w:hAnsi="Garamond"/>
          <w:b/>
          <w:bCs/>
          <w:color w:val="1B2A4A"/>
          <w:sz w:val="22"/>
          <w:szCs w:val="22"/>
        </w:rPr>
        <w:t xml:space="preserve">Incapacity Certification</w:t>
      </w:r>
    </w:p>
    <w:p>
      <w:pPr>
        <w:spacing w:after="120" w:before="0"/>
        <w:ind w:left="863"/>
        <w:jc w:val="both"/>
      </w:pPr>
      <w:r>
        <w:rPr>
          <w:rFonts w:ascii="Garamond" w:cs="Garamond" w:eastAsia="Garamond" w:hAnsi="Garamond"/>
          <w:color w:val="2a2520"/>
          <w:sz w:val="22"/>
          <w:szCs w:val="22"/>
        </w:rPr>
        <w:t xml:space="preserve">The 90-day permanence assessment — if Acting Presidential Authority extends beyond 90 consecutive days, the PM and the Senate Speaker must jointly assess whether the incapacity has become permanent. Assessment repeats every 30 days if temporary incapacity is certified. Failure to conduct the mandatory 90-day assessment is a constitutional failure for both the PM and the most senior SC justice.</w:t>
      </w:r>
    </w:p>
    <w:p>
      <w:pPr>
        <w:spacing w:after="60" w:before="200"/>
        <w:ind w:left="863"/>
      </w:pPr>
      <w:r>
        <w:rPr>
          <w:rFonts w:ascii="Courier New" w:cs="Courier New" w:eastAsia="Courier New" w:hAnsi="Courier New"/>
          <w:b/>
          <w:bCs/>
          <w:color w:val="1B2A4A"/>
          <w:sz w:val="18"/>
          <w:szCs w:val="18"/>
        </w:rPr>
        <w:t xml:space="preserve">§2.6.c  </w:t>
      </w:r>
      <w:r>
        <w:rPr>
          <w:rFonts w:ascii="Garamond" w:cs="Garamond" w:eastAsia="Garamond" w:hAnsi="Garamond"/>
          <w:b/>
          <w:bCs/>
          <w:color w:val="1B2A4A"/>
          <w:sz w:val="22"/>
          <w:szCs w:val="22"/>
        </w:rPr>
        <w:t xml:space="preserve">Succession-Based Presidential Term</w:t>
      </w:r>
    </w:p>
    <w:p>
      <w:pPr>
        <w:spacing w:after="120" w:before="0"/>
        <w:ind w:left="863"/>
        <w:jc w:val="both"/>
      </w:pPr>
      <w:r>
        <w:rPr>
          <w:rFonts w:ascii="Garamond" w:cs="Garamond" w:eastAsia="Garamond" w:hAnsi="Garamond"/>
          <w:color w:val="2a2520"/>
          <w:sz w:val="22"/>
          <w:szCs w:val="22"/>
        </w:rPr>
        <w:t xml:space="preserve">A person who assumes the presidency by succession does not thereby expend their single non-renewable term. They must stand for election at the next regular National Election Day presidential cycle, or at a special election within 90 days of succession, to continue beyond the succession period. If elected, that term is their single non-renewable term.</w:t>
      </w:r>
    </w:p>
    <w:p>
      <w:pPr>
        <w:spacing w:after="60" w:before="200"/>
        <w:ind w:left="431"/>
      </w:pPr>
      <w:r>
        <w:rPr>
          <w:rFonts w:ascii="Courier New" w:cs="Courier New" w:eastAsia="Courier New" w:hAnsi="Courier New"/>
          <w:b/>
          <w:bCs/>
          <w:color w:val="1B2A4A"/>
          <w:sz w:val="18"/>
          <w:szCs w:val="18"/>
        </w:rPr>
        <w:t xml:space="preserve">§2.7  </w:t>
      </w:r>
      <w:r>
        <w:rPr>
          <w:rFonts w:ascii="Garamond" w:cs="Garamond" w:eastAsia="Garamond" w:hAnsi="Garamond"/>
          <w:b/>
          <w:bCs/>
          <w:color w:val="1B2A4A"/>
          <w:sz w:val="22"/>
          <w:szCs w:val="22"/>
        </w:rPr>
        <w:t xml:space="preserve">Executive Transparency and NRS Obligations</w:t>
      </w:r>
    </w:p>
    <w:p>
      <w:pPr>
        <w:spacing w:after="120" w:before="0"/>
        <w:ind w:left="431"/>
        <w:jc w:val="both"/>
      </w:pPr>
      <w:r>
        <w:rPr>
          <w:rFonts w:ascii="Garamond" w:cs="Garamond" w:eastAsia="Garamond" w:hAnsi="Garamond"/>
          <w:color w:val="2a2520"/>
          <w:sz w:val="22"/>
          <w:szCs w:val="22"/>
        </w:rPr>
        <w:t xml:space="preserve">New in v159. Fills the gap between §2.6 (Succession) and §2.8 (Emergency Governance) by consolidating the executive publication obligation that was previously only implied by §9.1. Both executives must publish all official acts — orders, certifications, vetoes, objections, determinations — to the NRS within 48 hours of issuance. Failure is a constitutional compliance breach reportable by the EI and covered in the annual EI audit. No executive may classify, delay, or suppress publication of an act this constitution requires to be published. The 48-hour window is not a validity condition (a late-published act is not void) but a compliance obligation with real accountability consequences.</w:t>
      </w:r>
    </w:p>
    <w:p>
      <w:pPr>
        <w:spacing w:after="60" w:before="200"/>
        <w:ind w:left="863"/>
      </w:pPr>
      <w:r>
        <w:rPr>
          <w:rFonts w:ascii="Courier New" w:cs="Courier New" w:eastAsia="Courier New" w:hAnsi="Courier New"/>
          <w:b/>
          <w:bCs/>
          <w:color w:val="1B2A4A"/>
          <w:sz w:val="18"/>
          <w:szCs w:val="18"/>
        </w:rPr>
        <w:t xml:space="preserve">§2.9.a  </w:t>
      </w:r>
      <w:r>
        <w:rPr>
          <w:rFonts w:ascii="Garamond" w:cs="Garamond" w:eastAsia="Garamond" w:hAnsi="Garamond"/>
          <w:b/>
          <w:bCs/>
          <w:color w:val="1B2A4A"/>
          <w:sz w:val="22"/>
          <w:szCs w:val="22"/>
        </w:rPr>
        <w:t xml:space="preserve">Legislative Amnesty</w:t>
      </w:r>
    </w:p>
    <w:p>
      <w:pPr>
        <w:spacing w:after="120" w:before="0"/>
        <w:ind w:left="863"/>
        <w:jc w:val="both"/>
      </w:pPr>
      <w:r>
        <w:rPr>
          <w:rFonts w:ascii="Garamond" w:cs="Garamond" w:eastAsia="Garamond" w:hAnsi="Garamond"/>
          <w:color w:val="2a2520"/>
          <w:sz w:val="22"/>
          <w:szCs w:val="22"/>
        </w:rPr>
        <w:t xml:space="preserve">Legislative Amnesty — only the Legislature may grant group amnesty, by simple majority of both chambers. No executive may grant group amnesty. Cannot extend to constitutional violations, official misconduct offenses, or crimes against the fundamental rights of §1.2 and §1.3. Subject to judicial review within 60 days of enactment.</w:t>
      </w:r>
    </w:p>
    <w:p>
      <w:pPr>
        <w:spacing w:after="60" w:before="200"/>
        <w:ind w:left="863"/>
      </w:pPr>
      <w:r>
        <w:rPr>
          <w:rFonts w:ascii="Courier New" w:cs="Courier New" w:eastAsia="Courier New" w:hAnsi="Courier New"/>
          <w:b/>
          <w:bCs/>
          <w:color w:val="1B2A4A"/>
          <w:sz w:val="18"/>
          <w:szCs w:val="18"/>
        </w:rPr>
        <w:t xml:space="preserve">§2.9.b  </w:t>
      </w:r>
      <w:r>
        <w:rPr>
          <w:rFonts w:ascii="Garamond" w:cs="Garamond" w:eastAsia="Garamond" w:hAnsi="Garamond"/>
          <w:b/>
          <w:bCs/>
          <w:color w:val="1B2A4A"/>
          <w:sz w:val="22"/>
          <w:szCs w:val="22"/>
        </w:rPr>
        <w:t xml:space="preserve">Self-Clemency Absolute Prohibition</w:t>
      </w:r>
    </w:p>
    <w:p>
      <w:pPr>
        <w:spacing w:after="120" w:before="0"/>
        <w:ind w:left="863"/>
        <w:jc w:val="both"/>
      </w:pPr>
      <w:r>
        <w:rPr>
          <w:rFonts w:ascii="Garamond" w:cs="Garamond" w:eastAsia="Garamond" w:hAnsi="Garamond"/>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863"/>
      </w:pPr>
      <w:r>
        <w:rPr>
          <w:rFonts w:ascii="Courier New" w:cs="Courier New" w:eastAsia="Courier New" w:hAnsi="Courier New"/>
          <w:b/>
          <w:bCs/>
          <w:color w:val="1B2A4A"/>
          <w:sz w:val="18"/>
          <w:szCs w:val="18"/>
        </w:rPr>
        <w:t xml:space="preserve">§2.9.c  </w:t>
      </w:r>
      <w:r>
        <w:rPr>
          <w:rFonts w:ascii="Garamond" w:cs="Garamond" w:eastAsia="Garamond" w:hAnsi="Garamond"/>
          <w:b/>
          <w:bCs/>
          <w:color w:val="1B2A4A"/>
          <w:sz w:val="22"/>
          <w:szCs w:val="22"/>
        </w:rPr>
        <w:t xml:space="preserve">Cross-Chamber Clemency Review</w:t>
      </w:r>
    </w:p>
    <w:p>
      <w:pPr>
        <w:spacing w:after="120" w:before="0"/>
        <w:ind w:left="863"/>
        <w:jc w:val="both"/>
      </w:pPr>
      <w:r>
        <w:rPr>
          <w:rFonts w:ascii="Garamond" w:cs="Garamond" w:eastAsia="Garamond" w:hAnsi="Garamond"/>
          <w:color w:val="2a2520"/>
          <w:sz w:val="22"/>
          <w:szCs w:val="22"/>
        </w:rPr>
        <w:t xml:space="preserve">Cross-chamber clemency prohibition — the President may not grant clemency for offenses committed in the PM's domestic domain, nor may the PM grant clemency for Presidential domain offenses. Prevents either executive from using clemency to protect the other's allies from accountability. Domains of clemency mirror domains of authority.</w:t>
      </w:r>
    </w:p>
    <w:p>
      <w:pPr>
        <w:spacing w:after="60" w:before="200"/>
        <w:ind w:left="431"/>
      </w:pPr>
      <w:r>
        <w:rPr>
          <w:rFonts w:ascii="Courier New" w:cs="Courier New" w:eastAsia="Courier New" w:hAnsi="Courier New"/>
          <w:b/>
          <w:bCs/>
          <w:color w:val="1B2A4A"/>
          <w:sz w:val="18"/>
          <w:szCs w:val="18"/>
        </w:rPr>
        <w:t xml:space="preserve">§2.10  </w:t>
      </w:r>
      <w:r>
        <w:rPr>
          <w:rFonts w:ascii="Garamond" w:cs="Garamond" w:eastAsia="Garamond" w:hAnsi="Garamond"/>
          <w:b/>
          <w:bCs/>
          <w:color w:val="1B2A4A"/>
          <w:sz w:val="22"/>
          <w:szCs w:val="22"/>
        </w:rPr>
        <w:t xml:space="preserve">Presidential Removal — Two Political Tracks</w:t>
      </w:r>
    </w:p>
    <w:p>
      <w:pPr>
        <w:spacing w:after="120" w:before="0"/>
        <w:ind w:left="431"/>
        <w:jc w:val="both"/>
      </w:pPr>
      <w:r>
        <w:rPr>
          <w:rFonts w:ascii="Garamond" w:cs="Garamond" w:eastAsia="Garamond" w:hAnsi="Garamond"/>
          <w:color w:val="2a2520"/>
          <w:sz w:val="22"/>
          <w:szCs w:val="22"/>
        </w:rPr>
        <w:t xml:space="preserve">Presidential removal — two independent paths. Legislative: 2/3 of both chambers simultaneously following Inspectorate-certified findings. Popular: 15% citizen petition triggers a national referendum requiring 60% affirmative with 55% participation. The popular path exists precisely because the Legislature might protect a President it benefits from.</w:t>
      </w:r>
    </w:p>
    <w:p>
      <w:pPr>
        <w:spacing w:after="60" w:before="200"/>
        <w:ind w:left="863"/>
      </w:pPr>
      <w:r>
        <w:rPr>
          <w:rFonts w:ascii="Courier New" w:cs="Courier New" w:eastAsia="Courier New" w:hAnsi="Courier New"/>
          <w:b/>
          <w:bCs/>
          <w:color w:val="1B2A4A"/>
          <w:sz w:val="18"/>
          <w:szCs w:val="18"/>
        </w:rPr>
        <w:t xml:space="preserve">§2.10.a  </w:t>
      </w:r>
      <w:r>
        <w:rPr>
          <w:rFonts w:ascii="Garamond" w:cs="Garamond" w:eastAsia="Garamond" w:hAnsi="Garamond"/>
          <w:b/>
          <w:bCs/>
          <w:color w:val="1B2A4A"/>
          <w:sz w:val="22"/>
          <w:szCs w:val="22"/>
        </w:rPr>
        <w:t xml:space="preserve">Legislative Removal</w:t>
      </w:r>
    </w:p>
    <w:p>
      <w:pPr>
        <w:spacing w:after="120" w:before="0"/>
        <w:ind w:left="863"/>
        <w:jc w:val="both"/>
      </w:pPr>
      <w:r>
        <w:rPr>
          <w:rFonts w:ascii="Garamond" w:cs="Garamond" w:eastAsia="Garamond" w:hAnsi="Garamond"/>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 — prevents politically motivated removal.</w:t>
      </w:r>
    </w:p>
    <w:p>
      <w:pPr>
        <w:spacing w:after="60" w:before="200"/>
        <w:ind w:left="863"/>
      </w:pPr>
      <w:r>
        <w:rPr>
          <w:rFonts w:ascii="Courier New" w:cs="Courier New" w:eastAsia="Courier New" w:hAnsi="Courier New"/>
          <w:b/>
          <w:bCs/>
          <w:color w:val="1B2A4A"/>
          <w:sz w:val="18"/>
          <w:szCs w:val="18"/>
        </w:rPr>
        <w:t xml:space="preserve">§2.10.b  </w:t>
      </w:r>
      <w:r>
        <w:rPr>
          <w:rFonts w:ascii="Garamond" w:cs="Garamond" w:eastAsia="Garamond" w:hAnsi="Garamond"/>
          <w:b/>
          <w:bCs/>
          <w:color w:val="1B2A4A"/>
          <w:sz w:val="22"/>
          <w:szCs w:val="22"/>
        </w:rPr>
        <w:t xml:space="preserve">Senate Referral to Popular Recall</w:t>
      </w:r>
    </w:p>
    <w:p>
      <w:pPr>
        <w:spacing w:after="120" w:before="0"/>
        <w:ind w:left="863"/>
        <w:jc w:val="both"/>
      </w:pPr>
      <w:r>
        <w:rPr>
          <w:rFonts w:ascii="Garamond" w:cs="Garamond" w:eastAsia="Garamond" w:hAnsi="Garamond"/>
          <w:color w:val="2a2520"/>
          <w:sz w:val="22"/>
          <w:szCs w:val="22"/>
        </w:rPr>
        <w:t xml:space="preserve">Popular removal referendum — if the 15% petition threshold is met, the EC administers a referendum within 90 days. 60% affirmative with 55% participation required. A failed referendum cannot be re-initiated for 2 years on the same grounds.</w:t>
      </w:r>
    </w:p>
    <w:p>
      <w:pPr>
        <w:spacing w:after="60" w:before="200"/>
        <w:ind w:left="863"/>
      </w:pPr>
      <w:r>
        <w:rPr>
          <w:rFonts w:ascii="Courier New" w:cs="Courier New" w:eastAsia="Courier New" w:hAnsi="Courier New"/>
          <w:b/>
          <w:bCs/>
          <w:color w:val="1B2A4A"/>
          <w:sz w:val="18"/>
          <w:szCs w:val="18"/>
        </w:rPr>
        <w:t xml:space="preserve">§2.10.c  </w:t>
      </w:r>
      <w:r>
        <w:rPr>
          <w:rFonts w:ascii="Garamond" w:cs="Garamond" w:eastAsia="Garamond" w:hAnsi="Garamond"/>
          <w:b/>
          <w:bCs/>
          <w:color w:val="1B2A4A"/>
          <w:sz w:val="22"/>
          <w:szCs w:val="22"/>
        </w:rPr>
        <w:t xml:space="preserve">One Referral Per Term</w:t>
      </w:r>
    </w:p>
    <w:p>
      <w:pPr>
        <w:spacing w:after="120" w:before="0"/>
        <w:ind w:left="863"/>
        <w:jc w:val="both"/>
      </w:pPr>
      <w:r>
        <w:rPr>
          <w:rFonts w:ascii="Garamond" w:cs="Garamond" w:eastAsia="Garamond" w:hAnsi="Garamond"/>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III — The Legislature</w:t>
      </w:r>
    </w:p>
    <w:p>
      <w:pPr>
        <w:spacing w:after="120"/>
      </w:pPr>
    </w:p>
    <w:p>
      <w:pPr>
        <w:spacing w:after="60" w:before="200"/>
        <w:ind w:left="863"/>
      </w:pPr>
      <w:r>
        <w:rPr>
          <w:rFonts w:ascii="Courier New" w:cs="Courier New" w:eastAsia="Courier New" w:hAnsi="Courier New"/>
          <w:b/>
          <w:bCs/>
          <w:color w:val="1B2A4A"/>
          <w:sz w:val="18"/>
          <w:szCs w:val="18"/>
        </w:rPr>
        <w:t xml:space="preserve">§3.1.a  </w:t>
      </w:r>
      <w:r>
        <w:rPr>
          <w:rFonts w:ascii="Garamond" w:cs="Garamond" w:eastAsia="Garamond" w:hAnsi="Garamond"/>
          <w:b/>
          <w:bCs/>
          <w:color w:val="1B2A4A"/>
          <w:sz w:val="22"/>
          <w:szCs w:val="22"/>
        </w:rPr>
        <w:t xml:space="preserve">House Membership Floor</w:t>
      </w:r>
    </w:p>
    <w:p>
      <w:pPr>
        <w:spacing w:after="120" w:before="0"/>
        <w:ind w:left="863"/>
        <w:jc w:val="both"/>
      </w:pPr>
      <w:r>
        <w:rPr>
          <w:rFonts w:ascii="Garamond" w:cs="Garamond" w:eastAsia="Garamond" w:hAnsi="Garamond"/>
          <w:color w:val="2a2520"/>
          <w:sz w:val="22"/>
          <w:szCs w:val="22"/>
        </w:rPr>
        <w:t xml:space="preserve">The House is the proportional chamber — seats allocated by population, minimum one per State, floor of one per 750,000 citizens, self-scaling with population. The opening sentence previously read "the Legislature is the Republic's legislature" — circular and uninformative. Now reads "The Republic's legislature is bicameral." The Legislature may set a higher membership; must justify any formula producing fewer than one per 500,000 citizens.</w:t>
      </w:r>
    </w:p>
    <w:p>
      <w:pPr>
        <w:spacing w:after="60" w:before="200"/>
        <w:ind w:left="863"/>
      </w:pPr>
      <w:r>
        <w:rPr>
          <w:rFonts w:ascii="Courier New" w:cs="Courier New" w:eastAsia="Courier New" w:hAnsi="Courier New"/>
          <w:b/>
          <w:bCs/>
          <w:color w:val="1B2A4A"/>
          <w:sz w:val="18"/>
          <w:szCs w:val="18"/>
        </w:rPr>
        <w:t xml:space="preserve">§3.1.b  </w:t>
      </w:r>
      <w:r>
        <w:rPr>
          <w:rFonts w:ascii="Garamond" w:cs="Garamond" w:eastAsia="Garamond" w:hAnsi="Garamond"/>
          <w:b/>
          <w:bCs/>
          <w:color w:val="1B2A4A"/>
          <w:sz w:val="22"/>
          <w:szCs w:val="22"/>
        </w:rPr>
        <w:t xml:space="preserve">Census Authority</w:t>
      </w:r>
    </w:p>
    <w:p>
      <w:pPr>
        <w:spacing w:after="120" w:before="0"/>
        <w:ind w:left="863"/>
        <w:jc w:val="both"/>
      </w:pPr>
      <w:r>
        <w:rPr>
          <w:rFonts w:ascii="Garamond" w:cs="Garamond" w:eastAsia="Garamond" w:hAnsi="Garamond"/>
          <w:color w:val="2a2520"/>
          <w:sz w:val="22"/>
          <w:szCs w:val="22"/>
        </w:rPr>
        <w:t xml:space="preserve">The population census is conducted by the Legislative Inspectorate. The provision previously contained a lengthy inline explanation of why the LI (not the EI) conducts the census — accurate but belonging in commentary. Operative rule only: LI conducts the census.</w:t>
      </w:r>
    </w:p>
    <w:p>
      <w:pPr>
        <w:spacing w:after="60" w:before="200"/>
        <w:ind w:left="863"/>
      </w:pPr>
      <w:r>
        <w:rPr>
          <w:rFonts w:ascii="Courier New" w:cs="Courier New" w:eastAsia="Courier New" w:hAnsi="Courier New"/>
          <w:b/>
          <w:bCs/>
          <w:color w:val="1B2A4A"/>
          <w:sz w:val="18"/>
          <w:szCs w:val="18"/>
        </w:rPr>
        <w:t xml:space="preserve">§3.1.c  </w:t>
      </w:r>
      <w:r>
        <w:rPr>
          <w:rFonts w:ascii="Garamond" w:cs="Garamond" w:eastAsia="Garamond" w:hAnsi="Garamond"/>
          <w:b/>
          <w:bCs/>
          <w:color w:val="1B2A4A"/>
          <w:sz w:val="22"/>
          <w:szCs w:val="22"/>
        </w:rPr>
        <w:t xml:space="preserve">Single-Subject Rule</w:t>
      </w:r>
    </w:p>
    <w:p>
      <w:pPr>
        <w:spacing w:after="120" w:before="0"/>
        <w:ind w:left="863"/>
        <w:jc w:val="both"/>
      </w:pPr>
      <w:r>
        <w:rPr>
          <w:rFonts w:ascii="Garamond" w:cs="Garamond" w:eastAsia="Garamond" w:hAnsi="Garamond"/>
          <w:color w:val="2a2520"/>
          <w:sz w:val="22"/>
          <w:szCs w:val="22"/>
        </w:rPr>
        <w:t xml:space="preserve">Single-Subject Rule — 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863"/>
      </w:pPr>
      <w:r>
        <w:rPr>
          <w:rFonts w:ascii="Courier New" w:cs="Courier New" w:eastAsia="Courier New" w:hAnsi="Courier New"/>
          <w:b/>
          <w:bCs/>
          <w:color w:val="1B2A4A"/>
          <w:sz w:val="18"/>
          <w:szCs w:val="18"/>
        </w:rPr>
        <w:t xml:space="preserve">§3.1.d  </w:t>
      </w:r>
      <w:r>
        <w:rPr>
          <w:rFonts w:ascii="Garamond" w:cs="Garamond" w:eastAsia="Garamond" w:hAnsi="Garamond"/>
          <w:b/>
          <w:bCs/>
          <w:color w:val="1B2A4A"/>
          <w:sz w:val="22"/>
          <w:szCs w:val="22"/>
        </w:rPr>
        <w:t xml:space="preserve">Bill Exposure</w:t>
      </w:r>
    </w:p>
    <w:p>
      <w:pPr>
        <w:spacing w:after="120" w:before="0"/>
        <w:ind w:left="863"/>
        <w:jc w:val="both"/>
      </w:pPr>
      <w:r>
        <w:rPr>
          <w:rFonts w:ascii="Garamond" w:cs="Garamond" w:eastAsia="Garamond" w:hAnsi="Garamond"/>
          <w:color w:val="2a2520"/>
          <w:sz w:val="22"/>
          <w:szCs w:val="22"/>
        </w:rPr>
        <w:t xml:space="preserve">Bill Exposure Period — 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863"/>
      </w:pPr>
      <w:r>
        <w:rPr>
          <w:rFonts w:ascii="Courier New" w:cs="Courier New" w:eastAsia="Courier New" w:hAnsi="Courier New"/>
          <w:b/>
          <w:bCs/>
          <w:color w:val="1B2A4A"/>
          <w:sz w:val="18"/>
          <w:szCs w:val="18"/>
        </w:rPr>
        <w:t xml:space="preserve">§3.1.e  </w:t>
      </w:r>
      <w:r>
        <w:rPr>
          <w:rFonts w:ascii="Garamond" w:cs="Garamond" w:eastAsia="Garamond" w:hAnsi="Garamond"/>
          <w:b/>
          <w:bCs/>
          <w:color w:val="1B2A4A"/>
          <w:sz w:val="22"/>
          <w:szCs w:val="22"/>
        </w:rPr>
        <w:t xml:space="preserve">Caretaker Activation and PM Formation</w:t>
      </w:r>
    </w:p>
    <w:p>
      <w:pPr>
        <w:spacing w:after="120" w:before="0"/>
        <w:ind w:left="863"/>
        <w:jc w:val="both"/>
      </w:pPr>
      <w:r>
        <w:rPr>
          <w:rFonts w:ascii="Garamond" w:cs="Garamond" w:eastAsia="Garamond" w:hAnsi="Garamond"/>
          <w:color w:val="2a2520"/>
          <w:sz w:val="22"/>
          <w:szCs w:val="22"/>
        </w:rPr>
        <w:t xml:space="preserve">Legislative Calendar and Session — 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863"/>
      </w:pPr>
      <w:r>
        <w:rPr>
          <w:rFonts w:ascii="Courier New" w:cs="Courier New" w:eastAsia="Courier New" w:hAnsi="Courier New"/>
          <w:b/>
          <w:bCs/>
          <w:color w:val="1B2A4A"/>
          <w:sz w:val="18"/>
          <w:szCs w:val="18"/>
        </w:rPr>
        <w:t xml:space="preserve">§3.1.f  </w:t>
      </w:r>
      <w:r>
        <w:rPr>
          <w:rFonts w:ascii="Garamond" w:cs="Garamond" w:eastAsia="Garamond" w:hAnsi="Garamond"/>
          <w:b/>
          <w:bCs/>
          <w:color w:val="1B2A4A"/>
          <w:sz w:val="22"/>
          <w:szCs w:val="22"/>
        </w:rPr>
        <w:t xml:space="preserve">House Term Limits</w:t>
      </w:r>
    </w:p>
    <w:p>
      <w:pPr>
        <w:spacing w:after="120" w:before="0"/>
        <w:ind w:left="863"/>
        <w:jc w:val="both"/>
      </w:pPr>
      <w:r>
        <w:rPr>
          <w:rFonts w:ascii="Garamond" w:cs="Garamond" w:eastAsia="Garamond" w:hAnsi="Garamond"/>
          <w:color w:val="2a2520"/>
          <w:sz w:val="22"/>
          <w:szCs w:val="22"/>
        </w:rPr>
        <w:t xml:space="preserve">Compensation and Disclosure — 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pPr>
      <w:r>
        <w:rPr>
          <w:rFonts w:ascii="Courier New" w:cs="Courier New" w:eastAsia="Courier New" w:hAnsi="Courier New"/>
          <w:b/>
          <w:bCs/>
          <w:color w:val="1B2A4A"/>
          <w:sz w:val="18"/>
          <w:szCs w:val="18"/>
        </w:rPr>
        <w:t xml:space="preserve">§3.2  </w:t>
      </w:r>
      <w:r>
        <w:rPr>
          <w:rFonts w:ascii="Garamond" w:cs="Garamond" w:eastAsia="Garamond" w:hAnsi="Garamond"/>
          <w:b/>
          <w:bCs/>
          <w:color w:val="1B2A4A"/>
          <w:sz w:val="22"/>
          <w:szCs w:val="22"/>
        </w:rPr>
        <w:t xml:space="preserve">The Senate — States as Constitutional Actors</w:t>
      </w:r>
    </w:p>
    <w:p>
      <w:pPr>
        <w:spacing w:after="120" w:before="0"/>
        <w:ind w:left="431"/>
        <w:jc w:val="both"/>
      </w:pPr>
      <w:r>
        <w:rPr>
          <w:rFonts w:ascii="Garamond" w:cs="Garamond" w:eastAsia="Garamond" w:hAnsi="Garamond"/>
          <w:color w:val="2a2520"/>
          <w:sz w:val="22"/>
          <w:szCs w:val="22"/>
        </w:rPr>
        <w:t xml:space="preserve">The Senate — 2 senators per State, 6-year staggered terms. Primary role: checking chamber. Must act on every House-passed bill (§3.2.c). Cannot originate fiscal legislation (§3.2.b). Amendment authority bounded by germaneness (§3.2.i). Confirmations, ratifications, and treaty approvals represent its second major constitutional function.</w:t>
      </w:r>
    </w:p>
    <w:p>
      <w:pPr>
        <w:spacing w:after="60" w:before="200"/>
        <w:ind w:left="863"/>
      </w:pPr>
      <w:r>
        <w:rPr>
          <w:rFonts w:ascii="Courier New" w:cs="Courier New" w:eastAsia="Courier New" w:hAnsi="Courier New"/>
          <w:b/>
          <w:bCs/>
          <w:color w:val="1B2A4A"/>
          <w:sz w:val="18"/>
          <w:szCs w:val="18"/>
        </w:rPr>
        <w:t xml:space="preserve">§3.2.a  </w:t>
      </w:r>
      <w:r>
        <w:rPr>
          <w:rFonts w:ascii="Garamond" w:cs="Garamond" w:eastAsia="Garamond" w:hAnsi="Garamond"/>
          <w:b/>
          <w:bCs/>
          <w:color w:val="1B2A4A"/>
          <w:sz w:val="22"/>
          <w:szCs w:val="22"/>
        </w:rPr>
        <w:t xml:space="preserve">Senator Terms and Limits</w:t>
      </w:r>
    </w:p>
    <w:p>
      <w:pPr>
        <w:spacing w:after="120" w:before="0"/>
        <w:ind w:left="863"/>
        <w:jc w:val="both"/>
      </w:pPr>
      <w:r>
        <w:rPr>
          <w:rFonts w:ascii="Garamond" w:cs="Garamond" w:eastAsia="Garamond" w:hAnsi="Garamond"/>
          <w:color w:val="2a2520"/>
          <w:sz w:val="22"/>
          <w:szCs w:val="22"/>
        </w:rPr>
        <w:t xml:space="preserve">Senate composition — two senators per State regardless of population, elected by citizens of that State for 6-year non-renewable staggered terms. Staggering ensures no single election cycle can sweep the entire Senate. The 6-year term creates institutional continuity — senators serve 50% longer than the standard House cycle.</w:t>
      </w:r>
    </w:p>
    <w:p>
      <w:pPr>
        <w:spacing w:after="60" w:before="200"/>
        <w:ind w:left="863"/>
      </w:pPr>
      <w:r>
        <w:rPr>
          <w:rFonts w:ascii="Courier New" w:cs="Courier New" w:eastAsia="Courier New" w:hAnsi="Courier New"/>
          <w:b/>
          <w:bCs/>
          <w:color w:val="1B2A4A"/>
          <w:sz w:val="18"/>
          <w:szCs w:val="18"/>
        </w:rPr>
        <w:t xml:space="preserve">§3.2.b  </w:t>
      </w:r>
      <w:r>
        <w:rPr>
          <w:rFonts w:ascii="Garamond" w:cs="Garamond" w:eastAsia="Garamond" w:hAnsi="Garamond"/>
          <w:b/>
          <w:bCs/>
          <w:color w:val="1B2A4A"/>
          <w:sz w:val="22"/>
          <w:szCs w:val="22"/>
        </w:rPr>
        <w:t xml:space="preserve">Senate Speaker Role Limit</w:t>
      </w:r>
    </w:p>
    <w:p>
      <w:pPr>
        <w:spacing w:after="120" w:before="0"/>
        <w:ind w:left="863"/>
        <w:jc w:val="both"/>
      </w:pPr>
      <w:r>
        <w:rPr>
          <w:rFonts w:ascii="Garamond" w:cs="Garamond" w:eastAsia="Garamond" w:hAnsi="Garamond"/>
          <w:color w:val="2a2520"/>
          <w:sz w:val="22"/>
          <w:szCs w:val="22"/>
        </w:rPr>
        <w:t xml:space="preserve">Fiscal origination — all revenue measures, appropriations, and debt ceiling changes must originate in the House. The Senate may amend fiscal legislation but cannot initiate it. Keeps fiscal accountability with the proportionally elected chamber.</w:t>
      </w:r>
    </w:p>
    <w:p>
      <w:pPr>
        <w:spacing w:after="60" w:before="200"/>
        <w:ind w:left="863"/>
      </w:pPr>
      <w:r>
        <w:rPr>
          <w:rFonts w:ascii="Courier New" w:cs="Courier New" w:eastAsia="Courier New" w:hAnsi="Courier New"/>
          <w:b/>
          <w:bCs/>
          <w:color w:val="1B2A4A"/>
          <w:sz w:val="18"/>
          <w:szCs w:val="18"/>
        </w:rPr>
        <w:t xml:space="preserve">§3.2.c  </w:t>
      </w:r>
      <w:r>
        <w:rPr>
          <w:rFonts w:ascii="Garamond" w:cs="Garamond" w:eastAsia="Garamond" w:hAnsi="Garamond"/>
          <w:b/>
          <w:bCs/>
          <w:color w:val="1B2A4A"/>
          <w:sz w:val="22"/>
          <w:szCs w:val="22"/>
        </w:rPr>
        <w:t xml:space="preserve">Senate Must Act on Every House Bill</w:t>
      </w:r>
    </w:p>
    <w:p>
      <w:pPr>
        <w:spacing w:after="120" w:before="0"/>
        <w:ind w:left="863"/>
        <w:jc w:val="both"/>
      </w:pPr>
      <w:r>
        <w:rPr>
          <w:rFonts w:ascii="Garamond" w:cs="Garamond" w:eastAsia="Garamond" w:hAnsi="Garamond"/>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863"/>
      </w:pPr>
      <w:r>
        <w:rPr>
          <w:rFonts w:ascii="Courier New" w:cs="Courier New" w:eastAsia="Courier New" w:hAnsi="Courier New"/>
          <w:b/>
          <w:bCs/>
          <w:color w:val="1B2A4A"/>
          <w:sz w:val="18"/>
          <w:szCs w:val="18"/>
        </w:rPr>
        <w:t xml:space="preserve">§3.2.d  </w:t>
      </w:r>
      <w:r>
        <w:rPr>
          <w:rFonts w:ascii="Garamond" w:cs="Garamond" w:eastAsia="Garamond" w:hAnsi="Garamond"/>
          <w:b/>
          <w:bCs/>
          <w:color w:val="1B2A4A"/>
          <w:sz w:val="22"/>
          <w:szCs w:val="22"/>
        </w:rPr>
        <w:t xml:space="preserve">Judicial Confirmation</w:t>
      </w:r>
    </w:p>
    <w:p>
      <w:pPr>
        <w:spacing w:after="120" w:before="0"/>
        <w:ind w:left="863"/>
        <w:jc w:val="both"/>
      </w:pPr>
      <w:r>
        <w:rPr>
          <w:rFonts w:ascii="Garamond" w:cs="Garamond" w:eastAsia="Garamond" w:hAnsi="Garamond"/>
          <w:color w:val="2a2520"/>
          <w:sz w:val="22"/>
          <w:szCs w:val="22"/>
        </w:rPr>
        <w:t xml:space="preserve">Judicial Confirmation — 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863"/>
      </w:pPr>
      <w:r>
        <w:rPr>
          <w:rFonts w:ascii="Courier New" w:cs="Courier New" w:eastAsia="Courier New" w:hAnsi="Courier New"/>
          <w:b/>
          <w:bCs/>
          <w:color w:val="1B2A4A"/>
          <w:sz w:val="18"/>
          <w:szCs w:val="18"/>
        </w:rPr>
        <w:t xml:space="preserve">§3.2.e  </w:t>
      </w:r>
      <w:r>
        <w:rPr>
          <w:rFonts w:ascii="Garamond" w:cs="Garamond" w:eastAsia="Garamond" w:hAnsi="Garamond"/>
          <w:b/>
          <w:bCs/>
          <w:color w:val="1B2A4A"/>
          <w:sz w:val="22"/>
          <w:szCs w:val="22"/>
        </w:rPr>
        <w:t xml:space="preserve">Treaty Ratification</w:t>
      </w:r>
    </w:p>
    <w:p>
      <w:pPr>
        <w:spacing w:after="120" w:before="0"/>
        <w:ind w:left="863"/>
        <w:jc w:val="both"/>
      </w:pPr>
      <w:r>
        <w:rPr>
          <w:rFonts w:ascii="Garamond" w:cs="Garamond" w:eastAsia="Garamond" w:hAnsi="Garamond"/>
          <w:color w:val="2a2520"/>
          <w:sz w:val="22"/>
          <w:szCs w:val="22"/>
        </w:rPr>
        <w:t xml:space="preserve">Treaty Ratification — treaties require 2/3 Senate majority. Two sub-provisions address failed ratification: §3.2.e.i (standalone domestic provisions may proceed as ordinary legislation) and §3.2.e.ii (bilateral treaties designed as integrated wholes must be renegotiated, not disaggregated). The Nordmere Cases established the factual test for which sub-provision applies.</w:t>
      </w:r>
    </w:p>
    <w:p>
      <w:pPr>
        <w:spacing w:after="60" w:before="200"/>
        <w:ind w:left="1296"/>
      </w:pPr>
      <w:r>
        <w:rPr>
          <w:rFonts w:ascii="Courier New" w:cs="Courier New" w:eastAsia="Courier New" w:hAnsi="Courier New"/>
          <w:b/>
          <w:bCs/>
          <w:color w:val="1B2A4A"/>
          <w:sz w:val="18"/>
          <w:szCs w:val="18"/>
        </w:rPr>
        <w:t xml:space="preserve">§3.2.e.i  </w:t>
      </w:r>
      <w:r>
        <w:rPr>
          <w:rFonts w:ascii="Garamond" w:cs="Garamond" w:eastAsia="Garamond" w:hAnsi="Garamond"/>
          <w:b/>
          <w:bCs/>
          <w:color w:val="1B2A4A"/>
          <w:sz w:val="22"/>
          <w:szCs w:val="22"/>
        </w:rPr>
        <w:t xml:space="preserve">Treaty Domestic Application</w:t>
      </w:r>
    </w:p>
    <w:p>
      <w:pPr>
        <w:spacing w:after="120" w:before="0"/>
        <w:ind w:left="1296"/>
        <w:jc w:val="both"/>
      </w:pPr>
      <w:r>
        <w:rPr>
          <w:rFonts w:ascii="Garamond" w:cs="Garamond" w:eastAsia="Garamond" w:hAnsi="Garamond"/>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1296"/>
      </w:pPr>
      <w:r>
        <w:rPr>
          <w:rFonts w:ascii="Courier New" w:cs="Courier New" w:eastAsia="Courier New" w:hAnsi="Courier New"/>
          <w:b/>
          <w:bCs/>
          <w:color w:val="1B2A4A"/>
          <w:sz w:val="18"/>
          <w:szCs w:val="18"/>
        </w:rPr>
        <w:t xml:space="preserve">§3.2.e.ii  </w:t>
      </w:r>
      <w:r>
        <w:rPr>
          <w:rFonts w:ascii="Garamond" w:cs="Garamond" w:eastAsia="Garamond" w:hAnsi="Garamond"/>
          <w:b/>
          <w:bCs/>
          <w:color w:val="1B2A4A"/>
          <w:sz w:val="22"/>
          <w:szCs w:val="22"/>
        </w:rPr>
        <w:t xml:space="preserve">Treaty Withdrawal</w:t>
      </w:r>
    </w:p>
    <w:p>
      <w:pPr>
        <w:spacing w:after="120" w:before="0"/>
        <w:ind w:left="1296"/>
        <w:jc w:val="both"/>
      </w:pPr>
      <w:r>
        <w:rPr>
          <w:rFonts w:ascii="Garamond" w:cs="Garamond" w:eastAsia="Garamond" w:hAnsi="Garamond"/>
          <w:color w:val="2a2520"/>
          <w:sz w:val="22"/>
          <w:szCs w:val="22"/>
        </w:rPr>
        <w:t xml:space="preserve">Where the treaty is bilateral and designed as an integrated whole — reciprocal obligations that only make sense together — the President may not disaggregate and transmit domestic provisions. The treaty must be renegotiated or abandoned. The Nordmere Cases: Case 2 applied this provision where bilateral design made domestic provisions interdependent.</w:t>
      </w:r>
    </w:p>
    <w:p>
      <w:pPr>
        <w:spacing w:after="60" w:before="200"/>
        <w:ind w:left="863"/>
      </w:pPr>
      <w:r>
        <w:rPr>
          <w:rFonts w:ascii="Courier New" w:cs="Courier New" w:eastAsia="Courier New" w:hAnsi="Courier New"/>
          <w:b/>
          <w:bCs/>
          <w:color w:val="1B2A4A"/>
          <w:sz w:val="18"/>
          <w:szCs w:val="18"/>
        </w:rPr>
        <w:t xml:space="preserve">§3.2.f  </w:t>
      </w:r>
      <w:r>
        <w:rPr>
          <w:rFonts w:ascii="Garamond" w:cs="Garamond" w:eastAsia="Garamond" w:hAnsi="Garamond"/>
          <w:b/>
          <w:bCs/>
          <w:color w:val="1B2A4A"/>
          <w:sz w:val="22"/>
          <w:szCs w:val="22"/>
        </w:rPr>
        <w:t xml:space="preserve">Impeachment Trials</w:t>
      </w:r>
    </w:p>
    <w:p>
      <w:pPr>
        <w:spacing w:after="120" w:before="0"/>
        <w:ind w:left="863"/>
        <w:jc w:val="both"/>
      </w:pPr>
      <w:r>
        <w:rPr>
          <w:rFonts w:ascii="Garamond" w:cs="Garamond" w:eastAsia="Garamond" w:hAnsi="Garamond"/>
          <w:color w:val="2a2520"/>
          <w:sz w:val="22"/>
          <w:szCs w:val="22"/>
        </w:rPr>
        <w:t xml:space="preserve">Senate Electoral Functions — the Senate administers the Presidential election in the absence of a functioning Electoral Commission, presides over contested electoral proceedings, and certifies Presidential election results. A direct role in executive accountability that does not depend on the House.</w:t>
      </w:r>
    </w:p>
    <w:p>
      <w:pPr>
        <w:spacing w:after="60" w:before="200"/>
        <w:ind w:left="863"/>
      </w:pPr>
      <w:r>
        <w:rPr>
          <w:rFonts w:ascii="Courier New" w:cs="Courier New" w:eastAsia="Courier New" w:hAnsi="Courier New"/>
          <w:b/>
          <w:bCs/>
          <w:color w:val="1B2A4A"/>
          <w:sz w:val="18"/>
          <w:szCs w:val="18"/>
        </w:rPr>
        <w:t xml:space="preserve">§3.2.g  </w:t>
      </w:r>
      <w:r>
        <w:rPr>
          <w:rFonts w:ascii="Garamond" w:cs="Garamond" w:eastAsia="Garamond" w:hAnsi="Garamond"/>
          <w:b/>
          <w:bCs/>
          <w:color w:val="1B2A4A"/>
          <w:sz w:val="22"/>
          <w:szCs w:val="22"/>
        </w:rPr>
        <w:t xml:space="preserve">Survivor Quorum — Catastrophic Casualty Events</w:t>
      </w:r>
    </w:p>
    <w:p>
      <w:pPr>
        <w:spacing w:after="120" w:before="0"/>
        <w:ind w:left="863"/>
        <w:jc w:val="both"/>
      </w:pPr>
      <w:r>
        <w:rPr>
          <w:rFonts w:ascii="Garamond" w:cs="Garamond" w:eastAsia="Garamond" w:hAnsi="Garamond"/>
          <w:color w:val="2a2520"/>
          <w:sz w:val="22"/>
          <w:szCs w:val="22"/>
        </w:rPr>
        <w:t xml:space="preserve">Senate Internal Rules — 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863"/>
      </w:pPr>
      <w:r>
        <w:rPr>
          <w:rFonts w:ascii="Courier New" w:cs="Courier New" w:eastAsia="Courier New" w:hAnsi="Courier New"/>
          <w:b/>
          <w:bCs/>
          <w:color w:val="1B2A4A"/>
          <w:sz w:val="18"/>
          <w:szCs w:val="18"/>
        </w:rPr>
        <w:t xml:space="preserve">§3.2.h  </w:t>
      </w:r>
      <w:r>
        <w:rPr>
          <w:rFonts w:ascii="Garamond" w:cs="Garamond" w:eastAsia="Garamond" w:hAnsi="Garamond"/>
          <w:b/>
          <w:bCs/>
          <w:color w:val="1B2A4A"/>
          <w:sz w:val="22"/>
          <w:szCs w:val="22"/>
        </w:rPr>
        <w:t xml:space="preserve">Senate Speaker Vacancy</w:t>
      </w:r>
    </w:p>
    <w:p>
      <w:pPr>
        <w:spacing w:after="120" w:before="0"/>
        <w:ind w:left="863"/>
        <w:jc w:val="both"/>
      </w:pPr>
      <w:r>
        <w:rPr>
          <w:rFonts w:ascii="Garamond" w:cs="Garamond" w:eastAsia="Garamond" w:hAnsi="Garamond"/>
          <w:color w:val="2a2520"/>
          <w:sz w:val="22"/>
          <w:szCs w:val="22"/>
        </w:rPr>
        <w:t xml:space="preserve">Senate Committees — 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863"/>
      </w:pPr>
      <w:r>
        <w:rPr>
          <w:rFonts w:ascii="Courier New" w:cs="Courier New" w:eastAsia="Courier New" w:hAnsi="Courier New"/>
          <w:b/>
          <w:bCs/>
          <w:color w:val="1B2A4A"/>
          <w:sz w:val="18"/>
          <w:szCs w:val="18"/>
        </w:rPr>
        <w:t xml:space="preserve">§3.2.i  </w:t>
      </w:r>
      <w:r>
        <w:rPr>
          <w:rFonts w:ascii="Garamond" w:cs="Garamond" w:eastAsia="Garamond" w:hAnsi="Garamond"/>
          <w:b/>
          <w:bCs/>
          <w:color w:val="1B2A4A"/>
          <w:sz w:val="22"/>
          <w:szCs w:val="22"/>
        </w:rPr>
        <w:t xml:space="preserve">Senate Amendment Authority</w:t>
      </w:r>
    </w:p>
    <w:p>
      <w:pPr>
        <w:spacing w:after="120" w:before="0"/>
        <w:ind w:left="863"/>
        <w:jc w:val="both"/>
      </w:pPr>
      <w:r>
        <w:rPr>
          <w:rFonts w:ascii="Garamond" w:cs="Garamond" w:eastAsia="Garamond" w:hAnsi="Garamond"/>
          <w:color w:val="2a2520"/>
          <w:sz w:val="22"/>
          <w:szCs w:val="22"/>
        </w:rPr>
        <w:t xml:space="preserve">Senate Amendment Authority — 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 The Rider scenario tested this — the LI found an agricultural export credit non-germane to an infrastructure bill.</w:t>
      </w:r>
    </w:p>
    <w:p>
      <w:pPr>
        <w:spacing w:after="60" w:before="200"/>
        <w:ind w:left="863"/>
      </w:pPr>
      <w:r>
        <w:rPr>
          <w:rFonts w:ascii="Courier New" w:cs="Courier New" w:eastAsia="Courier New" w:hAnsi="Courier New"/>
          <w:b/>
          <w:bCs/>
          <w:color w:val="1B2A4A"/>
          <w:sz w:val="18"/>
          <w:szCs w:val="18"/>
        </w:rPr>
        <w:t xml:space="preserve">§3.3.a  </w:t>
      </w:r>
      <w:r>
        <w:rPr>
          <w:rFonts w:ascii="Garamond" w:cs="Garamond" w:eastAsia="Garamond" w:hAnsi="Garamond"/>
          <w:b/>
          <w:bCs/>
          <w:color w:val="1B2A4A"/>
          <w:sz w:val="22"/>
          <w:szCs w:val="22"/>
        </w:rPr>
        <w:t xml:space="preserve">Standard Passage</w:t>
      </w:r>
    </w:p>
    <w:p>
      <w:pPr>
        <w:spacing w:after="120" w:before="0"/>
        <w:ind w:left="863"/>
        <w:jc w:val="both"/>
      </w:pPr>
      <w:r>
        <w:rPr>
          <w:rFonts w:ascii="Garamond" w:cs="Garamond" w:eastAsia="Garamond" w:hAnsi="Garamond"/>
          <w:color w:val="2a2520"/>
          <w:sz w:val="22"/>
          <w:szCs w:val="22"/>
        </w:rPr>
        <w:t xml:space="preserve">Standard Passage — 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863"/>
      </w:pPr>
      <w:r>
        <w:rPr>
          <w:rFonts w:ascii="Courier New" w:cs="Courier New" w:eastAsia="Courier New" w:hAnsi="Courier New"/>
          <w:b/>
          <w:bCs/>
          <w:color w:val="1B2A4A"/>
          <w:sz w:val="18"/>
          <w:szCs w:val="18"/>
        </w:rPr>
        <w:t xml:space="preserve">§3.3.b  </w:t>
      </w:r>
      <w:r>
        <w:rPr>
          <w:rFonts w:ascii="Garamond" w:cs="Garamond" w:eastAsia="Garamond" w:hAnsi="Garamond"/>
          <w:b/>
          <w:bCs/>
          <w:color w:val="1B2A4A"/>
          <w:sz w:val="22"/>
          <w:szCs w:val="22"/>
        </w:rPr>
        <w:t xml:space="preserve">Presidential Veto Override</w:t>
      </w:r>
    </w:p>
    <w:p>
      <w:pPr>
        <w:spacing w:after="120" w:before="0"/>
        <w:ind w:left="863"/>
        <w:jc w:val="both"/>
      </w:pPr>
      <w:r>
        <w:rPr>
          <w:rFonts w:ascii="Garamond" w:cs="Garamond" w:eastAsia="Garamond" w:hAnsi="Garamond"/>
          <w:color w:val="2a2520"/>
          <w:sz w:val="22"/>
          <w:szCs w:val="22"/>
        </w:rPr>
        <w:t xml:space="preserve">Presidential Veto Override — requires 2/3 of both chambers simultaneously. The simultaneous requirement means both chambers must vote in the same session. The SC's 48-hour review under §2.1.f.i occurs before any override vote, meaning the constitutional question is settled before the political question of the override.</w:t>
      </w:r>
    </w:p>
    <w:p>
      <w:pPr>
        <w:spacing w:after="60" w:before="200"/>
        <w:ind w:left="863"/>
      </w:pPr>
      <w:r>
        <w:rPr>
          <w:rFonts w:ascii="Courier New" w:cs="Courier New" w:eastAsia="Courier New" w:hAnsi="Courier New"/>
          <w:b/>
          <w:bCs/>
          <w:color w:val="1B2A4A"/>
          <w:sz w:val="18"/>
          <w:szCs w:val="18"/>
        </w:rPr>
        <w:t xml:space="preserve">§3.3.c  </w:t>
      </w:r>
      <w:r>
        <w:rPr>
          <w:rFonts w:ascii="Garamond" w:cs="Garamond" w:eastAsia="Garamond" w:hAnsi="Garamond"/>
          <w:b/>
          <w:bCs/>
          <w:color w:val="1B2A4A"/>
          <w:sz w:val="22"/>
          <w:szCs w:val="22"/>
        </w:rPr>
        <w:t xml:space="preserve">Record System Entry</w:t>
      </w:r>
    </w:p>
    <w:p>
      <w:pPr>
        <w:spacing w:after="120" w:before="0"/>
        <w:ind w:left="863"/>
        <w:jc w:val="both"/>
      </w:pPr>
      <w:r>
        <w:rPr>
          <w:rFonts w:ascii="Garamond" w:cs="Garamond" w:eastAsia="Garamond" w:hAnsi="Garamond"/>
          <w:color w:val="2a2520"/>
          <w:sz w:val="22"/>
          <w:szCs w:val="22"/>
        </w:rPr>
        <w:t xml:space="preserve">Record System Entry — 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863"/>
      </w:pPr>
      <w:r>
        <w:rPr>
          <w:rFonts w:ascii="Courier New" w:cs="Courier New" w:eastAsia="Courier New" w:hAnsi="Courier New"/>
          <w:b/>
          <w:bCs/>
          <w:color w:val="1B2A4A"/>
          <w:sz w:val="18"/>
          <w:szCs w:val="18"/>
        </w:rPr>
        <w:t xml:space="preserve">§3.3.d  </w:t>
      </w:r>
      <w:r>
        <w:rPr>
          <w:rFonts w:ascii="Garamond" w:cs="Garamond" w:eastAsia="Garamond" w:hAnsi="Garamond"/>
          <w:b/>
          <w:bCs/>
          <w:color w:val="1B2A4A"/>
          <w:sz w:val="22"/>
          <w:szCs w:val="22"/>
        </w:rPr>
        <w:t xml:space="preserve">Legislative Mandate Enforcement</w:t>
      </w:r>
    </w:p>
    <w:p>
      <w:pPr>
        <w:spacing w:after="120" w:before="0"/>
        <w:ind w:left="863"/>
        <w:jc w:val="both"/>
      </w:pPr>
      <w:r>
        <w:rPr>
          <w:rFonts w:ascii="Garamond" w:cs="Garamond" w:eastAsia="Garamond" w:hAnsi="Garamond"/>
          <w:color w:val="2a2520"/>
          <w:sz w:val="22"/>
          <w:szCs w:val="22"/>
        </w:rPr>
        <w:t xml:space="preserve">Legislative Mandate Enforcement — 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pPr>
      <w:r>
        <w:rPr>
          <w:rFonts w:ascii="Courier New" w:cs="Courier New" w:eastAsia="Courier New" w:hAnsi="Courier New"/>
          <w:b/>
          <w:bCs/>
          <w:color w:val="1B2A4A"/>
          <w:sz w:val="18"/>
          <w:szCs w:val="18"/>
        </w:rPr>
        <w:t xml:space="preserve">§3.4  </w:t>
      </w:r>
      <w:r>
        <w:rPr>
          <w:rFonts w:ascii="Garamond" w:cs="Garamond" w:eastAsia="Garamond" w:hAnsi="Garamond"/>
          <w:b/>
          <w:bCs/>
          <w:color w:val="1B2A4A"/>
          <w:sz w:val="22"/>
          <w:szCs w:val="22"/>
        </w:rPr>
        <w:t xml:space="preserve">Electoral Districts</w:t>
      </w:r>
    </w:p>
    <w:p>
      <w:pPr>
        <w:spacing w:after="120" w:before="0"/>
        <w:ind w:left="431"/>
        <w:jc w:val="both"/>
      </w:pPr>
      <w:r>
        <w:rPr>
          <w:rFonts w:ascii="Garamond" w:cs="Garamond" w:eastAsia="Garamond" w:hAnsi="Garamond"/>
          <w:color w:val="2a2520"/>
          <w:sz w:val="22"/>
          <w:szCs w:val="22"/>
        </w:rPr>
        <w:t xml:space="preserve">House Redistricting — the LI conducts the census, the Legislature sets the apportionment formula, States draw their own district maps, and the LI reviews maps for compliance. The LI's review checks for partisan gerrymandering, population equality violations, and compliance with the minority protection criteria.</w:t>
      </w:r>
    </w:p>
    <w:p>
      <w:pPr>
        <w:spacing w:after="60" w:before="200"/>
        <w:ind w:left="863"/>
      </w:pPr>
      <w:r>
        <w:rPr>
          <w:rFonts w:ascii="Courier New" w:cs="Courier New" w:eastAsia="Courier New" w:hAnsi="Courier New"/>
          <w:b/>
          <w:bCs/>
          <w:color w:val="1B2A4A"/>
          <w:sz w:val="18"/>
          <w:szCs w:val="18"/>
        </w:rPr>
        <w:t xml:space="preserve">§3.4.a  </w:t>
      </w:r>
      <w:r>
        <w:rPr>
          <w:rFonts w:ascii="Garamond" w:cs="Garamond" w:eastAsia="Garamond" w:hAnsi="Garamond"/>
          <w:b/>
          <w:bCs/>
          <w:color w:val="1B2A4A"/>
          <w:sz w:val="22"/>
          <w:szCs w:val="22"/>
        </w:rPr>
        <w:t xml:space="preserve">Criteria Hierarchy</w:t>
      </w:r>
    </w:p>
    <w:p>
      <w:pPr>
        <w:spacing w:after="120" w:before="0"/>
        <w:ind w:left="863"/>
        <w:jc w:val="both"/>
      </w:pPr>
      <w:r>
        <w:rPr>
          <w:rFonts w:ascii="Garamond" w:cs="Garamond" w:eastAsia="Garamond" w:hAnsi="Garamond"/>
          <w:color w:val="2a2520"/>
          <w:sz w:val="22"/>
          <w:szCs w:val="22"/>
        </w:rPr>
        <w:t xml:space="preserve">Redistricting Criteria — State district maps must meet five criteria: population equality within tolerance, geographic contiguity, compliance with §1.8 non-discrimination, no intentional dilution of minority voting power, and reasonable geographic compactness. States have discretion within these bounds — there is no single correct map.</w:t>
      </w:r>
    </w:p>
    <w:p>
      <w:pPr>
        <w:spacing w:after="60" w:before="200"/>
        <w:ind w:left="863"/>
      </w:pPr>
      <w:r>
        <w:rPr>
          <w:rFonts w:ascii="Courier New" w:cs="Courier New" w:eastAsia="Courier New" w:hAnsi="Courier New"/>
          <w:b/>
          <w:bCs/>
          <w:color w:val="1B2A4A"/>
          <w:sz w:val="18"/>
          <w:szCs w:val="18"/>
        </w:rPr>
        <w:t xml:space="preserve">§3.4.b  </w:t>
      </w:r>
      <w:r>
        <w:rPr>
          <w:rFonts w:ascii="Garamond" w:cs="Garamond" w:eastAsia="Garamond" w:hAnsi="Garamond"/>
          <w:b/>
          <w:bCs/>
          <w:color w:val="1B2A4A"/>
          <w:sz w:val="22"/>
          <w:szCs w:val="22"/>
        </w:rPr>
        <w:t xml:space="preserve">Prohibited Inputs</w:t>
      </w:r>
    </w:p>
    <w:p>
      <w:pPr>
        <w:spacing w:after="120" w:before="0"/>
        <w:ind w:left="863"/>
        <w:jc w:val="both"/>
      </w:pPr>
      <w:r>
        <w:rPr>
          <w:rFonts w:ascii="Garamond" w:cs="Garamond" w:eastAsia="Garamond" w:hAnsi="Garamond"/>
          <w:color w:val="2a2520"/>
          <w:sz w:val="22"/>
          <w:szCs w:val="22"/>
        </w:rPr>
        <w:t xml:space="preserve">LI Redistricting Review — the LI reviews all State-drawn district maps within 60 days of submission. If a map fails the §3.4.a criteria, the LI publishes specific findings and the State must submit a corrected map within 30 days. If the corrected map still fails, the LI draws a compliant interim map. The LI cannot draw a permanent map — only an interim one pending State compliance.</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Drawing Authority — States</w:t>
      </w:r>
    </w:p>
    <w:p>
      <w:pPr>
        <w:spacing w:after="120" w:before="0"/>
        <w:ind w:left="863"/>
        <w:jc w:val="both"/>
      </w:pPr>
      <w:r>
        <w:rPr>
          <w:rFonts w:ascii="Garamond" w:cs="Garamond" w:eastAsia="Garamond" w:hAnsi="Garamond"/>
          <w:color w:val="2a2520"/>
          <w:sz w:val="22"/>
          <w:szCs w:val="22"/>
        </w:rPr>
        <w:t xml:space="preserve">Redistricting Cycle — maps are drawn after each census, every 10 years. Emergency redistricting may occur if a State's population changes significantly between census cycles. A State may not redistrict more than once per census cycle without LI approval.</w:t>
      </w:r>
    </w:p>
    <w:p>
      <w:pPr>
        <w:spacing w:after="60" w:before="200"/>
        <w:ind w:left="863"/>
      </w:pPr>
      <w:r>
        <w:rPr>
          <w:rFonts w:ascii="Courier New" w:cs="Courier New" w:eastAsia="Courier New" w:hAnsi="Courier New"/>
          <w:b/>
          <w:bCs/>
          <w:color w:val="1B2A4A"/>
          <w:sz w:val="18"/>
          <w:szCs w:val="18"/>
        </w:rPr>
        <w:t xml:space="preserve">§3.4.d  </w:t>
      </w:r>
      <w:r>
        <w:rPr>
          <w:rFonts w:ascii="Garamond" w:cs="Garamond" w:eastAsia="Garamond" w:hAnsi="Garamond"/>
          <w:b/>
          <w:bCs/>
          <w:color w:val="1B2A4A"/>
          <w:sz w:val="22"/>
          <w:szCs w:val="22"/>
        </w:rPr>
        <w:t xml:space="preserve">Drawing Authority — Federal Territories</w:t>
      </w:r>
    </w:p>
    <w:p>
      <w:pPr>
        <w:spacing w:after="120" w:before="0"/>
        <w:ind w:left="863"/>
        <w:jc w:val="both"/>
      </w:pPr>
      <w:r>
        <w:rPr>
          <w:rFonts w:ascii="Garamond" w:cs="Garamond" w:eastAsia="Garamond" w:hAnsi="Garamond"/>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ind w:left="863"/>
      </w:pPr>
      <w:r>
        <w:rPr>
          <w:rFonts w:ascii="Courier New" w:cs="Courier New" w:eastAsia="Courier New" w:hAnsi="Courier New"/>
          <w:b/>
          <w:bCs/>
          <w:color w:val="1B2A4A"/>
          <w:sz w:val="18"/>
          <w:szCs w:val="18"/>
        </w:rPr>
        <w:t xml:space="preserve">§3.4.e  </w:t>
      </w:r>
      <w:r>
        <w:rPr>
          <w:rFonts w:ascii="Garamond" w:cs="Garamond" w:eastAsia="Garamond" w:hAnsi="Garamond"/>
          <w:b/>
          <w:bCs/>
          <w:color w:val="1B2A4A"/>
          <w:sz w:val="22"/>
          <w:szCs w:val="22"/>
        </w:rPr>
        <w:t xml:space="preserve">National Compliance Review</w:t>
      </w:r>
    </w:p>
    <w:p>
      <w:pPr>
        <w:spacing w:after="120" w:before="0"/>
        <w:ind w:left="863"/>
        <w:jc w:val="both"/>
      </w:pPr>
      <w:r>
        <w:rPr>
          <w:rFonts w:ascii="Garamond" w:cs="Garamond" w:eastAsia="Garamond" w:hAnsi="Garamond"/>
          <w:color w:val="2a2520"/>
          <w:sz w:val="22"/>
          <w:szCs w:val="22"/>
        </w:rPr>
        <w:t xml:space="preserve">At-Large Seats — 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863"/>
      </w:pPr>
      <w:r>
        <w:rPr>
          <w:rFonts w:ascii="Courier New" w:cs="Courier New" w:eastAsia="Courier New" w:hAnsi="Courier New"/>
          <w:b/>
          <w:bCs/>
          <w:color w:val="1B2A4A"/>
          <w:sz w:val="18"/>
          <w:szCs w:val="18"/>
        </w:rPr>
        <w:t xml:space="preserve">§3.4.f  </w:t>
      </w:r>
      <w:r>
        <w:rPr>
          <w:rFonts w:ascii="Garamond" w:cs="Garamond" w:eastAsia="Garamond" w:hAnsi="Garamond"/>
          <w:b/>
          <w:bCs/>
          <w:color w:val="1B2A4A"/>
          <w:sz w:val="22"/>
          <w:szCs w:val="22"/>
        </w:rPr>
        <w:t xml:space="preserve">Court Adjudication</w:t>
      </w:r>
    </w:p>
    <w:p>
      <w:pPr>
        <w:spacing w:after="120" w:before="0"/>
        <w:ind w:left="863"/>
        <w:jc w:val="both"/>
      </w:pPr>
      <w:r>
        <w:rPr>
          <w:rFonts w:ascii="Garamond" w:cs="Garamond" w:eastAsia="Garamond" w:hAnsi="Garamond"/>
          <w:color w:val="2a2520"/>
          <w:sz w:val="22"/>
          <w:szCs w:val="22"/>
        </w:rPr>
        <w:t xml:space="preserve">District Vacancy — 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863"/>
      </w:pPr>
      <w:r>
        <w:rPr>
          <w:rFonts w:ascii="Courier New" w:cs="Courier New" w:eastAsia="Courier New" w:hAnsi="Courier New"/>
          <w:b/>
          <w:bCs/>
          <w:color w:val="1B2A4A"/>
          <w:sz w:val="18"/>
          <w:szCs w:val="18"/>
        </w:rPr>
        <w:t xml:space="preserve">§3.4.g  </w:t>
      </w:r>
      <w:r>
        <w:rPr>
          <w:rFonts w:ascii="Garamond" w:cs="Garamond" w:eastAsia="Garamond" w:hAnsi="Garamond"/>
          <w:b/>
          <w:bCs/>
          <w:color w:val="1B2A4A"/>
          <w:sz w:val="22"/>
          <w:szCs w:val="22"/>
        </w:rPr>
        <w:t xml:space="preserve">Continuity</w:t>
      </w:r>
    </w:p>
    <w:p>
      <w:pPr>
        <w:spacing w:after="120" w:before="0"/>
        <w:ind w:left="863"/>
        <w:jc w:val="both"/>
      </w:pPr>
      <w:r>
        <w:rPr>
          <w:rFonts w:ascii="Garamond" w:cs="Garamond" w:eastAsia="Garamond" w:hAnsi="Garamond"/>
          <w:color w:val="2a2520"/>
          <w:sz w:val="22"/>
          <w:szCs w:val="22"/>
        </w:rPr>
        <w:t xml:space="preserve">Redistricting Transparency — 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pPr>
      <w:r>
        <w:rPr>
          <w:rFonts w:ascii="Courier New" w:cs="Courier New" w:eastAsia="Courier New" w:hAnsi="Courier New"/>
          <w:b/>
          <w:bCs/>
          <w:color w:val="1B2A4A"/>
          <w:sz w:val="18"/>
          <w:szCs w:val="18"/>
        </w:rPr>
        <w:t xml:space="preserve">§3.5  </w:t>
      </w:r>
      <w:r>
        <w:rPr>
          <w:rFonts w:ascii="Garamond" w:cs="Garamond" w:eastAsia="Garamond" w:hAnsi="Garamond"/>
          <w:b/>
          <w:bCs/>
          <w:color w:val="1B2A4A"/>
          <w:sz w:val="22"/>
          <w:szCs w:val="22"/>
        </w:rPr>
        <w:t xml:space="preserve">The House — Composition and Structure</w:t>
      </w:r>
    </w:p>
    <w:p>
      <w:pPr>
        <w:spacing w:after="120" w:before="0"/>
        <w:ind w:left="431"/>
        <w:jc w:val="both"/>
      </w:pPr>
      <w:r>
        <w:rPr>
          <w:rFonts w:ascii="Garamond" w:cs="Garamond" w:eastAsia="Garamond" w:hAnsi="Garamond"/>
          <w:color w:val="2a2520"/>
          <w:sz w:val="22"/>
          <w:szCs w:val="22"/>
        </w:rPr>
        <w:t xml:space="preserve">The House — the proportional chamber. Seats allocated by population, minimum one per State, floor of one per 750,000 citizens. The House originates all legislation and fiscal measures, elects the PM, and is the primary democratic accountability mechanism for the executive. Every member elected every 4 years makes it the chamber closest to current public sentiment.</w:t>
      </w:r>
    </w:p>
    <w:p>
      <w:pPr>
        <w:spacing w:after="60" w:before="200"/>
        <w:ind w:left="863"/>
      </w:pPr>
      <w:r>
        <w:rPr>
          <w:rFonts w:ascii="Courier New" w:cs="Courier New" w:eastAsia="Courier New" w:hAnsi="Courier New"/>
          <w:b/>
          <w:bCs/>
          <w:color w:val="1B2A4A"/>
          <w:sz w:val="18"/>
          <w:szCs w:val="18"/>
        </w:rPr>
        <w:t xml:space="preserve">§3.5.a  </w:t>
      </w:r>
      <w:r>
        <w:rPr>
          <w:rFonts w:ascii="Garamond" w:cs="Garamond" w:eastAsia="Garamond" w:hAnsi="Garamond"/>
          <w:b/>
          <w:bCs/>
          <w:color w:val="1B2A4A"/>
          <w:sz w:val="22"/>
          <w:szCs w:val="22"/>
        </w:rPr>
        <w:t xml:space="preserve">House Membership Formula</w:t>
      </w:r>
    </w:p>
    <w:p>
      <w:pPr>
        <w:spacing w:after="120" w:before="0"/>
        <w:ind w:left="863"/>
        <w:jc w:val="both"/>
      </w:pPr>
      <w:r>
        <w:rPr>
          <w:rFonts w:ascii="Garamond" w:cs="Garamond" w:eastAsia="Garamond" w:hAnsi="Garamond"/>
          <w:color w:val="2a2520"/>
          <w:sz w:val="22"/>
          <w:szCs w:val="22"/>
        </w:rPr>
        <w:t xml:space="preserve">House Membership Formula — seats allocated by the LI census using a formula of one seat per N citizens where N is set by statute, minimum one seat per State. Any formula producing fewer than one seat per 500,000 citizens requires published LI justification. The formula is automatic — no political negotiation of seat allocation.</w:t>
      </w:r>
    </w:p>
    <w:p>
      <w:pPr>
        <w:spacing w:after="60" w:before="200"/>
        <w:ind w:left="863"/>
      </w:pPr>
      <w:r>
        <w:rPr>
          <w:rFonts w:ascii="Courier New" w:cs="Courier New" w:eastAsia="Courier New" w:hAnsi="Courier New"/>
          <w:b/>
          <w:bCs/>
          <w:color w:val="1B2A4A"/>
          <w:sz w:val="18"/>
          <w:szCs w:val="18"/>
        </w:rPr>
        <w:t xml:space="preserve">§3.5.b  </w:t>
      </w:r>
      <w:r>
        <w:rPr>
          <w:rFonts w:ascii="Garamond" w:cs="Garamond" w:eastAsia="Garamond" w:hAnsi="Garamond"/>
          <w:b/>
          <w:bCs/>
          <w:color w:val="1B2A4A"/>
          <w:sz w:val="22"/>
          <w:szCs w:val="22"/>
        </w:rPr>
        <w:t xml:space="preserve">House Speaker</w:t>
      </w:r>
    </w:p>
    <w:p>
      <w:pPr>
        <w:spacing w:after="120" w:before="0"/>
        <w:ind w:left="863"/>
        <w:jc w:val="both"/>
      </w:pPr>
      <w:r>
        <w:rPr>
          <w:rFonts w:ascii="Garamond" w:cs="Garamond" w:eastAsia="Garamond" w:hAnsi="Garamond"/>
          <w:color w:val="2a2520"/>
          <w:sz w:val="22"/>
          <w:szCs w:val="22"/>
        </w:rPr>
        <w:t xml:space="preserve">House Speaker — 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863"/>
      </w:pPr>
      <w:r>
        <w:rPr>
          <w:rFonts w:ascii="Courier New" w:cs="Courier New" w:eastAsia="Courier New" w:hAnsi="Courier New"/>
          <w:b/>
          <w:bCs/>
          <w:color w:val="1B2A4A"/>
          <w:sz w:val="18"/>
          <w:szCs w:val="18"/>
        </w:rPr>
        <w:t xml:space="preserve">§3.5.c  </w:t>
      </w:r>
      <w:r>
        <w:rPr>
          <w:rFonts w:ascii="Garamond" w:cs="Garamond" w:eastAsia="Garamond" w:hAnsi="Garamond"/>
          <w:b/>
          <w:bCs/>
          <w:color w:val="1B2A4A"/>
          <w:sz w:val="22"/>
          <w:szCs w:val="22"/>
        </w:rPr>
        <w:t xml:space="preserve">House Vacancy</w:t>
      </w:r>
    </w:p>
    <w:p>
      <w:pPr>
        <w:spacing w:after="120" w:before="0"/>
        <w:ind w:left="863"/>
        <w:jc w:val="both"/>
      </w:pPr>
      <w:r>
        <w:rPr>
          <w:rFonts w:ascii="Garamond" w:cs="Garamond" w:eastAsia="Garamond" w:hAnsi="Garamond"/>
          <w:color w:val="2a2520"/>
          <w:sz w:val="22"/>
          <w:szCs w:val="22"/>
        </w:rPr>
        <w:t xml:space="preserve">House Vacancy — a House seat that falls vacant mid-term triggers a special election within 90 days if more than 90 days remain in the term. Short-term vacancies (fewer than 90 days) are not filled — the seat remains vacant for the remainder of the term.</w:t>
      </w:r>
    </w:p>
    <w:p>
      <w:pPr>
        <w:spacing w:after="60" w:before="200"/>
        <w:ind w:left="863"/>
      </w:pPr>
      <w:r>
        <w:rPr>
          <w:rFonts w:ascii="Courier New" w:cs="Courier New" w:eastAsia="Courier New" w:hAnsi="Courier New"/>
          <w:b/>
          <w:bCs/>
          <w:color w:val="1B2A4A"/>
          <w:sz w:val="18"/>
          <w:szCs w:val="18"/>
        </w:rPr>
        <w:t xml:space="preserve">§3.5.d  </w:t>
      </w:r>
      <w:r>
        <w:rPr>
          <w:rFonts w:ascii="Garamond" w:cs="Garamond" w:eastAsia="Garamond" w:hAnsi="Garamond"/>
          <w:b/>
          <w:bCs/>
          <w:color w:val="1B2A4A"/>
          <w:sz w:val="22"/>
          <w:szCs w:val="22"/>
        </w:rPr>
        <w:t xml:space="preserve">House Quorum</w:t>
      </w:r>
    </w:p>
    <w:p>
      <w:pPr>
        <w:spacing w:after="120" w:before="0"/>
        <w:ind w:left="863"/>
        <w:jc w:val="both"/>
      </w:pPr>
      <w:r>
        <w:rPr>
          <w:rFonts w:ascii="Garamond" w:cs="Garamond" w:eastAsia="Garamond" w:hAnsi="Garamond"/>
          <w:color w:val="2a2520"/>
          <w:sz w:val="22"/>
          <w:szCs w:val="22"/>
        </w:rPr>
        <w:t xml:space="preserve">House Quorum — 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863"/>
      </w:pPr>
      <w:r>
        <w:rPr>
          <w:rFonts w:ascii="Courier New" w:cs="Courier New" w:eastAsia="Courier New" w:hAnsi="Courier New"/>
          <w:b/>
          <w:bCs/>
          <w:color w:val="1B2A4A"/>
          <w:sz w:val="18"/>
          <w:szCs w:val="18"/>
        </w:rPr>
        <w:t xml:space="preserve">§3.6.a  </w:t>
      </w:r>
      <w:r>
        <w:rPr>
          <w:rFonts w:ascii="Garamond" w:cs="Garamond" w:eastAsia="Garamond" w:hAnsi="Garamond"/>
          <w:b/>
          <w:bCs/>
          <w:color w:val="1B2A4A"/>
          <w:sz w:val="22"/>
          <w:szCs w:val="22"/>
        </w:rPr>
        <w:t xml:space="preserve">House Expulsion</w:t>
      </w:r>
    </w:p>
    <w:p>
      <w:pPr>
        <w:spacing w:after="120" w:before="0"/>
        <w:ind w:left="863"/>
        <w:jc w:val="both"/>
      </w:pPr>
      <w:r>
        <w:rPr>
          <w:rFonts w:ascii="Garamond" w:cs="Garamond" w:eastAsia="Garamond" w:hAnsi="Garamond"/>
          <w:color w:val="2a2520"/>
          <w:sz w:val="22"/>
          <w:szCs w:val="22"/>
        </w:rPr>
        <w:t xml:space="preserve">Inspectorate Access to Legislative Records — all three Inspectorates have full access to legislative records, committee deliberations, voting records, and draft legislation. The Legislature may not classify records from the Inspectorates.</w:t>
      </w:r>
    </w:p>
    <w:p>
      <w:pPr>
        <w:spacing w:after="60" w:before="200"/>
        <w:ind w:left="863"/>
      </w:pPr>
      <w:r>
        <w:rPr>
          <w:rFonts w:ascii="Courier New" w:cs="Courier New" w:eastAsia="Courier New" w:hAnsi="Courier New"/>
          <w:b/>
          <w:bCs/>
          <w:color w:val="1B2A4A"/>
          <w:sz w:val="18"/>
          <w:szCs w:val="18"/>
        </w:rPr>
        <w:t xml:space="preserve">§3.6.b  </w:t>
      </w:r>
      <w:r>
        <w:rPr>
          <w:rFonts w:ascii="Garamond" w:cs="Garamond" w:eastAsia="Garamond" w:hAnsi="Garamond"/>
          <w:b/>
          <w:bCs/>
          <w:color w:val="1B2A4A"/>
          <w:sz w:val="22"/>
          <w:szCs w:val="22"/>
        </w:rPr>
        <w:t xml:space="preserve">Senate Expulsion</w:t>
      </w:r>
    </w:p>
    <w:p>
      <w:pPr>
        <w:spacing w:after="120" w:before="0"/>
        <w:ind w:left="863"/>
        <w:jc w:val="both"/>
      </w:pPr>
      <w:r>
        <w:rPr>
          <w:rFonts w:ascii="Garamond" w:cs="Garamond" w:eastAsia="Garamond" w:hAnsi="Garamond"/>
          <w:color w:val="2a2520"/>
          <w:sz w:val="22"/>
          <w:szCs w:val="22"/>
        </w:rPr>
        <w:t xml:space="preserve">LI Pre-Passage Constitutional Review — 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863"/>
      </w:pPr>
      <w:r>
        <w:rPr>
          <w:rFonts w:ascii="Courier New" w:cs="Courier New" w:eastAsia="Courier New" w:hAnsi="Courier New"/>
          <w:b/>
          <w:bCs/>
          <w:color w:val="1B2A4A"/>
          <w:sz w:val="18"/>
          <w:szCs w:val="18"/>
        </w:rPr>
        <w:t xml:space="preserve">§3.6.c  </w:t>
      </w:r>
      <w:r>
        <w:rPr>
          <w:rFonts w:ascii="Garamond" w:cs="Garamond" w:eastAsia="Garamond" w:hAnsi="Garamond"/>
          <w:b/>
          <w:bCs/>
          <w:color w:val="1B2A4A"/>
          <w:sz w:val="22"/>
          <w:szCs w:val="22"/>
        </w:rPr>
        <w:t xml:space="preserve">Anti-Weaponization Threshold</w:t>
      </w:r>
    </w:p>
    <w:p>
      <w:pPr>
        <w:spacing w:after="120" w:before="0"/>
        <w:ind w:left="863"/>
        <w:jc w:val="both"/>
      </w:pPr>
      <w:r>
        <w:rPr>
          <w:rFonts w:ascii="Garamond" w:cs="Garamond" w:eastAsia="Garamond" w:hAnsi="Garamond"/>
          <w:color w:val="2a2520"/>
          <w:sz w:val="22"/>
          <w:szCs w:val="22"/>
        </w:rPr>
        <w:t xml:space="preserve">Committee Structure — both chambers must maintain standing committees for their constitutionally assigned functions. Committees may not be abolished while they hold a constitutional mandate. The LI audits committee operations annually.</w:t>
      </w:r>
    </w:p>
    <w:p>
      <w:pPr>
        <w:spacing w:after="60" w:before="200"/>
        <w:ind w:left="863"/>
      </w:pPr>
      <w:r>
        <w:rPr>
          <w:rFonts w:ascii="Courier New" w:cs="Courier New" w:eastAsia="Courier New" w:hAnsi="Courier New"/>
          <w:b/>
          <w:bCs/>
          <w:color w:val="1B2A4A"/>
          <w:sz w:val="18"/>
          <w:szCs w:val="18"/>
        </w:rPr>
        <w:t xml:space="preserve">§3.6.d  </w:t>
      </w:r>
      <w:r>
        <w:rPr>
          <w:rFonts w:ascii="Garamond" w:cs="Garamond" w:eastAsia="Garamond" w:hAnsi="Garamond"/>
          <w:b/>
          <w:bCs/>
          <w:color w:val="1B2A4A"/>
          <w:sz w:val="22"/>
          <w:szCs w:val="22"/>
        </w:rPr>
        <w:t xml:space="preserve">Consequences and Restoration</w:t>
      </w:r>
    </w:p>
    <w:p>
      <w:pPr>
        <w:spacing w:after="120" w:before="0"/>
        <w:ind w:left="863"/>
        <w:jc w:val="both"/>
      </w:pPr>
      <w:r>
        <w:rPr>
          <w:rFonts w:ascii="Garamond" w:cs="Garamond" w:eastAsia="Garamond" w:hAnsi="Garamond"/>
          <w:color w:val="2a2520"/>
          <w:sz w:val="22"/>
          <w:szCs w:val="22"/>
        </w:rPr>
        <w:t xml:space="preserve">Joint Sessions — 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863"/>
      </w:pPr>
      <w:r>
        <w:rPr>
          <w:rFonts w:ascii="Courier New" w:cs="Courier New" w:eastAsia="Courier New" w:hAnsi="Courier New"/>
          <w:b/>
          <w:bCs/>
          <w:color w:val="1B2A4A"/>
          <w:sz w:val="18"/>
          <w:szCs w:val="18"/>
        </w:rPr>
        <w:t xml:space="preserve">§3.6.e  </w:t>
      </w:r>
      <w:r>
        <w:rPr>
          <w:rFonts w:ascii="Garamond" w:cs="Garamond" w:eastAsia="Garamond" w:hAnsi="Garamond"/>
          <w:b/>
          <w:bCs/>
          <w:color w:val="1B2A4A"/>
          <w:sz w:val="22"/>
          <w:szCs w:val="22"/>
        </w:rPr>
        <w:t xml:space="preserve">Recall — States and Territories</w:t>
      </w:r>
    </w:p>
    <w:p>
      <w:pPr>
        <w:spacing w:after="120" w:before="0"/>
        <w:ind w:left="863"/>
        <w:jc w:val="both"/>
      </w:pPr>
      <w:r>
        <w:rPr>
          <w:rFonts w:ascii="Garamond" w:cs="Garamond" w:eastAsia="Garamond" w:hAnsi="Garamond"/>
          <w:color w:val="2a2520"/>
          <w:sz w:val="22"/>
          <w:szCs w:val="22"/>
        </w:rPr>
        <w:t xml:space="preserve">Ethics and Conduct — 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863"/>
      </w:pPr>
      <w:r>
        <w:rPr>
          <w:rFonts w:ascii="Courier New" w:cs="Courier New" w:eastAsia="Courier New" w:hAnsi="Courier New"/>
          <w:b/>
          <w:bCs/>
          <w:color w:val="1B2A4A"/>
          <w:sz w:val="18"/>
          <w:szCs w:val="18"/>
        </w:rPr>
        <w:t xml:space="preserve">§3.6.f  </w:t>
      </w:r>
      <w:r>
        <w:rPr>
          <w:rFonts w:ascii="Garamond" w:cs="Garamond" w:eastAsia="Garamond" w:hAnsi="Garamond"/>
          <w:b/>
          <w:bCs/>
          <w:color w:val="1B2A4A"/>
          <w:sz w:val="22"/>
          <w:szCs w:val="22"/>
        </w:rPr>
        <w:t xml:space="preserve">Vacancy Filling — States and Territories</w:t>
      </w:r>
    </w:p>
    <w:p>
      <w:pPr>
        <w:spacing w:after="120" w:before="0"/>
        <w:ind w:left="863"/>
        <w:jc w:val="both"/>
      </w:pPr>
      <w:r>
        <w:rPr>
          <w:rFonts w:ascii="Garamond" w:cs="Garamond" w:eastAsia="Garamond" w:hAnsi="Garamond"/>
          <w:color w:val="2a2520"/>
          <w:sz w:val="22"/>
          <w:szCs w:val="22"/>
        </w:rPr>
        <w:t xml:space="preserve">Legislative Privilege — 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863"/>
      </w:pPr>
      <w:r>
        <w:rPr>
          <w:rFonts w:ascii="Courier New" w:cs="Courier New" w:eastAsia="Courier New" w:hAnsi="Courier New"/>
          <w:b/>
          <w:bCs/>
          <w:color w:val="1B2A4A"/>
          <w:sz w:val="18"/>
          <w:szCs w:val="18"/>
        </w:rPr>
        <w:t xml:space="preserve">§3.7.a  </w:t>
      </w:r>
      <w:r>
        <w:rPr>
          <w:rFonts w:ascii="Garamond" w:cs="Garamond" w:eastAsia="Garamond" w:hAnsi="Garamond"/>
          <w:b/>
          <w:bCs/>
          <w:color w:val="1B2A4A"/>
          <w:sz w:val="22"/>
          <w:szCs w:val="22"/>
        </w:rPr>
        <w:t xml:space="preserve">Authorization</w:t>
      </w:r>
    </w:p>
    <w:p>
      <w:pPr>
        <w:spacing w:after="120" w:before="0"/>
        <w:ind w:left="863"/>
        <w:jc w:val="both"/>
      </w:pPr>
      <w:r>
        <w:rPr>
          <w:rFonts w:ascii="Garamond" w:cs="Garamond" w:eastAsia="Garamond" w:hAnsi="Garamond"/>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863"/>
      </w:pPr>
      <w:r>
        <w:rPr>
          <w:rFonts w:ascii="Courier New" w:cs="Courier New" w:eastAsia="Courier New" w:hAnsi="Courier New"/>
          <w:b/>
          <w:bCs/>
          <w:color w:val="1B2A4A"/>
          <w:sz w:val="18"/>
          <w:szCs w:val="18"/>
        </w:rPr>
        <w:t xml:space="preserve">§3.7.b  </w:t>
      </w:r>
      <w:r>
        <w:rPr>
          <w:rFonts w:ascii="Garamond" w:cs="Garamond" w:eastAsia="Garamond" w:hAnsi="Garamond"/>
          <w:b/>
          <w:bCs/>
          <w:color w:val="1B2A4A"/>
          <w:sz w:val="22"/>
          <w:szCs w:val="22"/>
        </w:rPr>
        <w:t xml:space="preserve">Appointment</w:t>
      </w:r>
    </w:p>
    <w:p>
      <w:pPr>
        <w:spacing w:after="120" w:before="0"/>
        <w:ind w:left="863"/>
        <w:jc w:val="both"/>
      </w:pPr>
      <w:r>
        <w:rPr>
          <w:rFonts w:ascii="Garamond" w:cs="Garamond" w:eastAsia="Garamond" w:hAnsi="Garamond"/>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863"/>
      </w:pPr>
      <w:r>
        <w:rPr>
          <w:rFonts w:ascii="Courier New" w:cs="Courier New" w:eastAsia="Courier New" w:hAnsi="Courier New"/>
          <w:b/>
          <w:bCs/>
          <w:color w:val="1B2A4A"/>
          <w:sz w:val="18"/>
          <w:szCs w:val="18"/>
        </w:rPr>
        <w:t xml:space="preserve">§3.7.c  </w:t>
      </w:r>
      <w:r>
        <w:rPr>
          <w:rFonts w:ascii="Garamond" w:cs="Garamond" w:eastAsia="Garamond" w:hAnsi="Garamond"/>
          <w:b/>
          <w:bCs/>
          <w:color w:val="1B2A4A"/>
          <w:sz w:val="22"/>
          <w:szCs w:val="22"/>
        </w:rPr>
        <w:t xml:space="preserve">Removal</w:t>
      </w:r>
    </w:p>
    <w:p>
      <w:pPr>
        <w:spacing w:after="120" w:before="0"/>
        <w:ind w:left="863"/>
        <w:jc w:val="both"/>
      </w:pPr>
      <w:r>
        <w:rPr>
          <w:rFonts w:ascii="Garamond" w:cs="Garamond" w:eastAsia="Garamond" w:hAnsi="Garamond"/>
          <w:color w:val="2a2520"/>
          <w:sz w:val="22"/>
          <w:szCs w:val="22"/>
        </w:rPr>
        <w:t xml:space="preserve">Senate Confirmation of Independent Officers — confirmed by the Senate. Thresholds defined by the enabling statute within constitutional bounds. The Senate may not confirm an officer the EI has flagged for a material disclosure inaccuracy until the discrepancy is resolved.</w:t>
      </w:r>
    </w:p>
    <w:p>
      <w:pPr>
        <w:spacing w:after="60" w:before="200"/>
        <w:ind w:left="863"/>
      </w:pPr>
      <w:r>
        <w:rPr>
          <w:rFonts w:ascii="Courier New" w:cs="Courier New" w:eastAsia="Courier New" w:hAnsi="Courier New"/>
          <w:b/>
          <w:bCs/>
          <w:color w:val="1B2A4A"/>
          <w:sz w:val="18"/>
          <w:szCs w:val="18"/>
        </w:rPr>
        <w:t xml:space="preserve">§3.7.d  </w:t>
      </w:r>
      <w:r>
        <w:rPr>
          <w:rFonts w:ascii="Garamond" w:cs="Garamond" w:eastAsia="Garamond" w:hAnsi="Garamond"/>
          <w:b/>
          <w:bCs/>
          <w:color w:val="1B2A4A"/>
          <w:sz w:val="22"/>
          <w:szCs w:val="22"/>
        </w:rPr>
        <w:t xml:space="preserve">Oversight</w:t>
      </w:r>
    </w:p>
    <w:p>
      <w:pPr>
        <w:spacing w:after="120" w:before="0"/>
        <w:ind w:left="863"/>
        <w:jc w:val="both"/>
      </w:pPr>
      <w:r>
        <w:rPr>
          <w:rFonts w:ascii="Garamond" w:cs="Garamond" w:eastAsia="Garamond" w:hAnsi="Garamond"/>
          <w:color w:val="2a2520"/>
          <w:sz w:val="22"/>
          <w:szCs w:val="22"/>
        </w:rPr>
        <w:t xml:space="preserve">Removal of Independent Officers — removal requires a for-cause finding. The EI must publish a factual finding before any removal vote. Removal is by 2/3 of both chambers simultaneously. Neither executive may remove a statutory independent officer unilaterally.</w:t>
      </w:r>
    </w:p>
    <w:p>
      <w:pPr>
        <w:spacing w:after="60" w:before="200"/>
        <w:ind w:left="863"/>
      </w:pPr>
      <w:r>
        <w:rPr>
          <w:rFonts w:ascii="Courier New" w:cs="Courier New" w:eastAsia="Courier New" w:hAnsi="Courier New"/>
          <w:b/>
          <w:bCs/>
          <w:color w:val="1B2A4A"/>
          <w:sz w:val="18"/>
          <w:szCs w:val="18"/>
        </w:rPr>
        <w:t xml:space="preserve">§3.7.e  </w:t>
      </w:r>
      <w:r>
        <w:rPr>
          <w:rFonts w:ascii="Garamond" w:cs="Garamond" w:eastAsia="Garamond" w:hAnsi="Garamond"/>
          <w:b/>
          <w:bCs/>
          <w:color w:val="1B2A4A"/>
          <w:sz w:val="22"/>
          <w:szCs w:val="22"/>
        </w:rPr>
        <w:t xml:space="preserve">Limits</w:t>
      </w:r>
    </w:p>
    <w:p>
      <w:pPr>
        <w:spacing w:after="120" w:before="0"/>
        <w:ind w:left="863"/>
        <w:jc w:val="both"/>
      </w:pPr>
      <w:r>
        <w:rPr>
          <w:rFonts w:ascii="Garamond" w:cs="Garamond" w:eastAsia="Garamond" w:hAnsi="Garamond"/>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IV — The Judiciary</w:t>
      </w:r>
    </w:p>
    <w:p>
      <w:pPr>
        <w:spacing w:after="120"/>
      </w:pPr>
    </w:p>
    <w:p>
      <w:pPr>
        <w:spacing w:after="60" w:before="200"/>
        <w:ind w:left="863"/>
      </w:pPr>
      <w:r>
        <w:rPr>
          <w:rFonts w:ascii="Courier New" w:cs="Courier New" w:eastAsia="Courier New" w:hAnsi="Courier New"/>
          <w:b/>
          <w:bCs/>
          <w:color w:val="1B2A4A"/>
          <w:sz w:val="18"/>
          <w:szCs w:val="18"/>
        </w:rPr>
        <w:t xml:space="preserve">§4.1.a  </w:t>
      </w:r>
      <w:r>
        <w:rPr>
          <w:rFonts w:ascii="Garamond" w:cs="Garamond" w:eastAsia="Garamond" w:hAnsi="Garamond"/>
          <w:b/>
          <w:bCs/>
          <w:color w:val="1B2A4A"/>
          <w:sz w:val="22"/>
          <w:szCs w:val="22"/>
        </w:rPr>
        <w:t xml:space="preserve">Establishment</w:t>
      </w:r>
    </w:p>
    <w:p>
      <w:pPr>
        <w:spacing w:after="120" w:before="0"/>
        <w:ind w:left="863"/>
        <w:jc w:val="both"/>
      </w:pPr>
      <w:r>
        <w:rPr>
          <w:rFonts w:ascii="Garamond" w:cs="Garamond" w:eastAsia="Garamond" w:hAnsi="Garamond"/>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863"/>
      </w:pPr>
      <w:r>
        <w:rPr>
          <w:rFonts w:ascii="Courier New" w:cs="Courier New" w:eastAsia="Courier New" w:hAnsi="Courier New"/>
          <w:b/>
          <w:bCs/>
          <w:color w:val="1B2A4A"/>
          <w:sz w:val="18"/>
          <w:szCs w:val="18"/>
        </w:rPr>
        <w:t xml:space="preserve">§4.1.b  </w:t>
      </w:r>
      <w:r>
        <w:rPr>
          <w:rFonts w:ascii="Garamond" w:cs="Garamond" w:eastAsia="Garamond" w:hAnsi="Garamond"/>
          <w:b/>
          <w:bCs/>
          <w:color w:val="1B2A4A"/>
          <w:sz w:val="22"/>
          <w:szCs w:val="22"/>
        </w:rPr>
        <w:t xml:space="preserve">Appointment of Inferior Courts</w:t>
      </w:r>
    </w:p>
    <w:p>
      <w:pPr>
        <w:spacing w:after="120" w:before="0"/>
        <w:ind w:left="863"/>
        <w:jc w:val="both"/>
      </w:pPr>
      <w:r>
        <w:rPr>
          <w:rFonts w:ascii="Garamond" w:cs="Garamond" w:eastAsia="Garamond" w:hAnsi="Garamond"/>
          <w:color w:val="2a2520"/>
          <w:sz w:val="22"/>
          <w:szCs w:val="22"/>
        </w:rPr>
        <w:t xml:space="preserve">PM nominates within 90 days; the Senate confirms by a supermajority (55–67% of full seated membership). Senate confirmation corrected from House in v157. Four sub-provisions now numbered §4.1.b.i–iv: (i) Candidate Disclosure and EI Review — PM submits disclosure record to EI before confirmation vote; (ii) PM Failure — Senate Nomination — Senate may nominate if PM fails within 90 days; (iii) Prorated Confirmation Period — shortened period when nomination submitted late; (iv) 180-Day Constitutional Ceiling — no vacancy may remain unfilled beyond 180 days. Deemed Confirmation applies at the ceiling if no vote is held.</w:t>
      </w:r>
    </w:p>
    <w:p>
      <w:pPr>
        <w:spacing w:after="60" w:before="200"/>
        <w:ind w:left="863"/>
      </w:pPr>
      <w:r>
        <w:rPr>
          <w:rFonts w:ascii="Courier New" w:cs="Courier New" w:eastAsia="Courier New" w:hAnsi="Courier New"/>
          <w:b/>
          <w:bCs/>
          <w:color w:val="1B2A4A"/>
          <w:sz w:val="18"/>
          <w:szCs w:val="18"/>
        </w:rPr>
        <w:t xml:space="preserve">§4.1.c  </w:t>
      </w:r>
      <w:r>
        <w:rPr>
          <w:rFonts w:ascii="Garamond" w:cs="Garamond" w:eastAsia="Garamond" w:hAnsi="Garamond"/>
          <w:b/>
          <w:bCs/>
          <w:color w:val="1B2A4A"/>
          <w:sz w:val="22"/>
          <w:szCs w:val="22"/>
        </w:rPr>
        <w:t xml:space="preserve">Judicial Tenure Protection</w:t>
      </w:r>
    </w:p>
    <w:p>
      <w:pPr>
        <w:spacing w:after="120" w:before="0"/>
        <w:ind w:left="863"/>
        <w:jc w:val="both"/>
      </w:pPr>
      <w:r>
        <w:rPr>
          <w:rFonts w:ascii="Garamond" w:cs="Garamond" w:eastAsia="Garamond" w:hAnsi="Garamond"/>
          <w:color w:val="2a2520"/>
          <w:sz w:val="22"/>
          <w:szCs w:val="22"/>
        </w:rPr>
        <w:t xml:space="preserve">Judicial Tenure Protection — 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863"/>
      </w:pPr>
      <w:r>
        <w:rPr>
          <w:rFonts w:ascii="Courier New" w:cs="Courier New" w:eastAsia="Courier New" w:hAnsi="Courier New"/>
          <w:b/>
          <w:bCs/>
          <w:color w:val="1B2A4A"/>
          <w:sz w:val="18"/>
          <w:szCs w:val="18"/>
        </w:rPr>
        <w:t xml:space="preserve">§4.1.d  </w:t>
      </w:r>
      <w:r>
        <w:rPr>
          <w:rFonts w:ascii="Garamond" w:cs="Garamond" w:eastAsia="Garamond" w:hAnsi="Garamond"/>
          <w:b/>
          <w:bCs/>
          <w:color w:val="1B2A4A"/>
          <w:sz w:val="22"/>
          <w:szCs w:val="22"/>
        </w:rPr>
        <w:t xml:space="preserve">Judicial Removal</w:t>
      </w:r>
    </w:p>
    <w:p>
      <w:pPr>
        <w:spacing w:after="120" w:before="0"/>
        <w:ind w:left="863"/>
        <w:jc w:val="both"/>
      </w:pPr>
      <w:r>
        <w:rPr>
          <w:rFonts w:ascii="Garamond" w:cs="Garamond" w:eastAsia="Garamond" w:hAnsi="Garamond"/>
          <w:color w:val="2a2520"/>
          <w:sz w:val="22"/>
          <w:szCs w:val="22"/>
        </w:rPr>
        <w:t xml:space="preserve">Judicial Removal — three tracks: legislative removal by 2/3 of both chambers for constitutional breach or demonstrated incapacity; judicial discipline through the SC's internal accountability process; and criminal conviction for disqualifying offenses. The EI must publish a factual finding before any legislative removal vote.</w:t>
      </w:r>
    </w:p>
    <w:p>
      <w:pPr>
        <w:spacing w:after="60" w:before="200"/>
        <w:ind w:left="431"/>
      </w:pPr>
      <w:r>
        <w:rPr>
          <w:rFonts w:ascii="Courier New" w:cs="Courier New" w:eastAsia="Courier New" w:hAnsi="Courier New"/>
          <w:b/>
          <w:bCs/>
          <w:color w:val="1B2A4A"/>
          <w:sz w:val="18"/>
          <w:szCs w:val="18"/>
        </w:rPr>
        <w:t xml:space="preserve">§4.2  </w:t>
      </w:r>
      <w:r>
        <w:rPr>
          <w:rFonts w:ascii="Garamond" w:cs="Garamond" w:eastAsia="Garamond" w:hAnsi="Garamond"/>
          <w:b/>
          <w:bCs/>
          <w:color w:val="1B2A4A"/>
          <w:sz w:val="22"/>
          <w:szCs w:val="22"/>
        </w:rPr>
        <w:t xml:space="preserve">Open-Candidacy Judicial Selection</w:t>
      </w:r>
    </w:p>
    <w:p>
      <w:pPr>
        <w:spacing w:after="120" w:before="0"/>
        <w:ind w:left="431"/>
        <w:jc w:val="both"/>
      </w:pPr>
      <w:r>
        <w:rPr>
          <w:rFonts w:ascii="Garamond" w:cs="Garamond" w:eastAsia="Garamond" w:hAnsi="Garamond"/>
          <w:color w:val="2a2520"/>
          <w:sz w:val="22"/>
          <w:szCs w:val="22"/>
        </w:rPr>
        <w:t xml:space="preserve">The SC selection system: fully open candidacy, advisory expert assessment, and national direct election by Ranked Choice Vote. No political branch nominates anyone. The Registry is the eligibility filter, the Judicial Selection Board is the expert voice, and the electorate makes the final determination. The three-class stagger ensures no single election cycle can shift the entire court.</w:t>
      </w:r>
    </w:p>
    <w:p>
      <w:pPr>
        <w:spacing w:after="60" w:before="200"/>
        <w:ind w:left="863"/>
      </w:pPr>
      <w:r>
        <w:rPr>
          <w:rFonts w:ascii="Courier New" w:cs="Courier New" w:eastAsia="Courier New" w:hAnsi="Courier New"/>
          <w:b/>
          <w:bCs/>
          <w:color w:val="1B2A4A"/>
          <w:sz w:val="18"/>
          <w:szCs w:val="18"/>
        </w:rPr>
        <w:t xml:space="preserve">§4.2.a  </w:t>
      </w:r>
      <w:r>
        <w:rPr>
          <w:rFonts w:ascii="Garamond" w:cs="Garamond" w:eastAsia="Garamond" w:hAnsi="Garamond"/>
          <w:b/>
          <w:bCs/>
          <w:color w:val="1B2A4A"/>
          <w:sz w:val="22"/>
          <w:szCs w:val="22"/>
        </w:rPr>
        <w:t xml:space="preserve">Candidate Registration</w:t>
      </w:r>
    </w:p>
    <w:p>
      <w:pPr>
        <w:spacing w:after="120" w:before="0"/>
        <w:ind w:left="863"/>
        <w:jc w:val="both"/>
      </w:pPr>
      <w:r>
        <w:rPr>
          <w:rFonts w:ascii="Garamond" w:cs="Garamond" w:eastAsia="Garamond" w:hAnsi="Garamond"/>
          <w:color w:val="2a2520"/>
          <w:sz w:val="22"/>
          <w:szCs w:val="22"/>
        </w:rPr>
        <w:t xml:space="preserve">Candidate Registration — 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863"/>
      </w:pPr>
      <w:r>
        <w:rPr>
          <w:rFonts w:ascii="Courier New" w:cs="Courier New" w:eastAsia="Courier New" w:hAnsi="Courier New"/>
          <w:b/>
          <w:bCs/>
          <w:color w:val="1B2A4A"/>
          <w:sz w:val="18"/>
          <w:szCs w:val="18"/>
        </w:rPr>
        <w:t xml:space="preserve">§4.2.b  </w:t>
      </w:r>
      <w:r>
        <w:rPr>
          <w:rFonts w:ascii="Garamond" w:cs="Garamond" w:eastAsia="Garamond" w:hAnsi="Garamond"/>
          <w:b/>
          <w:bCs/>
          <w:color w:val="1B2A4A"/>
          <w:sz w:val="22"/>
          <w:szCs w:val="22"/>
        </w:rPr>
        <w:t xml:space="preserve">Judicial Selection Board</w:t>
      </w:r>
    </w:p>
    <w:p>
      <w:pPr>
        <w:spacing w:after="120" w:before="0"/>
        <w:ind w:left="863"/>
        <w:jc w:val="both"/>
      </w:pPr>
      <w:r>
        <w:rPr>
          <w:rFonts w:ascii="Garamond" w:cs="Garamond" w:eastAsia="Garamond" w:hAnsi="Garamond"/>
          <w:color w:val="2a2520"/>
          <w:sz w:val="22"/>
          <w:szCs w:val="22"/>
        </w:rPr>
        <w:t xml:space="preserve">Judicial Selection Board — 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863"/>
      </w:pPr>
      <w:r>
        <w:rPr>
          <w:rFonts w:ascii="Courier New" w:cs="Courier New" w:eastAsia="Courier New" w:hAnsi="Courier New"/>
          <w:b/>
          <w:bCs/>
          <w:color w:val="1B2A4A"/>
          <w:sz w:val="18"/>
          <w:szCs w:val="18"/>
        </w:rPr>
        <w:t xml:space="preserve">§4.2.c  </w:t>
      </w:r>
      <w:r>
        <w:rPr>
          <w:rFonts w:ascii="Garamond" w:cs="Garamond" w:eastAsia="Garamond" w:hAnsi="Garamond"/>
          <w:b/>
          <w:bCs/>
          <w:color w:val="1B2A4A"/>
          <w:sz w:val="22"/>
          <w:szCs w:val="22"/>
        </w:rPr>
        <w:t xml:space="preserve">Judicial Inspectorate Certification</w:t>
      </w:r>
    </w:p>
    <w:p>
      <w:pPr>
        <w:spacing w:after="120" w:before="0"/>
        <w:ind w:left="863"/>
        <w:jc w:val="both"/>
      </w:pPr>
      <w:r>
        <w:rPr>
          <w:rFonts w:ascii="Garamond" w:cs="Garamond" w:eastAsia="Garamond" w:hAnsi="Garamond"/>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863"/>
      </w:pPr>
      <w:r>
        <w:rPr>
          <w:rFonts w:ascii="Courier New" w:cs="Courier New" w:eastAsia="Courier New" w:hAnsi="Courier New"/>
          <w:b/>
          <w:bCs/>
          <w:color w:val="1B2A4A"/>
          <w:sz w:val="18"/>
          <w:szCs w:val="18"/>
        </w:rPr>
        <w:t xml:space="preserve">§4.2.d  </w:t>
      </w:r>
      <w:r>
        <w:rPr>
          <w:rFonts w:ascii="Garamond" w:cs="Garamond" w:eastAsia="Garamond" w:hAnsi="Garamond"/>
          <w:b/>
          <w:bCs/>
          <w:color w:val="1B2A4A"/>
          <w:sz w:val="22"/>
          <w:szCs w:val="22"/>
        </w:rPr>
        <w:t xml:space="preserve">Public Election</w:t>
      </w:r>
    </w:p>
    <w:p>
      <w:pPr>
        <w:spacing w:after="120" w:before="0"/>
        <w:ind w:left="863"/>
        <w:jc w:val="both"/>
      </w:pPr>
      <w:r>
        <w:rPr>
          <w:rFonts w:ascii="Garamond" w:cs="Garamond" w:eastAsia="Garamond" w:hAnsi="Garamond"/>
          <w:color w:val="2a2520"/>
          <w:sz w:val="22"/>
          <w:szCs w:val="22"/>
        </w:rPr>
        <w:t xml:space="preserve">The Election — 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863"/>
      </w:pPr>
      <w:r>
        <w:rPr>
          <w:rFonts w:ascii="Courier New" w:cs="Courier New" w:eastAsia="Courier New" w:hAnsi="Courier New"/>
          <w:b/>
          <w:bCs/>
          <w:color w:val="1B2A4A"/>
          <w:sz w:val="18"/>
          <w:szCs w:val="18"/>
        </w:rPr>
        <w:t xml:space="preserve">§4.2.e  </w:t>
      </w:r>
      <w:r>
        <w:rPr>
          <w:rFonts w:ascii="Garamond" w:cs="Garamond" w:eastAsia="Garamond" w:hAnsi="Garamond"/>
          <w:b/>
          <w:bCs/>
          <w:color w:val="1B2A4A"/>
          <w:sz w:val="22"/>
          <w:szCs w:val="22"/>
        </w:rPr>
        <w:t xml:space="preserve">Mid-Term Vacancies</w:t>
      </w:r>
    </w:p>
    <w:p>
      <w:pPr>
        <w:spacing w:after="120" w:before="0"/>
        <w:ind w:left="863"/>
        <w:jc w:val="both"/>
      </w:pPr>
      <w:r>
        <w:rPr>
          <w:rFonts w:ascii="Garamond" w:cs="Garamond" w:eastAsia="Garamond" w:hAnsi="Garamond"/>
          <w:color w:val="2a2520"/>
          <w:sz w:val="22"/>
          <w:szCs w:val="22"/>
        </w:rPr>
        <w:t xml:space="preserve">Mid-Term Vacancies — 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863"/>
      </w:pPr>
      <w:r>
        <w:rPr>
          <w:rFonts w:ascii="Courier New" w:cs="Courier New" w:eastAsia="Courier New" w:hAnsi="Courier New"/>
          <w:b/>
          <w:bCs/>
          <w:color w:val="1B2A4A"/>
          <w:sz w:val="18"/>
          <w:szCs w:val="18"/>
        </w:rPr>
        <w:t xml:space="preserve">§4.2.f  </w:t>
      </w:r>
      <w:r>
        <w:rPr>
          <w:rFonts w:ascii="Garamond" w:cs="Garamond" w:eastAsia="Garamond" w:hAnsi="Garamond"/>
          <w:b/>
          <w:bCs/>
          <w:color w:val="1B2A4A"/>
          <w:sz w:val="22"/>
          <w:szCs w:val="22"/>
        </w:rPr>
        <w:t xml:space="preserve">Emergency Panel for Tier 1 Scope Challenges</w:t>
      </w:r>
    </w:p>
    <w:p>
      <w:pPr>
        <w:spacing w:after="120" w:before="0"/>
        <w:ind w:left="863"/>
        <w:jc w:val="both"/>
      </w:pPr>
      <w:r>
        <w:rPr>
          <w:rFonts w:ascii="Garamond" w:cs="Garamond" w:eastAsia="Garamond" w:hAnsi="Garamond"/>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863"/>
      </w:pPr>
      <w:r>
        <w:rPr>
          <w:rFonts w:ascii="Courier New" w:cs="Courier New" w:eastAsia="Courier New" w:hAnsi="Courier New"/>
          <w:b/>
          <w:bCs/>
          <w:color w:val="1B2A4A"/>
          <w:sz w:val="18"/>
          <w:szCs w:val="18"/>
        </w:rPr>
        <w:t xml:space="preserve">§4.2.g  </w:t>
      </w:r>
      <w:r>
        <w:rPr>
          <w:rFonts w:ascii="Garamond" w:cs="Garamond" w:eastAsia="Garamond" w:hAnsi="Garamond"/>
          <w:b/>
          <w:bCs/>
          <w:color w:val="1B2A4A"/>
          <w:sz w:val="22"/>
          <w:szCs w:val="22"/>
        </w:rPr>
        <w:t xml:space="preserve">Vacancy Operating Rules</w:t>
      </w:r>
    </w:p>
    <w:p>
      <w:pPr>
        <w:spacing w:after="120" w:before="0"/>
        <w:ind w:left="863"/>
        <w:jc w:val="both"/>
      </w:pPr>
      <w:r>
        <w:rPr>
          <w:rFonts w:ascii="Garamond" w:cs="Garamond" w:eastAsia="Garamond" w:hAnsi="Garamond"/>
          <w:color w:val="2a2520"/>
          <w:sz w:val="22"/>
          <w:szCs w:val="22"/>
        </w:rPr>
        <w:t xml:space="preserve">Temporary Associate Justice — the most senior Appellate Court judge by continuous service is automatically designated as Temporary Associate Justice within 5 days of any SC vacancy, without nomination or confirmation. Full vote in all cases. Cannot stand as a candidate for the seat they are temporarily filling. Ensures the SC always has nine participating justices.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863"/>
      </w:pPr>
      <w:r>
        <w:rPr>
          <w:rFonts w:ascii="Courier New" w:cs="Courier New" w:eastAsia="Courier New" w:hAnsi="Courier New"/>
          <w:b/>
          <w:bCs/>
          <w:color w:val="1B2A4A"/>
          <w:sz w:val="18"/>
          <w:szCs w:val="18"/>
        </w:rPr>
        <w:t xml:space="preserve">§4.2.h  </w:t>
      </w:r>
      <w:r>
        <w:rPr>
          <w:rFonts w:ascii="Garamond" w:cs="Garamond" w:eastAsia="Garamond" w:hAnsi="Garamond"/>
          <w:b/>
          <w:bCs/>
          <w:color w:val="1B2A4A"/>
          <w:sz w:val="22"/>
          <w:szCs w:val="22"/>
        </w:rPr>
        <w:t xml:space="preserve">Judicial Recusal</w:t>
      </w:r>
    </w:p>
    <w:p>
      <w:pPr>
        <w:spacing w:after="120" w:before="0"/>
        <w:ind w:left="863"/>
        <w:jc w:val="both"/>
      </w:pPr>
      <w:r>
        <w:rPr>
          <w:rFonts w:ascii="Garamond" w:cs="Garamond" w:eastAsia="Garamond" w:hAnsi="Garamond"/>
          <w:color w:val="2a2520"/>
          <w:sz w:val="22"/>
          <w:szCs w:val="22"/>
        </w:rPr>
        <w:t xml:space="preserve">Class Assignment and Stagger — 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863"/>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Concrete Cases Only</w:t>
      </w:r>
    </w:p>
    <w:p>
      <w:pPr>
        <w:spacing w:after="120" w:before="0"/>
        <w:ind w:left="863"/>
        <w:jc w:val="both"/>
      </w:pPr>
      <w:r>
        <w:rPr>
          <w:rFonts w:ascii="Garamond" w:cs="Garamond" w:eastAsia="Garamond" w:hAnsi="Garamond"/>
          <w:color w:val="2a2520"/>
          <w:sz w:val="22"/>
          <w:szCs w:val="22"/>
        </w:rPr>
        <w:t xml:space="preserve">Judicial Review — 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863"/>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Organizational Standing</w:t>
      </w:r>
    </w:p>
    <w:p>
      <w:pPr>
        <w:spacing w:after="120" w:before="0"/>
        <w:ind w:left="863"/>
        <w:jc w:val="both"/>
      </w:pPr>
      <w:r>
        <w:rPr>
          <w:rFonts w:ascii="Garamond" w:cs="Garamond" w:eastAsia="Garamond" w:hAnsi="Garamond"/>
          <w:color w:val="2a2520"/>
          <w:sz w:val="22"/>
          <w:szCs w:val="22"/>
        </w:rPr>
        <w:t xml:space="preserve">Judicial Scope — 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863"/>
      </w:pPr>
      <w:r>
        <w:rPr>
          <w:rFonts w:ascii="Courier New" w:cs="Courier New" w:eastAsia="Courier New" w:hAnsi="Courier New"/>
          <w:b/>
          <w:bCs/>
          <w:color w:val="1B2A4A"/>
          <w:sz w:val="18"/>
          <w:szCs w:val="18"/>
        </w:rPr>
        <w:t xml:space="preserve">§4.3.c  </w:t>
      </w:r>
      <w:r>
        <w:rPr>
          <w:rFonts w:ascii="Garamond" w:cs="Garamond" w:eastAsia="Garamond" w:hAnsi="Garamond"/>
          <w:b/>
          <w:bCs/>
          <w:color w:val="1B2A4A"/>
          <w:sz w:val="22"/>
          <w:szCs w:val="22"/>
        </w:rPr>
        <w:t xml:space="preserve">Ripeness and Mootness</w:t>
      </w:r>
    </w:p>
    <w:p>
      <w:pPr>
        <w:spacing w:after="120" w:before="0"/>
        <w:ind w:left="863"/>
        <w:jc w:val="both"/>
      </w:pPr>
      <w:r>
        <w:rPr>
          <w:rFonts w:ascii="Garamond" w:cs="Garamond" w:eastAsia="Garamond" w:hAnsi="Garamond"/>
          <w:color w:val="2a2520"/>
          <w:sz w:val="22"/>
          <w:szCs w:val="22"/>
        </w:rPr>
        <w:t xml:space="preserve">Administrative and Statutory Interpretation — 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863"/>
      </w:pPr>
      <w:r>
        <w:rPr>
          <w:rFonts w:ascii="Courier New" w:cs="Courier New" w:eastAsia="Courier New" w:hAnsi="Courier New"/>
          <w:b/>
          <w:bCs/>
          <w:color w:val="1B2A4A"/>
          <w:sz w:val="18"/>
          <w:szCs w:val="18"/>
        </w:rPr>
        <w:t xml:space="preserve">§4.3.d  </w:t>
      </w:r>
      <w:r>
        <w:rPr>
          <w:rFonts w:ascii="Garamond" w:cs="Garamond" w:eastAsia="Garamond" w:hAnsi="Garamond"/>
          <w:b/>
          <w:bCs/>
          <w:color w:val="1B2A4A"/>
          <w:sz w:val="22"/>
          <w:szCs w:val="22"/>
        </w:rPr>
        <w:t xml:space="preserve">Original Jurisdiction</w:t>
      </w:r>
    </w:p>
    <w:p>
      <w:pPr>
        <w:spacing w:after="120" w:before="0"/>
        <w:ind w:left="863"/>
        <w:jc w:val="both"/>
      </w:pPr>
      <w:r>
        <w:rPr>
          <w:rFonts w:ascii="Garamond" w:cs="Garamond" w:eastAsia="Garamond" w:hAnsi="Garamond"/>
          <w:color w:val="2a2520"/>
          <w:sz w:val="22"/>
          <w:szCs w:val="22"/>
        </w:rPr>
        <w:t xml:space="preserve">Original Jurisdiction — 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863"/>
      </w:pPr>
      <w:r>
        <w:rPr>
          <w:rFonts w:ascii="Courier New" w:cs="Courier New" w:eastAsia="Courier New" w:hAnsi="Courier New"/>
          <w:b/>
          <w:bCs/>
          <w:color w:val="1B2A4A"/>
          <w:sz w:val="18"/>
          <w:szCs w:val="18"/>
        </w:rPr>
        <w:t xml:space="preserve">§4.3.e  </w:t>
      </w:r>
      <w:r>
        <w:rPr>
          <w:rFonts w:ascii="Garamond" w:cs="Garamond" w:eastAsia="Garamond" w:hAnsi="Garamond"/>
          <w:b/>
          <w:bCs/>
          <w:color w:val="1B2A4A"/>
          <w:sz w:val="22"/>
          <w:szCs w:val="22"/>
        </w:rPr>
        <w:t xml:space="preserve">Inspectorate Findings in Constitutional Proceedings</w:t>
      </w:r>
    </w:p>
    <w:p>
      <w:pPr>
        <w:spacing w:after="120" w:before="0"/>
        <w:ind w:left="863"/>
        <w:jc w:val="both"/>
      </w:pPr>
      <w:r>
        <w:rPr>
          <w:rFonts w:ascii="Garamond" w:cs="Garamond" w:eastAsia="Garamond" w:hAnsi="Garamond"/>
          <w:color w:val="2a2520"/>
          <w:sz w:val="22"/>
          <w:szCs w:val="22"/>
        </w:rPr>
        <w:t xml:space="preserve">Inspectorate Findings — 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863"/>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Judicial Judgments</w:t>
      </w:r>
    </w:p>
    <w:p>
      <w:pPr>
        <w:spacing w:after="120" w:before="0"/>
        <w:ind w:left="863"/>
        <w:jc w:val="both"/>
      </w:pPr>
      <w:r>
        <w:rPr>
          <w:rFonts w:ascii="Garamond" w:cs="Garamond" w:eastAsia="Garamond" w:hAnsi="Garamond"/>
          <w:color w:val="2a2520"/>
          <w:sz w:val="22"/>
          <w:szCs w:val="22"/>
        </w:rPr>
        <w:t xml:space="preserve">Non-recognition grounds are exhaustive: the issuing court lacked jurisdiction; the judgment was obtained by fraud; enforcement would require an act the Legislature has defined as categorically unenforceable. A fourth ground — facially contrary to Article I — was removed as redundant. §15.6 Constitutional Supremacy already makes judgments contrary to Article I void by operation of law; enumerating it created interpretive surface area. The §15.6 cross-reference at the end of §4.4.a closes the gap cleanly.</w:t>
      </w:r>
    </w:p>
    <w:p>
      <w:pPr>
        <w:spacing w:after="60" w:before="200"/>
        <w:ind w:left="863"/>
      </w:pPr>
      <w:r>
        <w:rPr>
          <w:rFonts w:ascii="Courier New" w:cs="Courier New" w:eastAsia="Courier New" w:hAnsi="Courier New"/>
          <w:b/>
          <w:bCs/>
          <w:color w:val="1B2A4A"/>
          <w:sz w:val="18"/>
          <w:szCs w:val="18"/>
        </w:rPr>
        <w:t xml:space="preserve">§4.4.b  </w:t>
      </w:r>
      <w:r>
        <w:rPr>
          <w:rFonts w:ascii="Garamond" w:cs="Garamond" w:eastAsia="Garamond" w:hAnsi="Garamond"/>
          <w:b/>
          <w:bCs/>
          <w:color w:val="1B2A4A"/>
          <w:sz w:val="22"/>
          <w:szCs w:val="22"/>
        </w:rPr>
        <w:t xml:space="preserve">NRS Authentication</w:t>
      </w:r>
    </w:p>
    <w:p>
      <w:pPr>
        <w:spacing w:after="120" w:before="0"/>
        <w:ind w:left="863"/>
        <w:jc w:val="both"/>
      </w:pPr>
      <w:r>
        <w:rPr>
          <w:rFonts w:ascii="Garamond" w:cs="Garamond" w:eastAsia="Garamond" w:hAnsi="Garamond"/>
          <w:color w:val="2a2520"/>
          <w:sz w:val="22"/>
          <w:szCs w:val="22"/>
        </w:rPr>
        <w:t xml:space="preserve">NRS Authentication — 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863"/>
      </w:pPr>
      <w:r>
        <w:rPr>
          <w:rFonts w:ascii="Courier New" w:cs="Courier New" w:eastAsia="Courier New" w:hAnsi="Courier New"/>
          <w:b/>
          <w:bCs/>
          <w:color w:val="1B2A4A"/>
          <w:sz w:val="18"/>
          <w:szCs w:val="18"/>
        </w:rPr>
        <w:t xml:space="preserve">§4.4.c  </w:t>
      </w:r>
      <w:r>
        <w:rPr>
          <w:rFonts w:ascii="Garamond" w:cs="Garamond" w:eastAsia="Garamond" w:hAnsi="Garamond"/>
          <w:b/>
          <w:bCs/>
          <w:color w:val="1B2A4A"/>
          <w:sz w:val="22"/>
          <w:szCs w:val="22"/>
        </w:rPr>
        <w:t xml:space="preserve">Public Acts and Official Records</w:t>
      </w:r>
    </w:p>
    <w:p>
      <w:pPr>
        <w:spacing w:after="120" w:before="0"/>
        <w:ind w:left="863"/>
        <w:jc w:val="both"/>
      </w:pPr>
      <w:r>
        <w:rPr>
          <w:rFonts w:ascii="Garamond" w:cs="Garamond" w:eastAsia="Garamond" w:hAnsi="Garamond"/>
          <w:color w:val="2a2520"/>
          <w:sz w:val="22"/>
          <w:szCs w:val="22"/>
        </w:rPr>
        <w:t xml:space="preserve">Official records on the NRS are self-authenticating — no re-certification required. Professional licenses receive equivalent recognition across all States and Territories. The Legislature latitude language previously allowing the Legislature to define the "permissible scope" of supplementary requirements has been removed. §1.12 already prohibits state-specific professional licensing barriers; recognition is the constitutional default. §1.12 governs any departure from it. The two provisions working together are tighter than either separately.</w:t>
      </w:r>
    </w:p>
    <w:p>
      <w:pPr>
        <w:spacing w:after="60" w:before="200"/>
        <w:ind w:left="863"/>
      </w:pPr>
      <w:r>
        <w:rPr>
          <w:rFonts w:ascii="Courier New" w:cs="Courier New" w:eastAsia="Courier New" w:hAnsi="Courier New"/>
          <w:b/>
          <w:bCs/>
          <w:color w:val="1B2A4A"/>
          <w:sz w:val="18"/>
          <w:szCs w:val="18"/>
        </w:rPr>
        <w:t xml:space="preserve">§4.4.d  </w:t>
      </w:r>
      <w:r>
        <w:rPr>
          <w:rFonts w:ascii="Garamond" w:cs="Garamond" w:eastAsia="Garamond" w:hAnsi="Garamond"/>
          <w:b/>
          <w:bCs/>
          <w:color w:val="1B2A4A"/>
          <w:sz w:val="22"/>
          <w:szCs w:val="22"/>
        </w:rPr>
        <w:t xml:space="preserve">Status Orders — Special Protections</w:t>
      </w:r>
    </w:p>
    <w:p>
      <w:pPr>
        <w:spacing w:after="120" w:before="0"/>
        <w:ind w:left="863"/>
        <w:jc w:val="both"/>
      </w:pPr>
      <w:r>
        <w:rPr>
          <w:rFonts w:ascii="Garamond" w:cs="Garamond" w:eastAsia="Garamond" w:hAnsi="Garamond"/>
          <w:color w:val="2a2520"/>
          <w:sz w:val="22"/>
          <w:szCs w:val="22"/>
        </w:rPr>
        <w:t xml:space="preserve">Status Orders — protective orders, custody determinations, and other status orders take immediate effect in every State and Territory upon publication to the NRS. No waiting period, no local re-registration. Tested directly in Everywhere She Goes — a protective order followed the holder across State lines without any gap in protection.</w:t>
      </w:r>
    </w:p>
    <w:p>
      <w:pPr>
        <w:spacing w:after="60" w:before="200"/>
        <w:ind w:left="863"/>
      </w:pPr>
      <w:r>
        <w:rPr>
          <w:rFonts w:ascii="Courier New" w:cs="Courier New" w:eastAsia="Courier New" w:hAnsi="Courier New"/>
          <w:b/>
          <w:bCs/>
          <w:color w:val="1B2A4A"/>
          <w:sz w:val="18"/>
          <w:szCs w:val="18"/>
        </w:rPr>
        <w:t xml:space="preserve">§4.4.e  </w:t>
      </w:r>
      <w:r>
        <w:rPr>
          <w:rFonts w:ascii="Garamond" w:cs="Garamond" w:eastAsia="Garamond" w:hAnsi="Garamond"/>
          <w:b/>
          <w:bCs/>
          <w:color w:val="1B2A4A"/>
          <w:sz w:val="22"/>
          <w:szCs w:val="22"/>
        </w:rPr>
        <w:t xml:space="preserve">Limits — No Obligation Beyond Republic Borders</w:t>
      </w:r>
    </w:p>
    <w:p>
      <w:pPr>
        <w:spacing w:after="120" w:before="0"/>
        <w:ind w:left="863"/>
        <w:jc w:val="both"/>
      </w:pPr>
      <w:r>
        <w:rPr>
          <w:rFonts w:ascii="Garamond" w:cs="Garamond" w:eastAsia="Garamond" w:hAnsi="Garamond"/>
          <w:color w:val="2a2520"/>
          <w:sz w:val="22"/>
          <w:szCs w:val="22"/>
        </w:rPr>
        <w:t xml:space="preserve">Non-Discrimination in Recognition — 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863"/>
      </w:pPr>
      <w:r>
        <w:rPr>
          <w:rFonts w:ascii="Courier New" w:cs="Courier New" w:eastAsia="Courier New" w:hAnsi="Courier New"/>
          <w:b/>
          <w:bCs/>
          <w:color w:val="1B2A4A"/>
          <w:sz w:val="18"/>
          <w:szCs w:val="18"/>
        </w:rPr>
        <w:t xml:space="preserve">§4.4.f  </w:t>
      </w:r>
      <w:r>
        <w:rPr>
          <w:rFonts w:ascii="Garamond" w:cs="Garamond" w:eastAsia="Garamond" w:hAnsi="Garamond"/>
          <w:b/>
          <w:bCs/>
          <w:color w:val="1B2A4A"/>
          <w:sz w:val="22"/>
          <w:szCs w:val="22"/>
        </w:rPr>
        <w:t xml:space="preserve">Legislative Implementation Mandates</w:t>
      </w:r>
    </w:p>
    <w:p>
      <w:pPr>
        <w:spacing w:after="120" w:before="0"/>
        <w:ind w:left="863"/>
        <w:jc w:val="both"/>
      </w:pPr>
      <w:r>
        <w:rPr>
          <w:rFonts w:ascii="Garamond" w:cs="Garamond" w:eastAsia="Garamond" w:hAnsi="Garamond"/>
          <w:color w:val="2a2520"/>
          <w:sz w:val="22"/>
          <w:szCs w:val="22"/>
        </w:rPr>
        <w:t xml:space="preserve">Finality rule is now permanent rather than a default pending legislation. A judgment is final for §4.4.a purposes if it is not subject to an automatic stay under the issuing jurisdiction's procedural law, regardless of whether an appeal is pending. The Legislature may refine the finality standard for specific categories but cannot use pending-appeal status alone to block enforcement. The three-year statutory mandate for the Legislature to define finality and supplementary license requirements has been removed — finality is stated directly, and §1.12 governs licensing. The procedural framework mandate (filing forms, fee schedule, enforcement timeline) is retained.</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 — Citizenship and Naturalization</w:t>
      </w:r>
    </w:p>
    <w:p>
      <w:pPr>
        <w:spacing w:after="120"/>
      </w:pPr>
    </w:p>
    <w:p>
      <w:pPr>
        <w:spacing w:after="60" w:before="200"/>
        <w:ind w:left="863"/>
      </w:pPr>
      <w:r>
        <w:rPr>
          <w:rFonts w:ascii="Courier New" w:cs="Courier New" w:eastAsia="Courier New" w:hAnsi="Courier New"/>
          <w:b/>
          <w:bCs/>
          <w:color w:val="1B2A4A"/>
          <w:sz w:val="18"/>
          <w:szCs w:val="18"/>
        </w:rPr>
        <w:t xml:space="preserve">§5.1.a  </w:t>
      </w:r>
      <w:r>
        <w:rPr>
          <w:rFonts w:ascii="Garamond" w:cs="Garamond" w:eastAsia="Garamond" w:hAnsi="Garamond"/>
          <w:b/>
          <w:bCs/>
          <w:color w:val="1B2A4A"/>
          <w:sz w:val="22"/>
          <w:szCs w:val="22"/>
        </w:rPr>
        <w:t xml:space="preserve">Inherent Citizenship</w:t>
      </w:r>
    </w:p>
    <w:p>
      <w:pPr>
        <w:spacing w:after="120" w:before="0"/>
        <w:ind w:left="863"/>
        <w:jc w:val="both"/>
      </w:pPr>
      <w:r>
        <w:rPr>
          <w:rFonts w:ascii="Garamond" w:cs="Garamond" w:eastAsia="Garamond" w:hAnsi="Garamond"/>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1296"/>
      </w:pPr>
      <w:r>
        <w:rPr>
          <w:rFonts w:ascii="Courier New" w:cs="Courier New" w:eastAsia="Courier New" w:hAnsi="Courier New"/>
          <w:b/>
          <w:bCs/>
          <w:color w:val="1B2A4A"/>
          <w:sz w:val="18"/>
          <w:szCs w:val="18"/>
        </w:rPr>
        <w:t xml:space="preserve">§5.1.a.i  </w:t>
      </w:r>
      <w:r>
        <w:rPr>
          <w:rFonts w:ascii="Garamond" w:cs="Garamond" w:eastAsia="Garamond" w:hAnsi="Garamond"/>
          <w:b/>
          <w:bCs/>
          <w:color w:val="1B2A4A"/>
          <w:sz w:val="22"/>
          <w:szCs w:val="22"/>
        </w:rPr>
        <w:t xml:space="preserve">Statelessness Prevention</w:t>
      </w:r>
    </w:p>
    <w:p>
      <w:pPr>
        <w:spacing w:after="120" w:before="0"/>
        <w:ind w:left="1296"/>
        <w:jc w:val="both"/>
      </w:pPr>
      <w:r>
        <w:rPr>
          <w:rFonts w:ascii="Garamond" w:cs="Garamond" w:eastAsia="Garamond" w:hAnsi="Garamond"/>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863"/>
      </w:pPr>
      <w:r>
        <w:rPr>
          <w:rFonts w:ascii="Courier New" w:cs="Courier New" w:eastAsia="Courier New" w:hAnsi="Courier New"/>
          <w:b/>
          <w:bCs/>
          <w:color w:val="1B2A4A"/>
          <w:sz w:val="18"/>
          <w:szCs w:val="18"/>
        </w:rPr>
        <w:t xml:space="preserve">§5.1.b  </w:t>
      </w:r>
      <w:r>
        <w:rPr>
          <w:rFonts w:ascii="Garamond" w:cs="Garamond" w:eastAsia="Garamond" w:hAnsi="Garamond"/>
          <w:b/>
          <w:bCs/>
          <w:color w:val="1B2A4A"/>
          <w:sz w:val="22"/>
          <w:szCs w:val="22"/>
        </w:rPr>
        <w:t xml:space="preserve">Coming of Age</w:t>
      </w:r>
    </w:p>
    <w:p>
      <w:pPr>
        <w:spacing w:after="120" w:before="0"/>
        <w:ind w:left="863"/>
        <w:jc w:val="both"/>
      </w:pPr>
      <w:r>
        <w:rPr>
          <w:rFonts w:ascii="Garamond" w:cs="Garamond" w:eastAsia="Garamond" w:hAnsi="Garamond"/>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863"/>
      </w:pPr>
      <w:r>
        <w:rPr>
          <w:rFonts w:ascii="Courier New" w:cs="Courier New" w:eastAsia="Courier New" w:hAnsi="Courier New"/>
          <w:b/>
          <w:bCs/>
          <w:color w:val="1B2A4A"/>
          <w:sz w:val="18"/>
          <w:szCs w:val="18"/>
        </w:rPr>
        <w:t xml:space="preserve">§5.1.c  </w:t>
      </w:r>
      <w:r>
        <w:rPr>
          <w:rFonts w:ascii="Garamond" w:cs="Garamond" w:eastAsia="Garamond" w:hAnsi="Garamond"/>
          <w:b/>
          <w:bCs/>
          <w:color w:val="1B2A4A"/>
          <w:sz w:val="22"/>
          <w:szCs w:val="22"/>
        </w:rPr>
        <w:t xml:space="preserve">Naturalization</w:t>
      </w:r>
    </w:p>
    <w:p>
      <w:pPr>
        <w:spacing w:after="120" w:before="0"/>
        <w:ind w:left="863"/>
        <w:jc w:val="both"/>
      </w:pPr>
      <w:r>
        <w:rPr>
          <w:rFonts w:ascii="Garamond" w:cs="Garamond" w:eastAsia="Garamond" w:hAnsi="Garamond"/>
          <w:color w:val="2a2520"/>
          <w:sz w:val="22"/>
          <w:szCs w:val="22"/>
        </w:rPr>
        <w:t xml:space="preserve">A Legal Resident may earn citizenship after five continuous years of residency, passing the Constitutional Logic Test, and demonstrating a working knowledge of the Republic's official language. The CLT tests understanding of the Republic's constitutional structure of the Republic's constitutional structure — not cultural assimilation.</w:t>
      </w:r>
    </w:p>
    <w:p>
      <w:pPr>
        <w:spacing w:after="60" w:before="200"/>
        <w:ind w:left="863"/>
      </w:pPr>
      <w:r>
        <w:rPr>
          <w:rFonts w:ascii="Courier New" w:cs="Courier New" w:eastAsia="Courier New" w:hAnsi="Courier New"/>
          <w:b/>
          <w:bCs/>
          <w:color w:val="1B2A4A"/>
          <w:sz w:val="18"/>
          <w:szCs w:val="18"/>
        </w:rPr>
        <w:t xml:space="preserve">§5.1.d  </w:t>
      </w:r>
      <w:r>
        <w:rPr>
          <w:rFonts w:ascii="Garamond" w:cs="Garamond" w:eastAsia="Garamond" w:hAnsi="Garamond"/>
          <w:b/>
          <w:bCs/>
          <w:color w:val="1B2A4A"/>
          <w:sz w:val="22"/>
          <w:szCs w:val="22"/>
        </w:rPr>
        <w:t xml:space="preserve">National Service Path</w:t>
      </w:r>
    </w:p>
    <w:p>
      <w:pPr>
        <w:spacing w:after="120" w:before="0"/>
        <w:ind w:left="863"/>
        <w:jc w:val="both"/>
      </w:pPr>
      <w:r>
        <w:rPr>
          <w:rFonts w:ascii="Garamond" w:cs="Garamond" w:eastAsia="Garamond" w:hAnsi="Garamond"/>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863"/>
      </w:pPr>
      <w:r>
        <w:rPr>
          <w:rFonts w:ascii="Courier New" w:cs="Courier New" w:eastAsia="Courier New" w:hAnsi="Courier New"/>
          <w:b/>
          <w:bCs/>
          <w:color w:val="1B2A4A"/>
          <w:sz w:val="18"/>
          <w:szCs w:val="18"/>
        </w:rPr>
        <w:t xml:space="preserve">§5.1.e  </w:t>
      </w:r>
      <w:r>
        <w:rPr>
          <w:rFonts w:ascii="Garamond" w:cs="Garamond" w:eastAsia="Garamond" w:hAnsi="Garamond"/>
          <w:b/>
          <w:bCs/>
          <w:color w:val="1B2A4A"/>
          <w:sz w:val="22"/>
          <w:szCs w:val="22"/>
        </w:rPr>
        <w:t xml:space="preserve">Citizenship Irrevocability</w:t>
      </w:r>
    </w:p>
    <w:p>
      <w:pPr>
        <w:spacing w:after="120" w:before="0"/>
        <w:ind w:left="863"/>
        <w:jc w:val="both"/>
      </w:pPr>
      <w:r>
        <w:rPr>
          <w:rFonts w:ascii="Garamond" w:cs="Garamond" w:eastAsia="Garamond" w:hAnsi="Garamond"/>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863"/>
      </w:pPr>
      <w:r>
        <w:rPr>
          <w:rFonts w:ascii="Courier New" w:cs="Courier New" w:eastAsia="Courier New" w:hAnsi="Courier New"/>
          <w:b/>
          <w:bCs/>
          <w:color w:val="1B2A4A"/>
          <w:sz w:val="18"/>
          <w:szCs w:val="18"/>
        </w:rPr>
        <w:t xml:space="preserve">§5.1.f  </w:t>
      </w:r>
      <w:r>
        <w:rPr>
          <w:rFonts w:ascii="Garamond" w:cs="Garamond" w:eastAsia="Garamond" w:hAnsi="Garamond"/>
          <w:b/>
          <w:bCs/>
          <w:color w:val="1B2A4A"/>
          <w:sz w:val="22"/>
          <w:szCs w:val="22"/>
        </w:rPr>
        <w:t xml:space="preserve">Derivative Status</w:t>
      </w:r>
    </w:p>
    <w:p>
      <w:pPr>
        <w:spacing w:after="120" w:before="0"/>
        <w:ind w:left="863"/>
        <w:jc w:val="both"/>
      </w:pPr>
      <w:r>
        <w:rPr>
          <w:rFonts w:ascii="Garamond" w:cs="Garamond" w:eastAsia="Garamond" w:hAnsi="Garamond"/>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863"/>
      </w:pPr>
      <w:r>
        <w:rPr>
          <w:rFonts w:ascii="Courier New" w:cs="Courier New" w:eastAsia="Courier New" w:hAnsi="Courier New"/>
          <w:b/>
          <w:bCs/>
          <w:color w:val="1B2A4A"/>
          <w:sz w:val="18"/>
          <w:szCs w:val="18"/>
        </w:rPr>
        <w:t xml:space="preserve">§5.1.g  </w:t>
      </w:r>
      <w:r>
        <w:rPr>
          <w:rFonts w:ascii="Garamond" w:cs="Garamond" w:eastAsia="Garamond" w:hAnsi="Garamond"/>
          <w:b/>
          <w:bCs/>
          <w:color w:val="1B2A4A"/>
          <w:sz w:val="22"/>
          <w:szCs w:val="22"/>
        </w:rPr>
        <w:t xml:space="preserve">Accelerated Naturalization — Long-Term Pre-Ratification Residents</w:t>
      </w:r>
    </w:p>
    <w:p>
      <w:pPr>
        <w:spacing w:after="120" w:before="0"/>
        <w:ind w:left="863"/>
        <w:jc w:val="both"/>
      </w:pPr>
      <w:r>
        <w:rPr>
          <w:rFonts w:ascii="Garamond" w:cs="Garamond" w:eastAsia="Garamond" w:hAnsi="Garamond"/>
          <w:color w:val="2a2520"/>
          <w:sz w:val="22"/>
          <w:szCs w:val="22"/>
        </w:rPr>
        <w:t xml:space="preserve">Any person who resided continuously in the Republic's territory for 5+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complete within 90 days. This closes the gap created by §5.5.a's Grandfather Clause, which grants Day Zero citizenship to prior voters but leaves long-term residents who were denied voting rights by the predecessor government on the standard naturalization path — an inequity the accelerated process corrects.</w:t>
      </w:r>
    </w:p>
    <w:p>
      <w:pPr>
        <w:spacing w:after="60" w:before="200"/>
        <w:ind w:left="431"/>
      </w:pPr>
      <w:r>
        <w:rPr>
          <w:rFonts w:ascii="Courier New" w:cs="Courier New" w:eastAsia="Courier New" w:hAnsi="Courier New"/>
          <w:b/>
          <w:bCs/>
          <w:color w:val="1B2A4A"/>
          <w:sz w:val="18"/>
          <w:szCs w:val="18"/>
        </w:rPr>
        <w:t xml:space="preserve">§5.2  </w:t>
      </w:r>
      <w:r>
        <w:rPr>
          <w:rFonts w:ascii="Garamond" w:cs="Garamond" w:eastAsia="Garamond" w:hAnsi="Garamond"/>
          <w:b/>
          <w:bCs/>
          <w:color w:val="1B2A4A"/>
          <w:sz w:val="22"/>
          <w:szCs w:val="22"/>
        </w:rPr>
        <w:t xml:space="preserve">Legal Resident Rights</w:t>
      </w:r>
    </w:p>
    <w:p>
      <w:pPr>
        <w:spacing w:after="120" w:before="0"/>
        <w:ind w:left="431"/>
        <w:jc w:val="both"/>
      </w:pPr>
      <w:r>
        <w:rPr>
          <w:rFonts w:ascii="Garamond" w:cs="Garamond" w:eastAsia="Garamond" w:hAnsi="Garamond"/>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w:t>
      </w:r>
    </w:p>
    <w:p>
      <w:pPr>
        <w:spacing w:after="60" w:before="200"/>
        <w:ind w:left="431"/>
      </w:pPr>
      <w:r>
        <w:rPr>
          <w:rFonts w:ascii="Courier New" w:cs="Courier New" w:eastAsia="Courier New" w:hAnsi="Courier New"/>
          <w:b/>
          <w:bCs/>
          <w:color w:val="1B2A4A"/>
          <w:sz w:val="18"/>
          <w:szCs w:val="18"/>
        </w:rPr>
        <w:t xml:space="preserve">§5.3  </w:t>
      </w:r>
      <w:r>
        <w:rPr>
          <w:rFonts w:ascii="Garamond" w:cs="Garamond" w:eastAsia="Garamond" w:hAnsi="Garamond"/>
          <w:b/>
          <w:bCs/>
          <w:color w:val="1B2A4A"/>
          <w:sz w:val="22"/>
          <w:szCs w:val="22"/>
        </w:rPr>
        <w:t xml:space="preserve">Custodial Care of Citizen Children</w:t>
      </w:r>
    </w:p>
    <w:p>
      <w:pPr>
        <w:spacing w:after="120" w:before="0"/>
        <w:ind w:left="431"/>
        <w:jc w:val="both"/>
      </w:pPr>
      <w:r>
        <w:rPr>
          <w:rFonts w:ascii="Garamond" w:cs="Garamond" w:eastAsia="Garamond" w:hAnsi="Garamond"/>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from their sole caregivers without providing for them.</w:t>
      </w:r>
    </w:p>
    <w:p>
      <w:pPr>
        <w:spacing w:after="60" w:before="200"/>
        <w:ind w:left="431"/>
      </w:pPr>
      <w:r>
        <w:rPr>
          <w:rFonts w:ascii="Courier New" w:cs="Courier New" w:eastAsia="Courier New" w:hAnsi="Courier New"/>
          <w:b/>
          <w:bCs/>
          <w:color w:val="1B2A4A"/>
          <w:sz w:val="18"/>
          <w:szCs w:val="18"/>
        </w:rPr>
        <w:t xml:space="preserve">§5.4  </w:t>
      </w:r>
      <w:r>
        <w:rPr>
          <w:rFonts w:ascii="Garamond" w:cs="Garamond" w:eastAsia="Garamond" w:hAnsi="Garamond"/>
          <w:b/>
          <w:bCs/>
          <w:color w:val="1B2A4A"/>
          <w:sz w:val="22"/>
          <w:szCs w:val="22"/>
        </w:rPr>
        <w:t xml:space="preserve">The Constitutional Logic Test</w:t>
      </w:r>
    </w:p>
    <w:p>
      <w:pPr>
        <w:spacing w:after="120" w:before="0"/>
        <w:ind w:left="431"/>
        <w:jc w:val="both"/>
      </w:pPr>
      <w:r>
        <w:rPr>
          <w:rFonts w:ascii="Garamond" w:cs="Garamond" w:eastAsia="Garamond" w:hAnsi="Garamond"/>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863"/>
      </w:pPr>
      <w:r>
        <w:rPr>
          <w:rFonts w:ascii="Courier New" w:cs="Courier New" w:eastAsia="Courier New" w:hAnsi="Courier New"/>
          <w:b/>
          <w:bCs/>
          <w:color w:val="1B2A4A"/>
          <w:sz w:val="18"/>
          <w:szCs w:val="18"/>
        </w:rPr>
        <w:t xml:space="preserve">§5.4.a  </w:t>
      </w:r>
      <w:r>
        <w:rPr>
          <w:rFonts w:ascii="Garamond" w:cs="Garamond" w:eastAsia="Garamond" w:hAnsi="Garamond"/>
          <w:b/>
          <w:bCs/>
          <w:color w:val="1B2A4A"/>
          <w:sz w:val="22"/>
          <w:szCs w:val="22"/>
        </w:rPr>
        <w:t xml:space="preserve">Senate Authority over the CLT Standard</w:t>
      </w:r>
    </w:p>
    <w:p>
      <w:pPr>
        <w:spacing w:after="120" w:before="0"/>
        <w:ind w:left="863"/>
        <w:jc w:val="both"/>
      </w:pPr>
      <w:r>
        <w:rPr>
          <w:rFonts w:ascii="Garamond" w:cs="Garamond" w:eastAsia="Garamond" w:hAnsi="Garamond"/>
          <w:color w:val="2a2520"/>
          <w:sz w:val="22"/>
          <w:szCs w:val="22"/>
        </w:rPr>
        <w:t xml:space="preserve">The constitutional floor is stated directly in §5.4: the test must assess knowledge sufficient to understand the structure, powers, limits, and rights established by this Constitution. Any statute reducing the CLT below this floor is void and any citizen may challenge it in court. The Senate sets the standard by statute — raising it by simple majority, lowering it by 2/3 supermajority. That asymmetry makes degradation structurally harder than improvement without requiring anyone to certify anything. The old certification mechanism — where the CLT Administrator could block a Senate statute from taking effect — has been removed. An elected body should not be subject to veto by an appointed administrator. The floor is enforced by courts on challenge, not by an appointed officer's pre-emptive certification. The legislature may create a §3.7 statutory independent administrator to oversee CLT administration if it chooses; the constitution does not require it. Where the CLT Administrator position is vacant, the Judicial Inspectorate administers the Constitutional Logic Test on an interim basis using the most recently published test version, until a new Administrator is confirmed by the Senate.</w:t>
      </w:r>
    </w:p>
    <w:p>
      <w:pPr>
        <w:spacing w:after="60" w:before="200"/>
        <w:ind w:left="863"/>
      </w:pPr>
      <w:r>
        <w:rPr>
          <w:rFonts w:ascii="Courier New" w:cs="Courier New" w:eastAsia="Courier New" w:hAnsi="Courier New"/>
          <w:b/>
          <w:bCs/>
          <w:color w:val="1B2A4A"/>
          <w:sz w:val="18"/>
          <w:szCs w:val="18"/>
        </w:rPr>
        <w:t xml:space="preserve">§5.4.b  </w:t>
      </w:r>
      <w:r>
        <w:rPr>
          <w:rFonts w:ascii="Garamond" w:cs="Garamond" w:eastAsia="Garamond" w:hAnsi="Garamond"/>
          <w:b/>
          <w:bCs/>
          <w:color w:val="1B2A4A"/>
          <w:sz w:val="22"/>
          <w:szCs w:val="22"/>
        </w:rPr>
        <w:t xml:space="preserve">CLT Administrator</w:t>
      </w:r>
    </w:p>
    <w:p>
      <w:pPr>
        <w:spacing w:after="120" w:before="0"/>
        <w:ind w:left="863"/>
        <w:jc w:val="both"/>
      </w:pPr>
      <w:r>
        <w:rPr>
          <w:rFonts w:ascii="Garamond" w:cs="Garamond" w:eastAsia="Garamond" w:hAnsi="Garamond"/>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863"/>
      </w:pPr>
      <w:r>
        <w:rPr>
          <w:rFonts w:ascii="Courier New" w:cs="Courier New" w:eastAsia="Courier New" w:hAnsi="Courier New"/>
          <w:b/>
          <w:bCs/>
          <w:color w:val="1B2A4A"/>
          <w:sz w:val="18"/>
          <w:szCs w:val="18"/>
        </w:rPr>
        <w:t xml:space="preserve">§5.4.c  </w:t>
      </w:r>
      <w:r>
        <w:rPr>
          <w:rFonts w:ascii="Garamond" w:cs="Garamond" w:eastAsia="Garamond" w:hAnsi="Garamond"/>
          <w:b/>
          <w:bCs/>
          <w:color w:val="1B2A4A"/>
          <w:sz w:val="22"/>
          <w:szCs w:val="22"/>
        </w:rPr>
        <w:t xml:space="preserve">Status Quo Maintenance</w:t>
      </w:r>
    </w:p>
    <w:p>
      <w:pPr>
        <w:spacing w:after="120" w:before="0"/>
        <w:ind w:left="863"/>
        <w:jc w:val="both"/>
      </w:pPr>
      <w:r>
        <w:rPr>
          <w:rFonts w:ascii="Garamond" w:cs="Garamond" w:eastAsia="Garamond" w:hAnsi="Garamond"/>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863"/>
      </w:pPr>
      <w:r>
        <w:rPr>
          <w:rFonts w:ascii="Courier New" w:cs="Courier New" w:eastAsia="Courier New" w:hAnsi="Courier New"/>
          <w:b/>
          <w:bCs/>
          <w:color w:val="1B2A4A"/>
          <w:sz w:val="18"/>
          <w:szCs w:val="18"/>
        </w:rPr>
        <w:t xml:space="preserve">§5.5.a  </w:t>
      </w:r>
      <w:r>
        <w:rPr>
          <w:rFonts w:ascii="Garamond" w:cs="Garamond" w:eastAsia="Garamond" w:hAnsi="Garamond"/>
          <w:b/>
          <w:bCs/>
          <w:color w:val="1B2A4A"/>
          <w:sz w:val="22"/>
          <w:szCs w:val="22"/>
        </w:rPr>
        <w:t xml:space="preserve">Automatic Citizenship Grant</w:t>
      </w:r>
    </w:p>
    <w:p>
      <w:pPr>
        <w:spacing w:after="120" w:before="0"/>
        <w:ind w:left="863"/>
        <w:jc w:val="both"/>
      </w:pPr>
      <w:r>
        <w:rPr>
          <w:rFonts w:ascii="Garamond" w:cs="Garamond" w:eastAsia="Garamond" w:hAnsi="Garamond"/>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 — Immigration and Residency</w:t>
      </w:r>
    </w:p>
    <w:p>
      <w:pPr>
        <w:spacing w:after="120"/>
      </w:pPr>
    </w:p>
    <w:p>
      <w:pPr>
        <w:spacing w:after="60" w:before="200"/>
        <w:ind w:left="431"/>
      </w:pPr>
      <w:r>
        <w:rPr>
          <w:rFonts w:ascii="Courier New" w:cs="Courier New" w:eastAsia="Courier New" w:hAnsi="Courier New"/>
          <w:b/>
          <w:bCs/>
          <w:color w:val="1B2A4A"/>
          <w:sz w:val="18"/>
          <w:szCs w:val="18"/>
        </w:rPr>
        <w:t xml:space="preserve">§6.1  </w:t>
      </w:r>
      <w:r>
        <w:rPr>
          <w:rFonts w:ascii="Garamond" w:cs="Garamond" w:eastAsia="Garamond" w:hAnsi="Garamond"/>
          <w:b/>
          <w:bCs/>
          <w:color w:val="1B2A4A"/>
          <w:sz w:val="22"/>
          <w:szCs w:val="22"/>
        </w:rPr>
        <w:t xml:space="preserve">The Dual-Gate System</w:t>
      </w:r>
    </w:p>
    <w:p>
      <w:pPr>
        <w:spacing w:after="120" w:before="0"/>
        <w:ind w:left="431"/>
        <w:jc w:val="both"/>
      </w:pPr>
      <w:r>
        <w:rPr>
          <w:rFonts w:ascii="Garamond" w:cs="Garamond" w:eastAsia="Garamond" w:hAnsi="Garamond"/>
          <w:color w:val="2a2520"/>
          <w:sz w:val="22"/>
          <w:szCs w:val="22"/>
        </w:rPr>
        <w:t xml:space="preserve">Every immigration application must clear two sequential gates: Gate 1 (state sponsorship) and Gate 2 (federal certification). The Legislature holds supreme authority over immigration — it sets the standards for both gates and may set aggregate limits on total applications processed in any period, provided limits are applied without §1.8 discrimination. Asylum proceedings under §6.4 are explicitly exempt from the Gate 1 requirement: the right to claim and have determined a §1.27 asylum claim exists independently of the dual-gate system and no state's refusal to sponsor can extinguish it. The dual-gate design balances state acceptance — states retain discretion over who they sponsor — against a federal floor that ensures constitutional standards apply uniformly to Gate 2.</w:t>
      </w:r>
    </w:p>
    <w:p>
      <w:pPr>
        <w:spacing w:after="60" w:before="200"/>
        <w:ind w:left="863"/>
      </w:pPr>
      <w:r>
        <w:rPr>
          <w:rFonts w:ascii="Courier New" w:cs="Courier New" w:eastAsia="Courier New" w:hAnsi="Courier New"/>
          <w:b/>
          <w:bCs/>
          <w:color w:val="1B2A4A"/>
          <w:sz w:val="18"/>
          <w:szCs w:val="18"/>
        </w:rPr>
        <w:t xml:space="preserve">§6.1.a  </w:t>
      </w:r>
      <w:r>
        <w:rPr>
          <w:rFonts w:ascii="Garamond" w:cs="Garamond" w:eastAsia="Garamond" w:hAnsi="Garamond"/>
          <w:b/>
          <w:bCs/>
          <w:color w:val="1B2A4A"/>
          <w:sz w:val="22"/>
          <w:szCs w:val="22"/>
        </w:rPr>
        <w:t xml:space="preserve">Gate 1 — State Sponsorship</w:t>
      </w:r>
    </w:p>
    <w:p>
      <w:pPr>
        <w:spacing w:after="120" w:before="0"/>
        <w:ind w:left="863"/>
        <w:jc w:val="both"/>
      </w:pPr>
      <w:r>
        <w:rPr>
          <w:rFonts w:ascii="Garamond" w:cs="Garamond" w:eastAsia="Garamond" w:hAnsi="Garamond"/>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863"/>
      </w:pPr>
      <w:r>
        <w:rPr>
          <w:rFonts w:ascii="Courier New" w:cs="Courier New" w:eastAsia="Courier New" w:hAnsi="Courier New"/>
          <w:b/>
          <w:bCs/>
          <w:color w:val="1B2A4A"/>
          <w:sz w:val="18"/>
          <w:szCs w:val="18"/>
        </w:rPr>
        <w:t xml:space="preserve">§6.1.b  </w:t>
      </w:r>
      <w:r>
        <w:rPr>
          <w:rFonts w:ascii="Garamond" w:cs="Garamond" w:eastAsia="Garamond" w:hAnsi="Garamond"/>
          <w:b/>
          <w:bCs/>
          <w:color w:val="1B2A4A"/>
          <w:sz w:val="22"/>
          <w:szCs w:val="22"/>
        </w:rPr>
        <w:t xml:space="preserve">Gate 2 — Federal Certification</w:t>
      </w:r>
    </w:p>
    <w:p>
      <w:pPr>
        <w:spacing w:after="120" w:before="0"/>
        <w:ind w:left="863"/>
        <w:jc w:val="both"/>
      </w:pPr>
      <w:r>
        <w:rPr>
          <w:rFonts w:ascii="Garamond" w:cs="Garamond" w:eastAsia="Garamond" w:hAnsi="Garamond"/>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863"/>
      </w:pPr>
      <w:r>
        <w:rPr>
          <w:rFonts w:ascii="Courier New" w:cs="Courier New" w:eastAsia="Courier New" w:hAnsi="Courier New"/>
          <w:b/>
          <w:bCs/>
          <w:color w:val="1B2A4A"/>
          <w:sz w:val="18"/>
          <w:szCs w:val="18"/>
        </w:rPr>
        <w:t xml:space="preserve">§6.1.c  </w:t>
      </w:r>
      <w:r>
        <w:rPr>
          <w:rFonts w:ascii="Garamond" w:cs="Garamond" w:eastAsia="Garamond" w:hAnsi="Garamond"/>
          <w:b/>
          <w:bCs/>
          <w:color w:val="1B2A4A"/>
          <w:sz w:val="22"/>
          <w:szCs w:val="22"/>
        </w:rPr>
        <w:t xml:space="preserve">Presidential Role</w:t>
      </w:r>
    </w:p>
    <w:p>
      <w:pPr>
        <w:spacing w:after="120" w:before="0"/>
        <w:ind w:left="863"/>
        <w:jc w:val="both"/>
      </w:pPr>
      <w:r>
        <w:rPr>
          <w:rFonts w:ascii="Garamond" w:cs="Garamond" w:eastAsia="Garamond" w:hAnsi="Garamond"/>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863"/>
      </w:pPr>
      <w:r>
        <w:rPr>
          <w:rFonts w:ascii="Courier New" w:cs="Courier New" w:eastAsia="Courier New" w:hAnsi="Courier New"/>
          <w:b/>
          <w:bCs/>
          <w:color w:val="1B2A4A"/>
          <w:sz w:val="18"/>
          <w:szCs w:val="18"/>
        </w:rPr>
        <w:t xml:space="preserve">§6.1.d  </w:t>
      </w:r>
      <w:r>
        <w:rPr>
          <w:rFonts w:ascii="Garamond" w:cs="Garamond" w:eastAsia="Garamond" w:hAnsi="Garamond"/>
          <w:b/>
          <w:bCs/>
          <w:color w:val="1B2A4A"/>
          <w:sz w:val="22"/>
          <w:szCs w:val="22"/>
        </w:rPr>
        <w:t xml:space="preserve">Federal Sponsorship Category</w:t>
      </w:r>
    </w:p>
    <w:p>
      <w:pPr>
        <w:spacing w:after="120" w:before="0"/>
        <w:ind w:left="863"/>
        <w:jc w:val="both"/>
      </w:pPr>
      <w:r>
        <w:rPr>
          <w:rFonts w:ascii="Garamond" w:cs="Garamond" w:eastAsia="Garamond" w:hAnsi="Garamond"/>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pPr>
      <w:r>
        <w:rPr>
          <w:rFonts w:ascii="Courier New" w:cs="Courier New" w:eastAsia="Courier New" w:hAnsi="Courier New"/>
          <w:b/>
          <w:bCs/>
          <w:color w:val="1B2A4A"/>
          <w:sz w:val="18"/>
          <w:szCs w:val="18"/>
        </w:rPr>
        <w:t xml:space="preserve">§6.2  </w:t>
      </w:r>
      <w:r>
        <w:rPr>
          <w:rFonts w:ascii="Garamond" w:cs="Garamond" w:eastAsia="Garamond" w:hAnsi="Garamond"/>
          <w:b/>
          <w:bCs/>
          <w:color w:val="1B2A4A"/>
          <w:sz w:val="22"/>
          <w:szCs w:val="22"/>
        </w:rPr>
        <w:t xml:space="preserve">Enforcement and Removal</w:t>
      </w:r>
    </w:p>
    <w:p>
      <w:pPr>
        <w:spacing w:after="120" w:before="0"/>
        <w:ind w:left="431"/>
        <w:jc w:val="both"/>
      </w:pPr>
      <w:r>
        <w:rPr>
          <w:rFonts w:ascii="Garamond" w:cs="Garamond" w:eastAsia="Garamond" w:hAnsi="Garamond"/>
          <w:color w:val="2a2520"/>
          <w:sz w:val="22"/>
          <w:szCs w:val="22"/>
        </w:rPr>
        <w:t xml:space="preserve">Only the federal government may remove individuals from the Republic — States may not conduct deportations independently. This prevents States from developing parallel immigration enforcement regimes that could be used to target populations the State government dislikes regardless of federal law. Removal occurs only for violations of laws the Legislature has defined — executive detention without statutory basis is not removal, it is unlawful detention subject to habeas corpus. The federal monopoly on removal also ensures that immigration enforcement standards are uniform across States rather than varying by State political composition.</w:t>
      </w:r>
    </w:p>
    <w:p>
      <w:pPr>
        <w:spacing w:after="60" w:before="200"/>
        <w:ind w:left="431"/>
      </w:pPr>
      <w:r>
        <w:rPr>
          <w:rFonts w:ascii="Courier New" w:cs="Courier New" w:eastAsia="Courier New" w:hAnsi="Courier New"/>
          <w:b/>
          <w:bCs/>
          <w:color w:val="1B2A4A"/>
          <w:sz w:val="18"/>
          <w:szCs w:val="18"/>
        </w:rPr>
        <w:t xml:space="preserve">§6.3  </w:t>
      </w:r>
      <w:r>
        <w:rPr>
          <w:rFonts w:ascii="Garamond" w:cs="Garamond" w:eastAsia="Garamond" w:hAnsi="Garamond"/>
          <w:b/>
          <w:bCs/>
          <w:color w:val="1B2A4A"/>
          <w:sz w:val="22"/>
          <w:szCs w:val="22"/>
        </w:rPr>
        <w:t xml:space="preserve">Gate 2 Appeal Rights</w:t>
      </w:r>
    </w:p>
    <w:p>
      <w:pPr>
        <w:spacing w:after="120" w:before="0"/>
        <w:ind w:left="431"/>
        <w:jc w:val="both"/>
      </w:pPr>
      <w:r>
        <w:rPr>
          <w:rFonts w:ascii="Garamond" w:cs="Garamond" w:eastAsia="Garamond" w:hAnsi="Garamond"/>
          <w:color w:val="2a2520"/>
          <w:sz w:val="22"/>
          <w:szCs w:val="22"/>
        </w:rPr>
        <w:t xml:space="preserve">Gate 2 denials are judicially challengeable on three grounds: criterion outside the four certified categories; denial made on discriminatory grounds contrary to §1.8; or procedural violation affecting the outcome. Gate 1 denials — a state's decision not to sponsor — are not subject to federal review on the merits of the sponsorship decision. However, where an applicant believes a Gate 1 denial was made on §1.8 discriminatory grounds, they may bring a direct constitutional claim in any federal court, treated procedurally as a §6.3.a challenge. The court may order the state to reconsider free of discriminatory criteria; it may not compel the state to grant sponsorship. State discretion at Gate 1 is preserved; discriminatory exercise of that discretion is not.</w:t>
      </w:r>
    </w:p>
    <w:p>
      <w:pPr>
        <w:spacing w:after="60" w:before="200"/>
        <w:ind w:left="863"/>
      </w:pPr>
      <w:r>
        <w:rPr>
          <w:rFonts w:ascii="Courier New" w:cs="Courier New" w:eastAsia="Courier New" w:hAnsi="Courier New"/>
          <w:b/>
          <w:bCs/>
          <w:color w:val="1B2A4A"/>
          <w:sz w:val="18"/>
          <w:szCs w:val="18"/>
        </w:rPr>
        <w:t xml:space="preserve">§6.3.a  </w:t>
      </w:r>
      <w:r>
        <w:rPr>
          <w:rFonts w:ascii="Garamond" w:cs="Garamond" w:eastAsia="Garamond" w:hAnsi="Garamond"/>
          <w:b/>
          <w:bCs/>
          <w:color w:val="1B2A4A"/>
          <w:sz w:val="22"/>
          <w:szCs w:val="22"/>
        </w:rPr>
        <w:t xml:space="preserve">Judicial Challenge</w:t>
      </w:r>
    </w:p>
    <w:p>
      <w:pPr>
        <w:spacing w:after="120" w:before="0"/>
        <w:ind w:left="863"/>
        <w:jc w:val="both"/>
      </w:pPr>
      <w:r>
        <w:rPr>
          <w:rFonts w:ascii="Garamond" w:cs="Garamond" w:eastAsia="Garamond" w:hAnsi="Garamond"/>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863"/>
      </w:pPr>
      <w:r>
        <w:rPr>
          <w:rFonts w:ascii="Courier New" w:cs="Courier New" w:eastAsia="Courier New" w:hAnsi="Courier New"/>
          <w:b/>
          <w:bCs/>
          <w:color w:val="1B2A4A"/>
          <w:sz w:val="18"/>
          <w:szCs w:val="18"/>
        </w:rPr>
        <w:t xml:space="preserve">§6.3.b  </w:t>
      </w:r>
      <w:r>
        <w:rPr>
          <w:rFonts w:ascii="Garamond" w:cs="Garamond" w:eastAsia="Garamond" w:hAnsi="Garamond"/>
          <w:b/>
          <w:bCs/>
          <w:color w:val="1B2A4A"/>
          <w:sz w:val="22"/>
          <w:szCs w:val="22"/>
        </w:rPr>
        <w:t xml:space="preserve">National Security Denials — In-Camera Review</w:t>
      </w:r>
    </w:p>
    <w:p>
      <w:pPr>
        <w:spacing w:after="120" w:before="0"/>
        <w:ind w:left="863"/>
        <w:jc w:val="both"/>
      </w:pPr>
      <w:r>
        <w:rPr>
          <w:rFonts w:ascii="Garamond" w:cs="Garamond" w:eastAsia="Garamond" w:hAnsi="Garamond"/>
          <w:color w:val="2a2520"/>
          <w:sz w:val="22"/>
          <w:szCs w:val="22"/>
        </w:rPr>
        <w:t xml:space="preserve">Where Gate 2 is denied on national security grounds, a reviewing court may examine the classified assessment in camera and determine whether it constitutes a credible, specific, and documented concern — without publishing classified content. The in-camera review is outcome-determinative: either the security concern meets the constitutional standard and the denial stands, or it does not and recertification is ordered. This closes the "security claim as absolute veto" pathway while protecting genuine intelligence sources and methods.</w:t>
      </w:r>
    </w:p>
    <w:p>
      <w:pPr>
        <w:spacing w:after="60" w:before="200"/>
        <w:ind w:left="431"/>
      </w:pPr>
      <w:r>
        <w:rPr>
          <w:rFonts w:ascii="Courier New" w:cs="Courier New" w:eastAsia="Courier New" w:hAnsi="Courier New"/>
          <w:b/>
          <w:bCs/>
          <w:color w:val="1B2A4A"/>
          <w:sz w:val="18"/>
          <w:szCs w:val="18"/>
        </w:rPr>
        <w:t xml:space="preserve">§6.4  </w:t>
      </w:r>
      <w:r>
        <w:rPr>
          <w:rFonts w:ascii="Garamond" w:cs="Garamond" w:eastAsia="Garamond" w:hAnsi="Garamond"/>
          <w:b/>
          <w:bCs/>
          <w:color w:val="1B2A4A"/>
          <w:sz w:val="22"/>
          <w:szCs w:val="22"/>
        </w:rPr>
        <w:t xml:space="preserve">Asylum and Protection</w:t>
      </w:r>
    </w:p>
    <w:p>
      <w:pPr>
        <w:spacing w:after="120" w:before="0"/>
        <w:ind w:left="431"/>
        <w:jc w:val="both"/>
      </w:pPr>
      <w:r>
        <w:rPr>
          <w:rFonts w:ascii="Garamond" w:cs="Garamond" w:eastAsia="Garamond" w:hAnsi="Garamond"/>
          <w:color w:val="2a2520"/>
          <w:sz w:val="22"/>
          <w:szCs w:val="22"/>
        </w:rPr>
        <w:t xml:space="preserve">Asylum proceedings operate on a separate constitutional track from the dual-gate immigration system. An asylum filer under §1.27 becomes an Inhabitant at filing — not upon grant. Their claim must be determined before any removal order takes effect. The asylum track is explicitly exempt from Gate 1 state sponsorship: no state's refusal to sponsor can extinguish a §1.27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863"/>
      </w:pPr>
      <w:r>
        <w:rPr>
          <w:rFonts w:ascii="Courier New" w:cs="Courier New" w:eastAsia="Courier New" w:hAnsi="Courier New"/>
          <w:b/>
          <w:bCs/>
          <w:color w:val="1B2A4A"/>
          <w:sz w:val="18"/>
          <w:szCs w:val="18"/>
        </w:rPr>
        <w:t xml:space="preserve">§6.4.a  </w:t>
      </w:r>
      <w:r>
        <w:rPr>
          <w:rFonts w:ascii="Garamond" w:cs="Garamond" w:eastAsia="Garamond" w:hAnsi="Garamond"/>
          <w:b/>
          <w:bCs/>
          <w:color w:val="1B2A4A"/>
          <w:sz w:val="22"/>
          <w:szCs w:val="22"/>
        </w:rPr>
        <w:t xml:space="preserve">Asylum Seekers as Inhabitants</w:t>
      </w:r>
    </w:p>
    <w:p>
      <w:pPr>
        <w:spacing w:after="120" w:before="0"/>
        <w:ind w:left="863"/>
        <w:jc w:val="both"/>
      </w:pPr>
      <w:r>
        <w:rPr>
          <w:rFonts w:ascii="Garamond" w:cs="Garamond" w:eastAsia="Garamond" w:hAnsi="Garamond"/>
          <w:color w:val="2a2520"/>
          <w:sz w:val="22"/>
          <w:szCs w:val="22"/>
        </w:rPr>
        <w:t xml:space="preserve">Any person who files an asylum claim under §1.27 is an Inhabitant of the Republic from the date of filing — immediately entitled to BNF coverage and all Article I protections. Protection-first: the determination process does not happen in a rights-free zone.</w:t>
      </w:r>
    </w:p>
    <w:p>
      <w:pPr>
        <w:spacing w:after="60" w:before="200"/>
        <w:ind w:left="863"/>
      </w:pPr>
      <w:r>
        <w:rPr>
          <w:rFonts w:ascii="Courier New" w:cs="Courier New" w:eastAsia="Courier New" w:hAnsi="Courier New"/>
          <w:b/>
          <w:bCs/>
          <w:color w:val="1B2A4A"/>
          <w:sz w:val="18"/>
          <w:szCs w:val="18"/>
        </w:rPr>
        <w:t xml:space="preserve">§6.4.b  </w:t>
      </w:r>
      <w:r>
        <w:rPr>
          <w:rFonts w:ascii="Garamond" w:cs="Garamond" w:eastAsia="Garamond" w:hAnsi="Garamond"/>
          <w:b/>
          <w:bCs/>
          <w:color w:val="1B2A4A"/>
          <w:sz w:val="22"/>
          <w:szCs w:val="22"/>
        </w:rPr>
        <w:t xml:space="preserve">Right to Determination and Protection During Proceedings</w:t>
      </w:r>
    </w:p>
    <w:p>
      <w:pPr>
        <w:spacing w:after="120" w:before="0"/>
        <w:ind w:left="863"/>
        <w:jc w:val="both"/>
      </w:pPr>
      <w:r>
        <w:rPr>
          <w:rFonts w:ascii="Garamond" w:cs="Garamond" w:eastAsia="Garamond" w:hAnsi="Garamond"/>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863"/>
      </w:pPr>
      <w:r>
        <w:rPr>
          <w:rFonts w:ascii="Courier New" w:cs="Courier New" w:eastAsia="Courier New" w:hAnsi="Courier New"/>
          <w:b/>
          <w:bCs/>
          <w:color w:val="1B2A4A"/>
          <w:sz w:val="18"/>
          <w:szCs w:val="18"/>
        </w:rPr>
        <w:t xml:space="preserve">§6.4.c  </w:t>
      </w:r>
      <w:r>
        <w:rPr>
          <w:rFonts w:ascii="Garamond" w:cs="Garamond" w:eastAsia="Garamond" w:hAnsi="Garamond"/>
          <w:b/>
          <w:bCs/>
          <w:color w:val="1B2A4A"/>
          <w:sz w:val="22"/>
          <w:szCs w:val="22"/>
        </w:rPr>
        <w:t xml:space="preserve">Asylum Court</w:t>
      </w:r>
    </w:p>
    <w:p>
      <w:pPr>
        <w:spacing w:after="120" w:before="0"/>
        <w:ind w:left="863"/>
        <w:jc w:val="both"/>
      </w:pPr>
      <w:r>
        <w:rPr>
          <w:rFonts w:ascii="Garamond" w:cs="Garamond" w:eastAsia="Garamond" w:hAnsi="Garamond"/>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863"/>
      </w:pPr>
      <w:r>
        <w:rPr>
          <w:rFonts w:ascii="Courier New" w:cs="Courier New" w:eastAsia="Courier New" w:hAnsi="Courier New"/>
          <w:b/>
          <w:bCs/>
          <w:color w:val="1B2A4A"/>
          <w:sz w:val="18"/>
          <w:szCs w:val="18"/>
        </w:rPr>
        <w:t xml:space="preserve">§6.4.d  </w:t>
      </w:r>
      <w:r>
        <w:rPr>
          <w:rFonts w:ascii="Garamond" w:cs="Garamond" w:eastAsia="Garamond" w:hAnsi="Garamond"/>
          <w:b/>
          <w:bCs/>
          <w:color w:val="1B2A4A"/>
          <w:sz w:val="22"/>
          <w:szCs w:val="22"/>
        </w:rPr>
        <w:t xml:space="preserve">Non-Penalization for Irregular Entry</w:t>
      </w:r>
    </w:p>
    <w:p>
      <w:pPr>
        <w:spacing w:after="120" w:before="0"/>
        <w:ind w:left="863"/>
        <w:jc w:val="both"/>
      </w:pPr>
      <w:r>
        <w:rPr>
          <w:rFonts w:ascii="Garamond" w:cs="Garamond" w:eastAsia="Garamond" w:hAnsi="Garamond"/>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863"/>
      </w:pPr>
      <w:r>
        <w:rPr>
          <w:rFonts w:ascii="Courier New" w:cs="Courier New" w:eastAsia="Courier New" w:hAnsi="Courier New"/>
          <w:b/>
          <w:bCs/>
          <w:color w:val="1B2A4A"/>
          <w:sz w:val="18"/>
          <w:szCs w:val="18"/>
        </w:rPr>
        <w:t xml:space="preserve">§6.4.e  </w:t>
      </w:r>
      <w:r>
        <w:rPr>
          <w:rFonts w:ascii="Garamond" w:cs="Garamond" w:eastAsia="Garamond" w:hAnsi="Garamond"/>
          <w:b/>
          <w:bCs/>
          <w:color w:val="1B2A4A"/>
          <w:sz w:val="22"/>
          <w:szCs w:val="22"/>
        </w:rPr>
        <w:t xml:space="preserve">Unexecutable Removal Orders</w:t>
      </w:r>
    </w:p>
    <w:p>
      <w:pPr>
        <w:spacing w:after="120" w:before="0"/>
        <w:ind w:left="863"/>
        <w:jc w:val="both"/>
      </w:pPr>
      <w:r>
        <w:rPr>
          <w:rFonts w:ascii="Garamond" w:cs="Garamond" w:eastAsia="Garamond" w:hAnsi="Garamond"/>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§1.27. The constitution does not allow indefinite stateless detention.</w:t>
      </w:r>
    </w:p>
    <w:p>
      <w:pPr>
        <w:spacing w:after="60" w:before="200"/>
        <w:ind w:left="863"/>
      </w:pPr>
      <w:r>
        <w:rPr>
          <w:rFonts w:ascii="Courier New" w:cs="Courier New" w:eastAsia="Courier New" w:hAnsi="Courier New"/>
          <w:b/>
          <w:bCs/>
          <w:color w:val="1B2A4A"/>
          <w:sz w:val="18"/>
          <w:szCs w:val="18"/>
        </w:rPr>
        <w:t xml:space="preserve">§6.4.f  </w:t>
      </w:r>
      <w:r>
        <w:rPr>
          <w:rFonts w:ascii="Garamond" w:cs="Garamond" w:eastAsia="Garamond" w:hAnsi="Garamond"/>
          <w:b/>
          <w:bCs/>
          <w:color w:val="1B2A4A"/>
          <w:sz w:val="22"/>
          <w:szCs w:val="22"/>
        </w:rPr>
        <w:t xml:space="preserve">Security and Criminal Protection Cases</w:t>
      </w:r>
    </w:p>
    <w:p>
      <w:pPr>
        <w:spacing w:after="120" w:before="0"/>
        <w:ind w:left="863"/>
        <w:jc w:val="both"/>
      </w:pPr>
      <w:r>
        <w:rPr>
          <w:rFonts w:ascii="Garamond" w:cs="Garamond" w:eastAsia="Garamond" w:hAnsi="Garamond"/>
          <w:color w:val="2a2520"/>
          <w:sz w:val="22"/>
          <w:szCs w:val="22"/>
        </w:rPr>
        <w:t xml:space="preserve">Where the Asylum Court grants §1.27 protection to a person who poses a documented security threat, removal remains constitutionally barred — but indefinite unreviewed detention is not constitutionally available. The Legislature must establish a framework with regular judicial review. 'Indefinite unreviewed detention is not a constitutionally available outcome' — one of the clearest lines in the document. Where removal is barred under §1.27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863"/>
      </w:pPr>
      <w:r>
        <w:rPr>
          <w:rFonts w:ascii="Courier New" w:cs="Courier New" w:eastAsia="Courier New" w:hAnsi="Courier New"/>
          <w:b/>
          <w:bCs/>
          <w:color w:val="1B2A4A"/>
          <w:sz w:val="18"/>
          <w:szCs w:val="18"/>
        </w:rPr>
        <w:t xml:space="preserve">§6.4.g  </w:t>
      </w:r>
      <w:r>
        <w:rPr>
          <w:rFonts w:ascii="Garamond" w:cs="Garamond" w:eastAsia="Garamond" w:hAnsi="Garamond"/>
          <w:b/>
          <w:bCs/>
          <w:color w:val="1B2A4A"/>
          <w:sz w:val="22"/>
          <w:szCs w:val="22"/>
        </w:rPr>
        <w:t xml:space="preserve">Territory Accessibility</w:t>
      </w:r>
    </w:p>
    <w:p>
      <w:pPr>
        <w:spacing w:after="120" w:before="0"/>
        <w:ind w:left="863"/>
        <w:jc w:val="both"/>
      </w:pPr>
      <w:r>
        <w:rPr>
          <w:rFonts w:ascii="Garamond" w:cs="Garamond" w:eastAsia="Garamond" w:hAnsi="Garamond"/>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863"/>
      </w:pPr>
      <w:r>
        <w:rPr>
          <w:rFonts w:ascii="Courier New" w:cs="Courier New" w:eastAsia="Courier New" w:hAnsi="Courier New"/>
          <w:b/>
          <w:bCs/>
          <w:color w:val="1B2A4A"/>
          <w:sz w:val="18"/>
          <w:szCs w:val="18"/>
        </w:rPr>
        <w:t xml:space="preserve">§6.4.h  </w:t>
      </w:r>
      <w:r>
        <w:rPr>
          <w:rFonts w:ascii="Garamond" w:cs="Garamond" w:eastAsia="Garamond" w:hAnsi="Garamond"/>
          <w:b/>
          <w:bCs/>
          <w:color w:val="1B2A4A"/>
          <w:sz w:val="22"/>
          <w:szCs w:val="22"/>
        </w:rPr>
        <w:t xml:space="preserve">Unaccompanied Minors</w:t>
      </w:r>
    </w:p>
    <w:p>
      <w:pPr>
        <w:spacing w:after="120" w:before="0"/>
        <w:ind w:left="863"/>
        <w:jc w:val="both"/>
      </w:pPr>
      <w:r>
        <w:rPr>
          <w:rFonts w:ascii="Garamond" w:cs="Garamond" w:eastAsia="Garamond" w:hAnsi="Garamond"/>
          <w:color w:val="2a2520"/>
          <w:sz w:val="22"/>
          <w:szCs w:val="22"/>
        </w:rPr>
        <w:t xml:space="preserve">An unaccompanied minor arriving in the Republic or presenting to Republic authorities is an Inhabitant from the moment of contact and holds full §1.27 protection. A federal legal guardian must be appointed within 24 hours. No unaccompanied minor may be detained in a facility not specifically designated and resourced for children.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 — Presidential Elections</w:t>
      </w:r>
    </w:p>
    <w:p>
      <w:pPr>
        <w:spacing w:after="120"/>
      </w:pPr>
    </w:p>
    <w:p>
      <w:pPr>
        <w:spacing w:after="60" w:before="200"/>
        <w:ind w:left="431"/>
      </w:pPr>
      <w:r>
        <w:rPr>
          <w:rFonts w:ascii="Courier New" w:cs="Courier New" w:eastAsia="Courier New" w:hAnsi="Courier New"/>
          <w:b/>
          <w:bCs/>
          <w:color w:val="1B2A4A"/>
          <w:sz w:val="18"/>
          <w:szCs w:val="18"/>
        </w:rPr>
        <w:t xml:space="preserve">§7.1  </w:t>
      </w:r>
      <w:r>
        <w:rPr>
          <w:rFonts w:ascii="Garamond" w:cs="Garamond" w:eastAsia="Garamond" w:hAnsi="Garamond"/>
          <w:b/>
          <w:bCs/>
          <w:color w:val="1B2A4A"/>
          <w:sz w:val="22"/>
          <w:szCs w:val="22"/>
        </w:rPr>
        <w:t xml:space="preserve">Standard Elections — Ranked Choice</w:t>
      </w:r>
    </w:p>
    <w:p>
      <w:pPr>
        <w:spacing w:after="120" w:before="0"/>
        <w:ind w:left="431"/>
        <w:jc w:val="both"/>
      </w:pPr>
      <w:r>
        <w:rPr>
          <w:rFonts w:ascii="Garamond" w:cs="Garamond" w:eastAsia="Garamond" w:hAnsi="Garamond"/>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 This concentrates democratic attention and ensures all federal officers have genuine majority mandates.</w:t>
      </w:r>
    </w:p>
    <w:p>
      <w:pPr>
        <w:spacing w:after="60" w:before="200"/>
        <w:ind w:left="863"/>
      </w:pPr>
      <w:r>
        <w:rPr>
          <w:rFonts w:ascii="Courier New" w:cs="Courier New" w:eastAsia="Courier New" w:hAnsi="Courier New"/>
          <w:b/>
          <w:bCs/>
          <w:color w:val="1B2A4A"/>
          <w:sz w:val="18"/>
          <w:szCs w:val="18"/>
        </w:rPr>
        <w:t xml:space="preserve">§7.2.a  </w:t>
      </w:r>
      <w:r>
        <w:rPr>
          <w:rFonts w:ascii="Garamond" w:cs="Garamond" w:eastAsia="Garamond" w:hAnsi="Garamond"/>
          <w:b/>
          <w:bCs/>
          <w:color w:val="1B2A4A"/>
          <w:sz w:val="22"/>
          <w:szCs w:val="22"/>
        </w:rPr>
        <w:t xml:space="preserve">National Ranked-Choice Vote</w:t>
      </w:r>
    </w:p>
    <w:p>
      <w:pPr>
        <w:spacing w:after="120" w:before="0"/>
        <w:ind w:left="863"/>
        <w:jc w:val="both"/>
      </w:pPr>
      <w:r>
        <w:rPr>
          <w:rFonts w:ascii="Garamond" w:cs="Garamond" w:eastAsia="Garamond" w:hAnsi="Garamond"/>
          <w:color w:val="2a2520"/>
          <w:sz w:val="22"/>
          <w:szCs w:val="22"/>
        </w:rPr>
        <w:t xml:space="preserve">Presidential elections use RCV nationally, preventing the geographic distortions of district-based winner-take-all systems. Votes transfer until one candidate holds a majority of active ballots nationwide. The national RCV tends to produce presidents who are the genuine second or third choice of a larger electorate — a broader mandate than first-preference plurality. This mechanism interacts with the regional combined score (§7.2.b–c): a candidate must achieve both a national majority and broad geographic distribution, preventing a president elected entirely by densely populated regional concentrations from claiming a national mandate.</w:t>
      </w:r>
    </w:p>
    <w:p>
      <w:pPr>
        <w:spacing w:after="60" w:before="200"/>
        <w:ind w:left="863"/>
      </w:pPr>
      <w:r>
        <w:rPr>
          <w:rFonts w:ascii="Courier New" w:cs="Courier New" w:eastAsia="Courier New" w:hAnsi="Courier New"/>
          <w:b/>
          <w:bCs/>
          <w:color w:val="1B2A4A"/>
          <w:sz w:val="18"/>
          <w:szCs w:val="18"/>
        </w:rPr>
        <w:t xml:space="preserve">§7.2.b  </w:t>
      </w:r>
      <w:r>
        <w:rPr>
          <w:rFonts w:ascii="Garamond" w:cs="Garamond" w:eastAsia="Garamond" w:hAnsi="Garamond"/>
          <w:b/>
          <w:bCs/>
          <w:color w:val="1B2A4A"/>
          <w:sz w:val="22"/>
          <w:szCs w:val="22"/>
        </w:rPr>
        <w:t xml:space="preserve">The Combined Score</w:t>
      </w:r>
    </w:p>
    <w:p>
      <w:pPr>
        <w:spacing w:after="120" w:before="0"/>
        <w:ind w:left="863"/>
        <w:jc w:val="both"/>
      </w:pPr>
      <w:r>
        <w:rPr>
          <w:rFonts w:ascii="Garamond" w:cs="Garamond" w:eastAsia="Garamond" w:hAnsi="Garamond"/>
          <w:color w:val="2a2520"/>
          <w:sz w:val="22"/>
          <w:szCs w:val="22"/>
        </w:rPr>
        <w:t xml:space="preserve">Where no candidate achieves a national RCV majority, the combined score mechanism favors the candidate with the broadest geographic distribution of support. A candidate who wins large margins in a few populous regions but has near-zero support elsewhere represents a fundamentally different governing coalition than a candidate with narrower leads distributed across all regions. The combined score is the constitution's structural requirement that the President represent the full polity — not merely its most concentrated population centers. This mechanism prevents the national RCV from being won by geographic concentration alone.</w:t>
      </w:r>
    </w:p>
    <w:p>
      <w:pPr>
        <w:spacing w:after="60" w:before="200"/>
        <w:ind w:left="863"/>
      </w:pPr>
      <w:r>
        <w:rPr>
          <w:rFonts w:ascii="Courier New" w:cs="Courier New" w:eastAsia="Courier New" w:hAnsi="Courier New"/>
          <w:b/>
          <w:bCs/>
          <w:color w:val="1B2A4A"/>
          <w:sz w:val="18"/>
          <w:szCs w:val="18"/>
        </w:rPr>
        <w:t xml:space="preserve">§7.2.c  </w:t>
      </w:r>
      <w:r>
        <w:rPr>
          <w:rFonts w:ascii="Garamond" w:cs="Garamond" w:eastAsia="Garamond" w:hAnsi="Garamond"/>
          <w:b/>
          <w:bCs/>
          <w:color w:val="1B2A4A"/>
          <w:sz w:val="22"/>
          <w:szCs w:val="22"/>
        </w:rPr>
        <w:t xml:space="preserve">Presidential Election Regions</w:t>
      </w:r>
    </w:p>
    <w:p>
      <w:pPr>
        <w:spacing w:after="120" w:before="0"/>
        <w:ind w:left="863"/>
        <w:jc w:val="both"/>
      </w:pPr>
      <w:r>
        <w:rPr>
          <w:rFonts w:ascii="Garamond" w:cs="Garamond" w:eastAsia="Garamond" w:hAnsi="Garamond"/>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1296"/>
      </w:pPr>
      <w:r>
        <w:rPr>
          <w:rFonts w:ascii="Courier New" w:cs="Courier New" w:eastAsia="Courier New" w:hAnsi="Courier New"/>
          <w:b/>
          <w:bCs/>
          <w:color w:val="1B2A4A"/>
          <w:sz w:val="18"/>
          <w:szCs w:val="18"/>
        </w:rPr>
        <w:t xml:space="preserve">§7.2.c.i  </w:t>
      </w:r>
      <w:r>
        <w:rPr>
          <w:rFonts w:ascii="Garamond" w:cs="Garamond" w:eastAsia="Garamond" w:hAnsi="Garamond"/>
          <w:b/>
          <w:bCs/>
          <w:color w:val="1B2A4A"/>
          <w:sz w:val="22"/>
          <w:szCs w:val="22"/>
        </w:rPr>
        <w:t xml:space="preserve">State Candidate Pools</w:t>
      </w:r>
    </w:p>
    <w:p>
      <w:pPr>
        <w:spacing w:after="120" w:before="0"/>
        <w:ind w:left="1296"/>
        <w:jc w:val="both"/>
      </w:pPr>
      <w:r>
        <w:rPr>
          <w:rFonts w:ascii="Garamond" w:cs="Garamond" w:eastAsia="Garamond" w:hAnsi="Garamond"/>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1296"/>
      </w:pPr>
      <w:r>
        <w:rPr>
          <w:rFonts w:ascii="Courier New" w:cs="Courier New" w:eastAsia="Courier New" w:hAnsi="Courier New"/>
          <w:b/>
          <w:bCs/>
          <w:color w:val="1B2A4A"/>
          <w:sz w:val="18"/>
          <w:szCs w:val="18"/>
        </w:rPr>
        <w:t xml:space="preserve">§7.2.c.ii  </w:t>
      </w:r>
      <w:r>
        <w:rPr>
          <w:rFonts w:ascii="Garamond" w:cs="Garamond" w:eastAsia="Garamond" w:hAnsi="Garamond"/>
          <w:b/>
          <w:bCs/>
          <w:color w:val="1B2A4A"/>
          <w:sz w:val="22"/>
          <w:szCs w:val="22"/>
        </w:rPr>
        <w:t xml:space="preserve">Annual Addition Cap</w:t>
      </w:r>
    </w:p>
    <w:p>
      <w:pPr>
        <w:spacing w:after="120" w:before="0"/>
        <w:ind w:left="1296"/>
        <w:jc w:val="both"/>
      </w:pPr>
      <w:r>
        <w:rPr>
          <w:rFonts w:ascii="Garamond" w:cs="Garamond" w:eastAsia="Garamond" w:hAnsi="Garamond"/>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1296"/>
      </w:pPr>
      <w:r>
        <w:rPr>
          <w:rFonts w:ascii="Courier New" w:cs="Courier New" w:eastAsia="Courier New" w:hAnsi="Courier New"/>
          <w:b/>
          <w:bCs/>
          <w:color w:val="1B2A4A"/>
          <w:sz w:val="18"/>
          <w:szCs w:val="18"/>
        </w:rPr>
        <w:t xml:space="preserve">§7.2.c.iii  </w:t>
      </w:r>
      <w:r>
        <w:rPr>
          <w:rFonts w:ascii="Garamond" w:cs="Garamond" w:eastAsia="Garamond" w:hAnsi="Garamond"/>
          <w:b/>
          <w:bCs/>
          <w:color w:val="1B2A4A"/>
          <w:sz w:val="22"/>
          <w:szCs w:val="22"/>
        </w:rPr>
        <w:t xml:space="preserve">Pool Health Monitoring</w:t>
      </w:r>
    </w:p>
    <w:p>
      <w:pPr>
        <w:spacing w:after="120" w:before="0"/>
        <w:ind w:left="1296"/>
        <w:jc w:val="both"/>
      </w:pPr>
      <w:r>
        <w:rPr>
          <w:rFonts w:ascii="Garamond" w:cs="Garamond" w:eastAsia="Garamond" w:hAnsi="Garamond"/>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1296"/>
      </w:pPr>
      <w:r>
        <w:rPr>
          <w:rFonts w:ascii="Courier New" w:cs="Courier New" w:eastAsia="Courier New" w:hAnsi="Courier New"/>
          <w:b/>
          <w:bCs/>
          <w:color w:val="1B2A4A"/>
          <w:sz w:val="18"/>
          <w:szCs w:val="18"/>
        </w:rPr>
        <w:t xml:space="preserve">§7.2.c.iv  </w:t>
      </w:r>
      <w:r>
        <w:rPr>
          <w:rFonts w:ascii="Garamond" w:cs="Garamond" w:eastAsia="Garamond" w:hAnsi="Garamond"/>
          <w:b/>
          <w:bCs/>
          <w:color w:val="1B2A4A"/>
          <w:sz w:val="22"/>
          <w:szCs w:val="22"/>
        </w:rPr>
        <w:t xml:space="preserve">Commission Constitution</w:t>
      </w:r>
    </w:p>
    <w:p>
      <w:pPr>
        <w:spacing w:after="120" w:before="0"/>
        <w:ind w:left="1296"/>
        <w:jc w:val="both"/>
      </w:pPr>
      <w:r>
        <w:rPr>
          <w:rFonts w:ascii="Garamond" w:cs="Garamond" w:eastAsia="Garamond" w:hAnsi="Garamond"/>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1296"/>
      </w:pPr>
      <w:r>
        <w:rPr>
          <w:rFonts w:ascii="Courier New" w:cs="Courier New" w:eastAsia="Courier New" w:hAnsi="Courier New"/>
          <w:b/>
          <w:bCs/>
          <w:color w:val="1B2A4A"/>
          <w:sz w:val="18"/>
          <w:szCs w:val="18"/>
        </w:rPr>
        <w:t xml:space="preserve">§7.2.c.v  </w:t>
      </w:r>
      <w:r>
        <w:rPr>
          <w:rFonts w:ascii="Garamond" w:cs="Garamond" w:eastAsia="Garamond" w:hAnsi="Garamond"/>
          <w:b/>
          <w:bCs/>
          <w:color w:val="1B2A4A"/>
          <w:sz w:val="22"/>
          <w:szCs w:val="22"/>
        </w:rPr>
        <w:t xml:space="preserve">Commission Compensation</w:t>
      </w:r>
    </w:p>
    <w:p>
      <w:pPr>
        <w:spacing w:after="120" w:before="0"/>
        <w:ind w:left="1296"/>
        <w:jc w:val="both"/>
      </w:pPr>
      <w:r>
        <w:rPr>
          <w:rFonts w:ascii="Garamond" w:cs="Garamond" w:eastAsia="Garamond" w:hAnsi="Garamond"/>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1296"/>
      </w:pPr>
      <w:r>
        <w:rPr>
          <w:rFonts w:ascii="Courier New" w:cs="Courier New" w:eastAsia="Courier New" w:hAnsi="Courier New"/>
          <w:b/>
          <w:bCs/>
          <w:color w:val="1B2A4A"/>
          <w:sz w:val="18"/>
          <w:szCs w:val="18"/>
        </w:rPr>
        <w:t xml:space="preserve">§7.2.c.vi  </w:t>
      </w:r>
      <w:r>
        <w:rPr>
          <w:rFonts w:ascii="Garamond" w:cs="Garamond" w:eastAsia="Garamond" w:hAnsi="Garamond"/>
          <w:b/>
          <w:bCs/>
          <w:color w:val="1B2A4A"/>
          <w:sz w:val="22"/>
          <w:szCs w:val="22"/>
        </w:rPr>
        <w:t xml:space="preserve">Drawing Criteria</w:t>
      </w:r>
    </w:p>
    <w:p>
      <w:pPr>
        <w:spacing w:after="120" w:before="0"/>
        <w:ind w:left="1296"/>
        <w:jc w:val="both"/>
      </w:pPr>
      <w:r>
        <w:rPr>
          <w:rFonts w:ascii="Garamond" w:cs="Garamond" w:eastAsia="Garamond" w:hAnsi="Garamond"/>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§1.8.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1296"/>
      </w:pPr>
      <w:r>
        <w:rPr>
          <w:rFonts w:ascii="Courier New" w:cs="Courier New" w:eastAsia="Courier New" w:hAnsi="Courier New"/>
          <w:b/>
          <w:bCs/>
          <w:color w:val="1B2A4A"/>
          <w:sz w:val="18"/>
          <w:szCs w:val="18"/>
        </w:rPr>
        <w:t xml:space="preserve">§7.2.c.vii  </w:t>
      </w:r>
      <w:r>
        <w:rPr>
          <w:rFonts w:ascii="Garamond" w:cs="Garamond" w:eastAsia="Garamond" w:hAnsi="Garamond"/>
          <w:b/>
          <w:bCs/>
          <w:color w:val="1B2A4A"/>
          <w:sz w:val="22"/>
          <w:szCs w:val="22"/>
        </w:rPr>
        <w:t xml:space="preserve">Drawing Process and Timeline</w:t>
      </w:r>
    </w:p>
    <w:p>
      <w:pPr>
        <w:spacing w:after="120" w:before="0"/>
        <w:ind w:left="1296"/>
        <w:jc w:val="both"/>
      </w:pPr>
      <w:r>
        <w:rPr>
          <w:rFonts w:ascii="Garamond" w:cs="Garamond" w:eastAsia="Garamond" w:hAnsi="Garamond"/>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1296"/>
      </w:pPr>
      <w:r>
        <w:rPr>
          <w:rFonts w:ascii="Courier New" w:cs="Courier New" w:eastAsia="Courier New" w:hAnsi="Courier New"/>
          <w:b/>
          <w:bCs/>
          <w:color w:val="1B2A4A"/>
          <w:sz w:val="18"/>
          <w:szCs w:val="18"/>
        </w:rPr>
        <w:t xml:space="preserve">§7.2.c.viii  </w:t>
      </w:r>
      <w:r>
        <w:rPr>
          <w:rFonts w:ascii="Garamond" w:cs="Garamond" w:eastAsia="Garamond" w:hAnsi="Garamond"/>
          <w:b/>
          <w:bCs/>
          <w:color w:val="1B2A4A"/>
          <w:sz w:val="22"/>
          <w:szCs w:val="22"/>
        </w:rPr>
        <w:t xml:space="preserve">LI Compliance Review</w:t>
      </w:r>
    </w:p>
    <w:p>
      <w:pPr>
        <w:spacing w:after="120" w:before="0"/>
        <w:ind w:left="1296"/>
        <w:jc w:val="both"/>
      </w:pPr>
      <w:r>
        <w:rPr>
          <w:rFonts w:ascii="Garamond" w:cs="Garamond" w:eastAsia="Garamond" w:hAnsi="Garamond"/>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1296"/>
      </w:pPr>
      <w:r>
        <w:rPr>
          <w:rFonts w:ascii="Courier New" w:cs="Courier New" w:eastAsia="Courier New" w:hAnsi="Courier New"/>
          <w:b/>
          <w:bCs/>
          <w:color w:val="1B2A4A"/>
          <w:sz w:val="18"/>
          <w:szCs w:val="18"/>
        </w:rPr>
        <w:t xml:space="preserve">§7.2.c.ix  </w:t>
      </w:r>
      <w:r>
        <w:rPr>
          <w:rFonts w:ascii="Garamond" w:cs="Garamond" w:eastAsia="Garamond" w:hAnsi="Garamond"/>
          <w:b/>
          <w:bCs/>
          <w:color w:val="1B2A4A"/>
          <w:sz w:val="22"/>
          <w:szCs w:val="22"/>
        </w:rPr>
        <w:t xml:space="preserve">Judicial Review</w:t>
      </w:r>
    </w:p>
    <w:p>
      <w:pPr>
        <w:spacing w:after="120" w:before="0"/>
        <w:ind w:left="1296"/>
        <w:jc w:val="both"/>
      </w:pPr>
      <w:r>
        <w:rPr>
          <w:rFonts w:ascii="Garamond" w:cs="Garamond" w:eastAsia="Garamond" w:hAnsi="Garamond"/>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1296"/>
      </w:pPr>
      <w:r>
        <w:rPr>
          <w:rFonts w:ascii="Courier New" w:cs="Courier New" w:eastAsia="Courier New" w:hAnsi="Courier New"/>
          <w:b/>
          <w:bCs/>
          <w:color w:val="1B2A4A"/>
          <w:sz w:val="18"/>
          <w:szCs w:val="18"/>
        </w:rPr>
        <w:t xml:space="preserve">§7.2.c.x  </w:t>
      </w:r>
      <w:r>
        <w:rPr>
          <w:rFonts w:ascii="Garamond" w:cs="Garamond" w:eastAsia="Garamond" w:hAnsi="Garamond"/>
          <w:b/>
          <w:bCs/>
          <w:color w:val="1B2A4A"/>
          <w:sz w:val="22"/>
          <w:szCs w:val="22"/>
        </w:rPr>
        <w:t xml:space="preserve">Cycle and Timing</w:t>
      </w:r>
    </w:p>
    <w:p>
      <w:pPr>
        <w:spacing w:after="120" w:before="0"/>
        <w:ind w:left="1296"/>
        <w:jc w:val="both"/>
      </w:pPr>
      <w:r>
        <w:rPr>
          <w:rFonts w:ascii="Garamond" w:cs="Garamond" w:eastAsia="Garamond" w:hAnsi="Garamond"/>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863"/>
      </w:pPr>
      <w:r>
        <w:rPr>
          <w:rFonts w:ascii="Courier New" w:cs="Courier New" w:eastAsia="Courier New" w:hAnsi="Courier New"/>
          <w:b/>
          <w:bCs/>
          <w:color w:val="1B2A4A"/>
          <w:sz w:val="18"/>
          <w:szCs w:val="18"/>
        </w:rPr>
        <w:t xml:space="preserve">§7.2.d  </w:t>
      </w:r>
      <w:r>
        <w:rPr>
          <w:rFonts w:ascii="Garamond" w:cs="Garamond" w:eastAsia="Garamond" w:hAnsi="Garamond"/>
          <w:b/>
          <w:bCs/>
          <w:color w:val="1B2A4A"/>
          <w:sz w:val="22"/>
          <w:szCs w:val="22"/>
        </w:rPr>
        <w:t xml:space="preserve">Territory Presidential Voting</w:t>
      </w:r>
    </w:p>
    <w:p>
      <w:pPr>
        <w:spacing w:after="120" w:before="0"/>
        <w:ind w:left="863"/>
        <w:jc w:val="both"/>
      </w:pPr>
      <w:r>
        <w:rPr>
          <w:rFonts w:ascii="Garamond" w:cs="Garamond" w:eastAsia="Garamond" w:hAnsi="Garamond"/>
          <w:color w:val="2a2520"/>
          <w:sz w:val="22"/>
          <w:szCs w:val="22"/>
        </w:rPr>
        <w:t xml:space="preserve">Territory citizens hold the full §1.19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863"/>
      </w:pPr>
      <w:r>
        <w:rPr>
          <w:rFonts w:ascii="Courier New" w:cs="Courier New" w:eastAsia="Courier New" w:hAnsi="Courier New"/>
          <w:b/>
          <w:bCs/>
          <w:color w:val="1B2A4A"/>
          <w:sz w:val="18"/>
          <w:szCs w:val="18"/>
        </w:rPr>
        <w:t xml:space="preserve">§7.2.e  </w:t>
      </w:r>
      <w:r>
        <w:rPr>
          <w:rFonts w:ascii="Garamond" w:cs="Garamond" w:eastAsia="Garamond" w:hAnsi="Garamond"/>
          <w:b/>
          <w:bCs/>
          <w:color w:val="1B2A4A"/>
          <w:sz w:val="22"/>
          <w:szCs w:val="22"/>
        </w:rPr>
        <w:t xml:space="preserve">Election Certification</w:t>
      </w:r>
    </w:p>
    <w:p>
      <w:pPr>
        <w:spacing w:after="120" w:before="0"/>
        <w:ind w:left="863"/>
        <w:jc w:val="both"/>
      </w:pPr>
      <w:r>
        <w:rPr>
          <w:rFonts w:ascii="Garamond" w:cs="Garamond" w:eastAsia="Garamond" w:hAnsi="Garamond"/>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863"/>
      </w:pPr>
      <w:r>
        <w:rPr>
          <w:rFonts w:ascii="Courier New" w:cs="Courier New" w:eastAsia="Courier New" w:hAnsi="Courier New"/>
          <w:b/>
          <w:bCs/>
          <w:color w:val="1B2A4A"/>
          <w:sz w:val="18"/>
          <w:szCs w:val="18"/>
        </w:rPr>
        <w:t xml:space="preserve">§7.2.f  </w:t>
      </w:r>
      <w:r>
        <w:rPr>
          <w:rFonts w:ascii="Garamond" w:cs="Garamond" w:eastAsia="Garamond" w:hAnsi="Garamond"/>
          <w:b/>
          <w:bCs/>
          <w:color w:val="1B2A4A"/>
          <w:sz w:val="22"/>
          <w:szCs w:val="22"/>
        </w:rPr>
        <w:t xml:space="preserve">Run-off</w:t>
      </w:r>
    </w:p>
    <w:p>
      <w:pPr>
        <w:spacing w:after="120" w:before="0"/>
        <w:ind w:left="863"/>
        <w:jc w:val="both"/>
      </w:pPr>
      <w:r>
        <w:rPr>
          <w:rFonts w:ascii="Garamond" w:cs="Garamond" w:eastAsia="Garamond" w:hAnsi="Garamond"/>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863"/>
      </w:pPr>
      <w:r>
        <w:rPr>
          <w:rFonts w:ascii="Courier New" w:cs="Courier New" w:eastAsia="Courier New" w:hAnsi="Courier New"/>
          <w:b/>
          <w:bCs/>
          <w:color w:val="1B2A4A"/>
          <w:sz w:val="18"/>
          <w:szCs w:val="18"/>
        </w:rPr>
        <w:t xml:space="preserve">§7.3.a  </w:t>
      </w:r>
      <w:r>
        <w:rPr>
          <w:rFonts w:ascii="Garamond" w:cs="Garamond" w:eastAsia="Garamond" w:hAnsi="Garamond"/>
          <w:b/>
          <w:bCs/>
          <w:color w:val="1B2A4A"/>
          <w:sz w:val="22"/>
          <w:szCs w:val="22"/>
        </w:rPr>
        <w:t xml:space="preserve">No Executive Interference</w:t>
      </w:r>
    </w:p>
    <w:p>
      <w:pPr>
        <w:spacing w:after="120" w:before="0"/>
        <w:ind w:left="863"/>
        <w:jc w:val="both"/>
      </w:pPr>
      <w:r>
        <w:rPr>
          <w:rFonts w:ascii="Garamond" w:cs="Garamond" w:eastAsia="Garamond" w:hAnsi="Garamond"/>
          <w:color w:val="2a2520"/>
          <w:sz w:val="22"/>
          <w:szCs w:val="22"/>
        </w:rPr>
        <w:t xml:space="preserve">The President may not declare, postpone, or influence the scheduling of elections — including declaring emergencies that have the effect of postponing them. §1.25.e's prohibition on emergency-based election postponement backs this up: even a genuine emergency cannot defer a scheduled election.</w:t>
      </w:r>
    </w:p>
    <w:p>
      <w:pPr>
        <w:spacing w:after="60" w:before="200"/>
        <w:ind w:left="863"/>
      </w:pPr>
      <w:r>
        <w:rPr>
          <w:rFonts w:ascii="Courier New" w:cs="Courier New" w:eastAsia="Courier New" w:hAnsi="Courier New"/>
          <w:b/>
          <w:bCs/>
          <w:color w:val="1B2A4A"/>
          <w:sz w:val="18"/>
          <w:szCs w:val="18"/>
        </w:rPr>
        <w:t xml:space="preserve">§7.3.b  </w:t>
      </w:r>
      <w:r>
        <w:rPr>
          <w:rFonts w:ascii="Garamond" w:cs="Garamond" w:eastAsia="Garamond" w:hAnsi="Garamond"/>
          <w:b/>
          <w:bCs/>
          <w:color w:val="1B2A4A"/>
          <w:sz w:val="22"/>
          <w:szCs w:val="22"/>
        </w:rPr>
        <w:t xml:space="preserve">National Voting System</w:t>
      </w:r>
    </w:p>
    <w:p>
      <w:pPr>
        <w:spacing w:after="120" w:before="0"/>
        <w:ind w:left="863"/>
        <w:jc w:val="both"/>
      </w:pPr>
      <w:r>
        <w:rPr>
          <w:rFonts w:ascii="Garamond" w:cs="Garamond" w:eastAsia="Garamond" w:hAnsi="Garamond"/>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863"/>
      </w:pPr>
      <w:r>
        <w:rPr>
          <w:rFonts w:ascii="Courier New" w:cs="Courier New" w:eastAsia="Courier New" w:hAnsi="Courier New"/>
          <w:b/>
          <w:bCs/>
          <w:color w:val="1B2A4A"/>
          <w:sz w:val="18"/>
          <w:szCs w:val="18"/>
        </w:rPr>
        <w:t xml:space="preserve">§7.3.c  </w:t>
      </w:r>
      <w:r>
        <w:rPr>
          <w:rFonts w:ascii="Garamond" w:cs="Garamond" w:eastAsia="Garamond" w:hAnsi="Garamond"/>
          <w:b/>
          <w:bCs/>
          <w:color w:val="1B2A4A"/>
          <w:sz w:val="22"/>
          <w:szCs w:val="22"/>
        </w:rPr>
        <w:t xml:space="preserve">Participation Protection</w:t>
      </w:r>
    </w:p>
    <w:p>
      <w:pPr>
        <w:spacing w:after="120" w:before="0"/>
        <w:ind w:left="863"/>
        <w:jc w:val="both"/>
      </w:pPr>
      <w:r>
        <w:rPr>
          <w:rFonts w:ascii="Garamond" w:cs="Garamond" w:eastAsia="Garamond" w:hAnsi="Garamond"/>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VIII — The Inspectorates</w:t>
      </w:r>
    </w:p>
    <w:p>
      <w:pPr>
        <w:spacing w:after="120"/>
      </w:pPr>
    </w:p>
    <w:p>
      <w:pPr>
        <w:spacing w:after="60" w:before="200"/>
        <w:ind w:left="431"/>
      </w:pPr>
      <w:r>
        <w:rPr>
          <w:rFonts w:ascii="Courier New" w:cs="Courier New" w:eastAsia="Courier New" w:hAnsi="Courier New"/>
          <w:b/>
          <w:bCs/>
          <w:color w:val="1B2A4A"/>
          <w:sz w:val="18"/>
          <w:szCs w:val="18"/>
        </w:rPr>
        <w:t xml:space="preserve">§8.1  </w:t>
      </w:r>
      <w:r>
        <w:rPr>
          <w:rFonts w:ascii="Garamond" w:cs="Garamond" w:eastAsia="Garamond" w:hAnsi="Garamond"/>
          <w:b/>
          <w:bCs/>
          <w:color w:val="1B2A4A"/>
          <w:sz w:val="22"/>
          <w:szCs w:val="22"/>
        </w:rPr>
        <w:t xml:space="preserve">Three Inspectorates</w:t>
      </w:r>
    </w:p>
    <w:p>
      <w:pPr>
        <w:spacing w:after="120" w:before="0"/>
        <w:ind w:left="431"/>
        <w:jc w:val="both"/>
      </w:pPr>
      <w:r>
        <w:rPr>
          <w:rFonts w:ascii="Garamond" w:cs="Garamond" w:eastAsia="Garamond" w:hAnsi="Garamond"/>
          <w:color w:val="2a2520"/>
          <w:sz w:val="22"/>
          <w:szCs w:val="22"/>
        </w:rPr>
        <w:t xml:space="preserve">The Three Inspectorates — one for each branch, each selected by the branches it does not watch. Constitutional independence, information-only mandate (§8.6), 10-year non-renewable terms, funding floors. No government majority can defund, direct, or suppress them without a 2/3 supermajority.</w:t>
      </w:r>
    </w:p>
    <w:p>
      <w:pPr>
        <w:spacing w:after="60" w:before="200"/>
        <w:ind w:left="863"/>
      </w:pPr>
      <w:r>
        <w:rPr>
          <w:rFonts w:ascii="Courier New" w:cs="Courier New" w:eastAsia="Courier New" w:hAnsi="Courier New"/>
          <w:b/>
          <w:bCs/>
          <w:color w:val="1B2A4A"/>
          <w:sz w:val="18"/>
          <w:szCs w:val="18"/>
        </w:rPr>
        <w:t xml:space="preserve">§8.1.a  </w:t>
      </w:r>
      <w:r>
        <w:rPr>
          <w:rFonts w:ascii="Garamond" w:cs="Garamond" w:eastAsia="Garamond" w:hAnsi="Garamond"/>
          <w:b/>
          <w:bCs/>
          <w:color w:val="1B2A4A"/>
          <w:sz w:val="22"/>
          <w:szCs w:val="22"/>
        </w:rPr>
        <w:t xml:space="preserve">The Legislative Inspectorate (LI)</w:t>
      </w:r>
    </w:p>
    <w:p>
      <w:pPr>
        <w:spacing w:after="120" w:before="0"/>
        <w:ind w:left="863"/>
        <w:jc w:val="both"/>
      </w:pPr>
      <w:r>
        <w:rPr>
          <w:rFonts w:ascii="Garamond" w:cs="Garamond" w:eastAsia="Garamond" w:hAnsi="Garamond"/>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w:t>
      </w:r>
    </w:p>
    <w:p>
      <w:pPr>
        <w:spacing w:after="60" w:before="200"/>
        <w:ind w:left="863"/>
      </w:pPr>
      <w:r>
        <w:rPr>
          <w:rFonts w:ascii="Courier New" w:cs="Courier New" w:eastAsia="Courier New" w:hAnsi="Courier New"/>
          <w:b/>
          <w:bCs/>
          <w:color w:val="1B2A4A"/>
          <w:sz w:val="18"/>
          <w:szCs w:val="18"/>
        </w:rPr>
        <w:t xml:space="preserve">§8.1.b  </w:t>
      </w:r>
      <w:r>
        <w:rPr>
          <w:rFonts w:ascii="Garamond" w:cs="Garamond" w:eastAsia="Garamond" w:hAnsi="Garamond"/>
          <w:b/>
          <w:bCs/>
          <w:color w:val="1B2A4A"/>
          <w:sz w:val="22"/>
          <w:szCs w:val="22"/>
        </w:rPr>
        <w:t xml:space="preserve">The Executive Inspectorate (EI)</w:t>
      </w:r>
    </w:p>
    <w:p>
      <w:pPr>
        <w:spacing w:after="120" w:before="0"/>
        <w:ind w:left="863"/>
        <w:jc w:val="both"/>
      </w:pPr>
      <w:r>
        <w:rPr>
          <w:rFonts w:ascii="Garamond" w:cs="Garamond" w:eastAsia="Garamond" w:hAnsi="Garamond"/>
          <w:color w:val="2a2520"/>
          <w:sz w:val="22"/>
          <w:szCs w:val="22"/>
        </w:rPr>
        <w:t xml:space="preserve">EI Mandate — audits both executives and the Monetary Authority. Annual military compliance assessment: were Tier authorizations followed? Was §1.29.d Intelligence Firewall maintained? Were fund certifications observed? Publishes clemency background reports before any executive act. Reviews disclosure records for constitutional appointments.</w:t>
      </w:r>
    </w:p>
    <w:p>
      <w:pPr>
        <w:spacing w:after="60" w:before="200"/>
        <w:ind w:left="863"/>
      </w:pPr>
      <w:r>
        <w:rPr>
          <w:rFonts w:ascii="Courier New" w:cs="Courier New" w:eastAsia="Courier New" w:hAnsi="Courier New"/>
          <w:b/>
          <w:bCs/>
          <w:color w:val="1B2A4A"/>
          <w:sz w:val="18"/>
          <w:szCs w:val="18"/>
        </w:rPr>
        <w:t xml:space="preserve">§8.1.c  </w:t>
      </w:r>
      <w:r>
        <w:rPr>
          <w:rFonts w:ascii="Garamond" w:cs="Garamond" w:eastAsia="Garamond" w:hAnsi="Garamond"/>
          <w:b/>
          <w:bCs/>
          <w:color w:val="1B2A4A"/>
          <w:sz w:val="22"/>
          <w:szCs w:val="22"/>
        </w:rPr>
        <w:t xml:space="preserve">The Judicial Inspectorate (JI)</w:t>
      </w:r>
    </w:p>
    <w:p>
      <w:pPr>
        <w:spacing w:after="120" w:before="0"/>
        <w:ind w:left="863"/>
        <w:jc w:val="both"/>
      </w:pPr>
      <w:r>
        <w:rPr>
          <w:rFonts w:ascii="Garamond" w:cs="Garamond" w:eastAsia="Garamond" w:hAnsi="Garamond"/>
          <w:color w:val="2a2520"/>
          <w:sz w:val="22"/>
          <w:szCs w:val="22"/>
        </w:rPr>
        <w:t xml:space="preserve">JI Mandate — audits the courts for judicial scope and independence. Maintains the SC Candidate Registry. Vets judicial nominees and Electoral Commission candidates. Screens citizen referendum petitions for eligibility. Audits the Electoral Commission annually. Reviews accommodation compact compliance under §19.1, Associated Community compact compliance under Article XX, and Article XIV indigenous compact obligations.</w:t>
      </w:r>
    </w:p>
    <w:p>
      <w:pPr>
        <w:spacing w:after="60" w:before="200"/>
        <w:ind w:left="431"/>
      </w:pPr>
      <w:r>
        <w:rPr>
          <w:rFonts w:ascii="Courier New" w:cs="Courier New" w:eastAsia="Courier New" w:hAnsi="Courier New"/>
          <w:b/>
          <w:bCs/>
          <w:color w:val="1B2A4A"/>
          <w:sz w:val="18"/>
          <w:szCs w:val="18"/>
        </w:rPr>
        <w:t xml:space="preserve">§8.2  </w:t>
      </w:r>
      <w:r>
        <w:rPr>
          <w:rFonts w:ascii="Garamond" w:cs="Garamond" w:eastAsia="Garamond" w:hAnsi="Garamond"/>
          <w:b/>
          <w:bCs/>
          <w:color w:val="1B2A4A"/>
          <w:sz w:val="22"/>
          <w:szCs w:val="22"/>
        </w:rPr>
        <w:t xml:space="preserve">Selection and Independence</w:t>
      </w:r>
    </w:p>
    <w:p>
      <w:pPr>
        <w:spacing w:after="120" w:before="0"/>
        <w:ind w:left="431"/>
        <w:jc w:val="both"/>
      </w:pPr>
      <w:r>
        <w:rPr>
          <w:rFonts w:ascii="Garamond" w:cs="Garamond" w:eastAsia="Garamond" w:hAnsi="Garamond"/>
          <w:color w:val="2a2520"/>
          <w:sz w:val="22"/>
          <w:szCs w:val="22"/>
        </w:rPr>
        <w:t xml:space="preserve">Selection and Independence — the cross-nomination model. SC nominates the LI IG (confirmed by Senate 2/3; House entirely excluded). House nominates the EI IG (confirmed by Senate simple majority; JI vets). JI IG selected by public lottery (no political body nominates anyone). Each Inspectorate is structured so that the body it watches had no role in selecting it.</w:t>
      </w:r>
    </w:p>
    <w:p>
      <w:pPr>
        <w:spacing w:after="60" w:before="200"/>
        <w:ind w:left="863"/>
      </w:pPr>
      <w:r>
        <w:rPr>
          <w:rFonts w:ascii="Courier New" w:cs="Courier New" w:eastAsia="Courier New" w:hAnsi="Courier New"/>
          <w:b/>
          <w:bCs/>
          <w:color w:val="1B2A4A"/>
          <w:sz w:val="18"/>
          <w:szCs w:val="18"/>
        </w:rPr>
        <w:t xml:space="preserve">§8.3.a  </w:t>
      </w:r>
      <w:r>
        <w:rPr>
          <w:rFonts w:ascii="Garamond" w:cs="Garamond" w:eastAsia="Garamond" w:hAnsi="Garamond"/>
          <w:b/>
          <w:bCs/>
          <w:color w:val="1B2A4A"/>
          <w:sz w:val="22"/>
          <w:szCs w:val="22"/>
        </w:rPr>
        <w:t xml:space="preserve">Legislative IG</w:t>
      </w:r>
    </w:p>
    <w:p>
      <w:pPr>
        <w:spacing w:after="120" w:before="0"/>
        <w:ind w:left="863"/>
        <w:jc w:val="both"/>
      </w:pPr>
      <w:r>
        <w:rPr>
          <w:rFonts w:ascii="Garamond" w:cs="Garamond" w:eastAsia="Garamond" w:hAnsi="Garamond"/>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863"/>
      </w:pPr>
      <w:r>
        <w:rPr>
          <w:rFonts w:ascii="Courier New" w:cs="Courier New" w:eastAsia="Courier New" w:hAnsi="Courier New"/>
          <w:b/>
          <w:bCs/>
          <w:color w:val="1B2A4A"/>
          <w:sz w:val="18"/>
          <w:szCs w:val="18"/>
        </w:rPr>
        <w:t xml:space="preserve">§8.3.b  </w:t>
      </w:r>
      <w:r>
        <w:rPr>
          <w:rFonts w:ascii="Garamond" w:cs="Garamond" w:eastAsia="Garamond" w:hAnsi="Garamond"/>
          <w:b/>
          <w:bCs/>
          <w:color w:val="1B2A4A"/>
          <w:sz w:val="22"/>
          <w:szCs w:val="22"/>
        </w:rPr>
        <w:t xml:space="preserve">Executive IG</w:t>
      </w:r>
    </w:p>
    <w:p>
      <w:pPr>
        <w:spacing w:after="120" w:before="0"/>
        <w:ind w:left="863"/>
        <w:jc w:val="both"/>
      </w:pPr>
      <w:r>
        <w:rPr>
          <w:rFonts w:ascii="Garamond" w:cs="Garamond" w:eastAsia="Garamond" w:hAnsi="Garamond"/>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863"/>
      </w:pPr>
      <w:r>
        <w:rPr>
          <w:rFonts w:ascii="Courier New" w:cs="Courier New" w:eastAsia="Courier New" w:hAnsi="Courier New"/>
          <w:b/>
          <w:bCs/>
          <w:color w:val="1B2A4A"/>
          <w:sz w:val="18"/>
          <w:szCs w:val="18"/>
        </w:rPr>
        <w:t xml:space="preserve">§8.3.c  </w:t>
      </w:r>
      <w:r>
        <w:rPr>
          <w:rFonts w:ascii="Garamond" w:cs="Garamond" w:eastAsia="Garamond" w:hAnsi="Garamond"/>
          <w:b/>
          <w:bCs/>
          <w:color w:val="1B2A4A"/>
          <w:sz w:val="22"/>
          <w:szCs w:val="22"/>
        </w:rPr>
        <w:t xml:space="preserve">Term and Staggering</w:t>
      </w:r>
    </w:p>
    <w:p>
      <w:pPr>
        <w:spacing w:after="120" w:before="0"/>
        <w:ind w:left="863"/>
        <w:jc w:val="both"/>
      </w:pPr>
      <w:r>
        <w:rPr>
          <w:rFonts w:ascii="Garamond" w:cs="Garamond" w:eastAsia="Garamond" w:hAnsi="Garamond"/>
          <w:color w:val="2a2520"/>
          <w:sz w:val="22"/>
          <w:szCs w:val="22"/>
        </w:rPr>
        <w:t xml:space="preserve">Term and Staggering — 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863"/>
      </w:pPr>
      <w:r>
        <w:rPr>
          <w:rFonts w:ascii="Courier New" w:cs="Courier New" w:eastAsia="Courier New" w:hAnsi="Courier New"/>
          <w:b/>
          <w:bCs/>
          <w:color w:val="1B2A4A"/>
          <w:sz w:val="18"/>
          <w:szCs w:val="18"/>
        </w:rPr>
        <w:t xml:space="preserve">§8.4.a  </w:t>
      </w:r>
      <w:r>
        <w:rPr>
          <w:rFonts w:ascii="Garamond" w:cs="Garamond" w:eastAsia="Garamond" w:hAnsi="Garamond"/>
          <w:b/>
          <w:bCs/>
          <w:color w:val="1B2A4A"/>
          <w:sz w:val="22"/>
          <w:szCs w:val="22"/>
        </w:rPr>
        <w:t xml:space="preserve">Judicial IG Candidate Pool</w:t>
      </w:r>
    </w:p>
    <w:p>
      <w:pPr>
        <w:spacing w:after="120" w:before="0"/>
        <w:ind w:left="863"/>
        <w:jc w:val="both"/>
      </w:pPr>
      <w:r>
        <w:rPr>
          <w:rFonts w:ascii="Garamond" w:cs="Garamond" w:eastAsia="Garamond" w:hAnsi="Garamond"/>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ind w:left="863"/>
      </w:pPr>
      <w:r>
        <w:rPr>
          <w:rFonts w:ascii="Courier New" w:cs="Courier New" w:eastAsia="Courier New" w:hAnsi="Courier New"/>
          <w:b/>
          <w:bCs/>
          <w:color w:val="1B2A4A"/>
          <w:sz w:val="18"/>
          <w:szCs w:val="18"/>
        </w:rPr>
        <w:t xml:space="preserve">§8.4.b  </w:t>
      </w:r>
      <w:r>
        <w:rPr>
          <w:rFonts w:ascii="Garamond" w:cs="Garamond" w:eastAsia="Garamond" w:hAnsi="Garamond"/>
          <w:b/>
          <w:bCs/>
          <w:color w:val="1B2A4A"/>
          <w:sz w:val="22"/>
          <w:szCs w:val="22"/>
        </w:rPr>
        <w:t xml:space="preserve">JI Compact Compliance Audit</w:t>
      </w:r>
    </w:p>
    <w:p>
      <w:pPr>
        <w:spacing w:after="120" w:before="0"/>
        <w:ind w:left="863"/>
        <w:jc w:val="both"/>
      </w:pPr>
      <w:r>
        <w:rPr>
          <w:rFonts w:ascii="Garamond" w:cs="Garamond" w:eastAsia="Garamond" w:hAnsi="Garamond"/>
          <w:color w:val="2a2520"/>
          <w:sz w:val="22"/>
          <w:szCs w:val="22"/>
        </w:rPr>
        <w:t xml:space="preserve">JI Compact Compliance — 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863"/>
      </w:pPr>
      <w:r>
        <w:rPr>
          <w:rFonts w:ascii="Courier New" w:cs="Courier New" w:eastAsia="Courier New" w:hAnsi="Courier New"/>
          <w:b/>
          <w:bCs/>
          <w:color w:val="1B2A4A"/>
          <w:sz w:val="18"/>
          <w:szCs w:val="18"/>
        </w:rPr>
        <w:t xml:space="preserve">§8.4.c  </w:t>
      </w:r>
      <w:r>
        <w:rPr>
          <w:rFonts w:ascii="Garamond" w:cs="Garamond" w:eastAsia="Garamond" w:hAnsi="Garamond"/>
          <w:b/>
          <w:bCs/>
          <w:color w:val="1B2A4A"/>
          <w:sz w:val="22"/>
          <w:szCs w:val="22"/>
        </w:rPr>
        <w:t xml:space="preserve">JI Court Operations Audit</w:t>
      </w:r>
    </w:p>
    <w:p>
      <w:pPr>
        <w:spacing w:after="120" w:before="0"/>
        <w:ind w:left="863"/>
        <w:jc w:val="both"/>
      </w:pPr>
      <w:r>
        <w:rPr>
          <w:rFonts w:ascii="Garamond" w:cs="Garamond" w:eastAsia="Garamond" w:hAnsi="Garamond"/>
          <w:color w:val="2a2520"/>
          <w:sz w:val="22"/>
          <w:szCs w:val="22"/>
        </w:rPr>
        <w:t xml:space="preserve">JI Court Operations Audit — 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863"/>
      </w:pPr>
      <w:r>
        <w:rPr>
          <w:rFonts w:ascii="Courier New" w:cs="Courier New" w:eastAsia="Courier New" w:hAnsi="Courier New"/>
          <w:b/>
          <w:bCs/>
          <w:color w:val="1B2A4A"/>
          <w:sz w:val="18"/>
          <w:szCs w:val="18"/>
        </w:rPr>
        <w:t xml:space="preserve">§8.4.d  </w:t>
      </w:r>
      <w:r>
        <w:rPr>
          <w:rFonts w:ascii="Garamond" w:cs="Garamond" w:eastAsia="Garamond" w:hAnsi="Garamond"/>
          <w:b/>
          <w:bCs/>
          <w:color w:val="1B2A4A"/>
          <w:sz w:val="22"/>
          <w:szCs w:val="22"/>
        </w:rPr>
        <w:t xml:space="preserve">JI Electoral Commission Audit</w:t>
      </w:r>
    </w:p>
    <w:p>
      <w:pPr>
        <w:spacing w:after="120" w:before="0"/>
        <w:ind w:left="863"/>
        <w:jc w:val="both"/>
      </w:pPr>
      <w:r>
        <w:rPr>
          <w:rFonts w:ascii="Garamond" w:cs="Garamond" w:eastAsia="Garamond" w:hAnsi="Garamond"/>
          <w:color w:val="2a2520"/>
          <w:sz w:val="22"/>
          <w:szCs w:val="22"/>
        </w:rPr>
        <w:t xml:space="preserve">JI Electoral Commission Audit — 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863"/>
      </w:pPr>
      <w:r>
        <w:rPr>
          <w:rFonts w:ascii="Courier New" w:cs="Courier New" w:eastAsia="Courier New" w:hAnsi="Courier New"/>
          <w:b/>
          <w:bCs/>
          <w:color w:val="1B2A4A"/>
          <w:sz w:val="18"/>
          <w:szCs w:val="18"/>
        </w:rPr>
        <w:t xml:space="preserve">§8.4.e  </w:t>
      </w:r>
      <w:r>
        <w:rPr>
          <w:rFonts w:ascii="Garamond" w:cs="Garamond" w:eastAsia="Garamond" w:hAnsi="Garamond"/>
          <w:b/>
          <w:bCs/>
          <w:color w:val="1B2A4A"/>
          <w:sz w:val="22"/>
          <w:szCs w:val="22"/>
        </w:rPr>
        <w:t xml:space="preserve">Supreme Court Candidate Registry</w:t>
      </w:r>
    </w:p>
    <w:p>
      <w:pPr>
        <w:spacing w:after="120" w:before="0"/>
        <w:ind w:left="863"/>
        <w:jc w:val="both"/>
      </w:pPr>
      <w:r>
        <w:rPr>
          <w:rFonts w:ascii="Garamond" w:cs="Garamond" w:eastAsia="Garamond" w:hAnsi="Garamond"/>
          <w:color w:val="2a2520"/>
          <w:sz w:val="22"/>
          <w:szCs w:val="22"/>
        </w:rPr>
        <w:t xml:space="preserve">SC Candidate Registry — 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863"/>
      </w:pPr>
      <w:r>
        <w:rPr>
          <w:rFonts w:ascii="Courier New" w:cs="Courier New" w:eastAsia="Courier New" w:hAnsi="Courier New"/>
          <w:b/>
          <w:bCs/>
          <w:color w:val="1B2A4A"/>
          <w:sz w:val="18"/>
          <w:szCs w:val="18"/>
        </w:rPr>
        <w:t xml:space="preserve">§8.4.f  </w:t>
      </w:r>
      <w:r>
        <w:rPr>
          <w:rFonts w:ascii="Garamond" w:cs="Garamond" w:eastAsia="Garamond" w:hAnsi="Garamond"/>
          <w:b/>
          <w:bCs/>
          <w:color w:val="1B2A4A"/>
          <w:sz w:val="22"/>
          <w:szCs w:val="22"/>
        </w:rPr>
        <w:t xml:space="preserve">JI Judicial Independence Audit</w:t>
      </w:r>
    </w:p>
    <w:p>
      <w:pPr>
        <w:spacing w:after="120" w:before="0"/>
        <w:ind w:left="863"/>
        <w:jc w:val="both"/>
      </w:pPr>
      <w:r>
        <w:rPr>
          <w:rFonts w:ascii="Garamond" w:cs="Garamond" w:eastAsia="Garamond" w:hAnsi="Garamond"/>
          <w:color w:val="2a2520"/>
          <w:sz w:val="22"/>
          <w:szCs w:val="22"/>
        </w:rPr>
        <w:t xml:space="preserve">JI Judicial Independence Audit — 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863"/>
      </w:pPr>
      <w:r>
        <w:rPr>
          <w:rFonts w:ascii="Courier New" w:cs="Courier New" w:eastAsia="Courier New" w:hAnsi="Courier New"/>
          <w:b/>
          <w:bCs/>
          <w:color w:val="1B2A4A"/>
          <w:sz w:val="18"/>
          <w:szCs w:val="18"/>
        </w:rPr>
        <w:t xml:space="preserve">§8.4.g  </w:t>
      </w:r>
      <w:r>
        <w:rPr>
          <w:rFonts w:ascii="Garamond" w:cs="Garamond" w:eastAsia="Garamond" w:hAnsi="Garamond"/>
          <w:b/>
          <w:bCs/>
          <w:color w:val="1B2A4A"/>
          <w:sz w:val="22"/>
          <w:szCs w:val="22"/>
        </w:rPr>
        <w:t xml:space="preserve">SC Independence Assessment</w:t>
      </w:r>
    </w:p>
    <w:p>
      <w:pPr>
        <w:spacing w:after="120" w:before="0"/>
        <w:ind w:left="863"/>
        <w:jc w:val="both"/>
      </w:pPr>
      <w:r>
        <w:rPr>
          <w:rFonts w:ascii="Garamond" w:cs="Garamond" w:eastAsia="Garamond" w:hAnsi="Garamond"/>
          <w:color w:val="2a2520"/>
          <w:sz w:val="22"/>
          <w:szCs w:val="22"/>
        </w:rPr>
        <w:t xml:space="preserve">SC Independence Assessment — 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863"/>
      </w:pPr>
      <w:r>
        <w:rPr>
          <w:rFonts w:ascii="Courier New" w:cs="Courier New" w:eastAsia="Courier New" w:hAnsi="Courier New"/>
          <w:b/>
          <w:bCs/>
          <w:color w:val="1B2A4A"/>
          <w:sz w:val="18"/>
          <w:szCs w:val="18"/>
        </w:rPr>
        <w:t xml:space="preserve">§8.4.h  </w:t>
      </w:r>
      <w:r>
        <w:rPr>
          <w:rFonts w:ascii="Garamond" w:cs="Garamond" w:eastAsia="Garamond" w:hAnsi="Garamond"/>
          <w:b/>
          <w:bCs/>
          <w:color w:val="1B2A4A"/>
          <w:sz w:val="22"/>
          <w:szCs w:val="22"/>
        </w:rPr>
        <w:t xml:space="preserve">Inferior Court Compliance</w:t>
      </w:r>
    </w:p>
    <w:p>
      <w:pPr>
        <w:spacing w:after="120" w:before="0"/>
        <w:ind w:left="863"/>
        <w:jc w:val="both"/>
      </w:pPr>
      <w:r>
        <w:rPr>
          <w:rFonts w:ascii="Garamond" w:cs="Garamond" w:eastAsia="Garamond" w:hAnsi="Garamond"/>
          <w:color w:val="2a2520"/>
          <w:sz w:val="22"/>
          <w:szCs w:val="22"/>
        </w:rPr>
        <w:t xml:space="preserve">Inferior Court Compliance — 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863"/>
      </w:pPr>
      <w:r>
        <w:rPr>
          <w:rFonts w:ascii="Courier New" w:cs="Courier New" w:eastAsia="Courier New" w:hAnsi="Courier New"/>
          <w:b/>
          <w:bCs/>
          <w:color w:val="1B2A4A"/>
          <w:sz w:val="18"/>
          <w:szCs w:val="18"/>
        </w:rPr>
        <w:t xml:space="preserve">§8.4.i  </w:t>
      </w:r>
      <w:r>
        <w:rPr>
          <w:rFonts w:ascii="Garamond" w:cs="Garamond" w:eastAsia="Garamond" w:hAnsi="Garamond"/>
          <w:b/>
          <w:bCs/>
          <w:color w:val="1B2A4A"/>
          <w:sz w:val="22"/>
          <w:szCs w:val="22"/>
        </w:rPr>
        <w:t xml:space="preserve">Gatekeeping Appeal</w:t>
      </w:r>
    </w:p>
    <w:p>
      <w:pPr>
        <w:spacing w:after="120" w:before="0"/>
        <w:ind w:left="863"/>
        <w:jc w:val="both"/>
      </w:pPr>
      <w:r>
        <w:rPr>
          <w:rFonts w:ascii="Garamond" w:cs="Garamond" w:eastAsia="Garamond" w:hAnsi="Garamond"/>
          <w:color w:val="2a2520"/>
          <w:sz w:val="22"/>
          <w:szCs w:val="22"/>
        </w:rPr>
        <w:t xml:space="preserve">Gatekeeping Appeal — 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863"/>
      </w:pPr>
      <w:r>
        <w:rPr>
          <w:rFonts w:ascii="Courier New" w:cs="Courier New" w:eastAsia="Courier New" w:hAnsi="Courier New"/>
          <w:b/>
          <w:bCs/>
          <w:color w:val="1B2A4A"/>
          <w:sz w:val="18"/>
          <w:szCs w:val="18"/>
        </w:rPr>
        <w:t xml:space="preserve">§8.5.a  </w:t>
      </w:r>
      <w:r>
        <w:rPr>
          <w:rFonts w:ascii="Garamond" w:cs="Garamond" w:eastAsia="Garamond" w:hAnsi="Garamond"/>
          <w:b/>
          <w:bCs/>
          <w:color w:val="1B2A4A"/>
          <w:sz w:val="22"/>
          <w:szCs w:val="22"/>
        </w:rPr>
        <w:t xml:space="preserve">For-Cause Removal</w:t>
      </w:r>
    </w:p>
    <w:p>
      <w:pPr>
        <w:spacing w:after="120" w:before="0"/>
        <w:ind w:left="863"/>
        <w:jc w:val="both"/>
      </w:pPr>
      <w:r>
        <w:rPr>
          <w:rFonts w:ascii="Garamond" w:cs="Garamond" w:eastAsia="Garamond" w:hAnsi="Garamond"/>
          <w:color w:val="2a2520"/>
          <w:sz w:val="22"/>
          <w:szCs w:val="22"/>
        </w:rPr>
        <w:t xml:space="preserve">For-Cause Removal of IGs — requires 2/3 of both chambers simultaneously, preceded by a State Designee Panel finding under §8.9.f. The Panel verification requirement prevents politically motivated removal — the Legislature may not vote on For-Cause removal of an IG without a Panel finding on the stated grounds. The Legislature may proceed to the vote regardless of the direction of the Panel's finding; the finding becomes permanent public record alongside the vote. The remaining Inspectorates transmit the grounds and documentary record to the Panel as the initiating body under §8.9.f.</w:t>
      </w:r>
    </w:p>
    <w:p>
      <w:pPr>
        <w:spacing w:after="60" w:before="200"/>
        <w:ind w:left="863"/>
      </w:pPr>
      <w:r>
        <w:rPr>
          <w:rFonts w:ascii="Courier New" w:cs="Courier New" w:eastAsia="Courier New" w:hAnsi="Courier New"/>
          <w:b/>
          <w:bCs/>
          <w:color w:val="1B2A4A"/>
          <w:sz w:val="18"/>
          <w:szCs w:val="18"/>
        </w:rPr>
        <w:t xml:space="preserve">§8.5.b  </w:t>
      </w:r>
      <w:r>
        <w:rPr>
          <w:rFonts w:ascii="Garamond" w:cs="Garamond" w:eastAsia="Garamond" w:hAnsi="Garamond"/>
          <w:b/>
          <w:bCs/>
          <w:color w:val="1B2A4A"/>
          <w:sz w:val="22"/>
          <w:szCs w:val="22"/>
        </w:rPr>
        <w:t xml:space="preserve">No-Cause Removal</w:t>
      </w:r>
    </w:p>
    <w:p>
      <w:pPr>
        <w:spacing w:after="120" w:before="0"/>
        <w:ind w:left="863"/>
        <w:jc w:val="both"/>
      </w:pPr>
      <w:r>
        <w:rPr>
          <w:rFonts w:ascii="Garamond" w:cs="Garamond" w:eastAsia="Garamond" w:hAnsi="Garamond"/>
          <w:color w:val="2a2520"/>
          <w:sz w:val="22"/>
          <w:szCs w:val="22"/>
        </w:rPr>
        <w:t xml:space="preserve">No-Cause Removal — 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863"/>
      </w:pPr>
      <w:r>
        <w:rPr>
          <w:rFonts w:ascii="Courier New" w:cs="Courier New" w:eastAsia="Courier New" w:hAnsi="Courier New"/>
          <w:b/>
          <w:bCs/>
          <w:color w:val="1B2A4A"/>
          <w:sz w:val="18"/>
          <w:szCs w:val="18"/>
        </w:rPr>
        <w:t xml:space="preserve">§8.5.c  </w:t>
      </w:r>
      <w:r>
        <w:rPr>
          <w:rFonts w:ascii="Garamond" w:cs="Garamond" w:eastAsia="Garamond" w:hAnsi="Garamond"/>
          <w:b/>
          <w:bCs/>
          <w:color w:val="1B2A4A"/>
          <w:sz w:val="22"/>
          <w:szCs w:val="22"/>
        </w:rPr>
        <w:t xml:space="preserve">Judicial IG — For-Cause Only</w:t>
      </w:r>
    </w:p>
    <w:p>
      <w:pPr>
        <w:spacing w:after="120" w:before="0"/>
        <w:ind w:left="863"/>
        <w:jc w:val="both"/>
      </w:pPr>
      <w:r>
        <w:rPr>
          <w:rFonts w:ascii="Garamond" w:cs="Garamond" w:eastAsia="Garamond" w:hAnsi="Garamond"/>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ind w:left="863"/>
      </w:pPr>
      <w:r>
        <w:rPr>
          <w:rFonts w:ascii="Courier New" w:cs="Courier New" w:eastAsia="Courier New" w:hAnsi="Courier New"/>
          <w:b/>
          <w:bCs/>
          <w:color w:val="1B2A4A"/>
          <w:sz w:val="18"/>
          <w:szCs w:val="18"/>
        </w:rPr>
        <w:t xml:space="preserve">§8.6.a  </w:t>
      </w:r>
      <w:r>
        <w:rPr>
          <w:rFonts w:ascii="Garamond" w:cs="Garamond" w:eastAsia="Garamond" w:hAnsi="Garamond"/>
          <w:b/>
          <w:bCs/>
          <w:color w:val="1B2A4A"/>
          <w:sz w:val="22"/>
          <w:szCs w:val="22"/>
        </w:rPr>
        <w:t xml:space="preserve">Reports</w:t>
      </w:r>
    </w:p>
    <w:p>
      <w:pPr>
        <w:spacing w:after="120" w:before="0"/>
        <w:ind w:left="863"/>
        <w:jc w:val="both"/>
      </w:pPr>
      <w:r>
        <w:rPr>
          <w:rFonts w:ascii="Garamond" w:cs="Garamond" w:eastAsia="Garamond" w:hAnsi="Garamond"/>
          <w:color w:val="2a2520"/>
          <w:sz w:val="22"/>
          <w:szCs w:val="22"/>
        </w:rPr>
        <w:t xml:space="preserve">The Information-Only Mandate — Inspectorates publish facts; they do not issue binding orders or legal determinations. A finding that a government actor has breached the constitution is a factual statement, not a judgment. Courts, the Legislature, and the People decide what to do with those facts. This design keeps the Inspectorates within their constitutional role and prevents them from accumulating enforcement power.</w:t>
      </w:r>
    </w:p>
    <w:p>
      <w:pPr>
        <w:spacing w:after="60" w:before="200"/>
        <w:ind w:left="863"/>
      </w:pPr>
      <w:r>
        <w:rPr>
          <w:rFonts w:ascii="Courier New" w:cs="Courier New" w:eastAsia="Courier New" w:hAnsi="Courier New"/>
          <w:b/>
          <w:bCs/>
          <w:color w:val="1B2A4A"/>
          <w:sz w:val="18"/>
          <w:szCs w:val="18"/>
        </w:rPr>
        <w:t xml:space="preserve">§8.6.b  </w:t>
      </w:r>
      <w:r>
        <w:rPr>
          <w:rFonts w:ascii="Garamond" w:cs="Garamond" w:eastAsia="Garamond" w:hAnsi="Garamond"/>
          <w:b/>
          <w:bCs/>
          <w:color w:val="1B2A4A"/>
          <w:sz w:val="22"/>
          <w:szCs w:val="22"/>
        </w:rPr>
        <w:t xml:space="preserve">No Classification</w:t>
      </w:r>
    </w:p>
    <w:p>
      <w:pPr>
        <w:spacing w:after="120" w:before="0"/>
        <w:ind w:left="863"/>
        <w:jc w:val="both"/>
      </w:pPr>
      <w:r>
        <w:rPr>
          <w:rFonts w:ascii="Garamond" w:cs="Garamond" w:eastAsia="Garamond" w:hAnsi="Garamond"/>
          <w:color w:val="2a2520"/>
          <w:sz w:val="22"/>
          <w:szCs w:val="22"/>
        </w:rPr>
        <w:t xml:space="preserve">NRS Publication — 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863"/>
      </w:pPr>
      <w:r>
        <w:rPr>
          <w:rFonts w:ascii="Courier New" w:cs="Courier New" w:eastAsia="Courier New" w:hAnsi="Courier New"/>
          <w:b/>
          <w:bCs/>
          <w:color w:val="1B2A4A"/>
          <w:sz w:val="18"/>
          <w:szCs w:val="18"/>
        </w:rPr>
        <w:t xml:space="preserve">§8.6.c  </w:t>
      </w:r>
      <w:r>
        <w:rPr>
          <w:rFonts w:ascii="Garamond" w:cs="Garamond" w:eastAsia="Garamond" w:hAnsi="Garamond"/>
          <w:b/>
          <w:bCs/>
          <w:color w:val="1B2A4A"/>
          <w:sz w:val="22"/>
          <w:szCs w:val="22"/>
        </w:rPr>
        <w:t xml:space="preserve">No Binding Force</w:t>
      </w:r>
    </w:p>
    <w:p>
      <w:pPr>
        <w:spacing w:after="120" w:before="0"/>
        <w:ind w:left="863"/>
        <w:jc w:val="both"/>
      </w:pPr>
      <w:r>
        <w:rPr>
          <w:rFonts w:ascii="Garamond" w:cs="Garamond" w:eastAsia="Garamond" w:hAnsi="Garamond"/>
          <w:color w:val="2a2520"/>
          <w:sz w:val="22"/>
          <w:szCs w:val="22"/>
        </w:rPr>
        <w:t xml:space="preserve">Minority Reports — 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863"/>
      </w:pPr>
      <w:r>
        <w:rPr>
          <w:rFonts w:ascii="Courier New" w:cs="Courier New" w:eastAsia="Courier New" w:hAnsi="Courier New"/>
          <w:b/>
          <w:bCs/>
          <w:color w:val="1B2A4A"/>
          <w:sz w:val="18"/>
          <w:szCs w:val="18"/>
        </w:rPr>
        <w:t xml:space="preserve">§8.6.d  </w:t>
      </w:r>
      <w:r>
        <w:rPr>
          <w:rFonts w:ascii="Garamond" w:cs="Garamond" w:eastAsia="Garamond" w:hAnsi="Garamond"/>
          <w:b/>
          <w:bCs/>
          <w:color w:val="1B2A4A"/>
          <w:sz w:val="22"/>
          <w:szCs w:val="22"/>
        </w:rPr>
        <w:t xml:space="preserve">Non-Pursuit Disclosure</w:t>
      </w:r>
    </w:p>
    <w:p>
      <w:pPr>
        <w:spacing w:after="120" w:before="0"/>
        <w:ind w:left="863"/>
        <w:jc w:val="both"/>
      </w:pPr>
      <w:r>
        <w:rPr>
          <w:rFonts w:ascii="Garamond" w:cs="Garamond" w:eastAsia="Garamond" w:hAnsi="Garamond"/>
          <w:color w:val="2a2520"/>
          <w:sz w:val="22"/>
          <w:szCs w:val="22"/>
        </w:rPr>
        <w:t xml:space="preserve">Classification Exemption — 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863"/>
      </w:pPr>
      <w:r>
        <w:rPr>
          <w:rFonts w:ascii="Courier New" w:cs="Courier New" w:eastAsia="Courier New" w:hAnsi="Courier New"/>
          <w:b/>
          <w:bCs/>
          <w:color w:val="1B2A4A"/>
          <w:sz w:val="18"/>
          <w:szCs w:val="18"/>
        </w:rPr>
        <w:t xml:space="preserve">§8.6.e  </w:t>
      </w:r>
      <w:r>
        <w:rPr>
          <w:rFonts w:ascii="Garamond" w:cs="Garamond" w:eastAsia="Garamond" w:hAnsi="Garamond"/>
          <w:b/>
          <w:bCs/>
          <w:color w:val="1B2A4A"/>
          <w:sz w:val="22"/>
          <w:szCs w:val="22"/>
        </w:rPr>
        <w:t xml:space="preserve">Minority Reports</w:t>
      </w:r>
    </w:p>
    <w:p>
      <w:pPr>
        <w:spacing w:after="120" w:before="0"/>
        <w:ind w:left="863"/>
        <w:jc w:val="both"/>
      </w:pPr>
      <w:r>
        <w:rPr>
          <w:rFonts w:ascii="Garamond" w:cs="Garamond" w:eastAsia="Garamond" w:hAnsi="Garamond"/>
          <w:color w:val="2a2520"/>
          <w:sz w:val="22"/>
          <w:szCs w:val="22"/>
        </w:rPr>
        <w:t xml:space="preserve">Annual State of the Republic Report — 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863"/>
      </w:pPr>
      <w:r>
        <w:rPr>
          <w:rFonts w:ascii="Courier New" w:cs="Courier New" w:eastAsia="Courier New" w:hAnsi="Courier New"/>
          <w:b/>
          <w:bCs/>
          <w:color w:val="1B2A4A"/>
          <w:sz w:val="18"/>
          <w:szCs w:val="18"/>
        </w:rPr>
        <w:t xml:space="preserve">§8.6.f  </w:t>
      </w:r>
      <w:r>
        <w:rPr>
          <w:rFonts w:ascii="Garamond" w:cs="Garamond" w:eastAsia="Garamond" w:hAnsi="Garamond"/>
          <w:b/>
          <w:bCs/>
          <w:color w:val="1B2A4A"/>
          <w:sz w:val="22"/>
          <w:szCs w:val="22"/>
        </w:rPr>
        <w:t xml:space="preserve">Inspectorate Funding Guarantee</w:t>
      </w:r>
    </w:p>
    <w:p>
      <w:pPr>
        <w:spacing w:after="120" w:before="0"/>
        <w:ind w:left="863"/>
        <w:jc w:val="both"/>
      </w:pPr>
      <w:r>
        <w:rPr>
          <w:rFonts w:ascii="Garamond" w:cs="Garamond" w:eastAsia="Garamond" w:hAnsi="Garamond"/>
          <w:color w:val="2a2520"/>
          <w:sz w:val="22"/>
          <w:szCs w:val="22"/>
        </w:rPr>
        <w:t xml:space="preserve">Joint Investigation Authority — 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863"/>
      </w:pPr>
      <w:r>
        <w:rPr>
          <w:rFonts w:ascii="Courier New" w:cs="Courier New" w:eastAsia="Courier New" w:hAnsi="Courier New"/>
          <w:b/>
          <w:bCs/>
          <w:color w:val="1B2A4A"/>
          <w:sz w:val="18"/>
          <w:szCs w:val="18"/>
        </w:rPr>
        <w:t xml:space="preserve">§8.6.g  </w:t>
      </w:r>
      <w:r>
        <w:rPr>
          <w:rFonts w:ascii="Garamond" w:cs="Garamond" w:eastAsia="Garamond" w:hAnsi="Garamond"/>
          <w:b/>
          <w:bCs/>
          <w:color w:val="1B2A4A"/>
          <w:sz w:val="22"/>
          <w:szCs w:val="22"/>
        </w:rPr>
        <w:t xml:space="preserve">Citizen Discrepancy Petition</w:t>
      </w:r>
    </w:p>
    <w:p>
      <w:pPr>
        <w:spacing w:after="120" w:before="0"/>
        <w:ind w:left="863"/>
        <w:jc w:val="both"/>
      </w:pPr>
      <w:r>
        <w:rPr>
          <w:rFonts w:ascii="Garamond" w:cs="Garamond" w:eastAsia="Garamond" w:hAnsi="Garamond"/>
          <w:color w:val="2a2520"/>
          <w:sz w:val="22"/>
          <w:szCs w:val="22"/>
        </w:rPr>
        <w:t xml:space="preserve">Investigative Access — 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pPr>
      <w:r>
        <w:rPr>
          <w:rFonts w:ascii="Courier New" w:cs="Courier New" w:eastAsia="Courier New" w:hAnsi="Courier New"/>
          <w:b/>
          <w:bCs/>
          <w:color w:val="1B2A4A"/>
          <w:sz w:val="18"/>
          <w:szCs w:val="18"/>
        </w:rPr>
        <w:t xml:space="preserve">§8.7  </w:t>
      </w:r>
      <w:r>
        <w:rPr>
          <w:rFonts w:ascii="Garamond" w:cs="Garamond" w:eastAsia="Garamond" w:hAnsi="Garamond"/>
          <w:b/>
          <w:bCs/>
          <w:color w:val="1B2A4A"/>
          <w:sz w:val="22"/>
          <w:szCs w:val="22"/>
        </w:rPr>
        <w:t xml:space="preserve">Triggered Investigations</w:t>
      </w:r>
    </w:p>
    <w:p>
      <w:pPr>
        <w:spacing w:after="120" w:before="0"/>
        <w:ind w:left="431"/>
        <w:jc w:val="both"/>
      </w:pPr>
      <w:r>
        <w:rPr>
          <w:rFonts w:ascii="Garamond" w:cs="Garamond" w:eastAsia="Garamond" w:hAnsi="Garamond"/>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863"/>
      </w:pPr>
      <w:r>
        <w:rPr>
          <w:rFonts w:ascii="Courier New" w:cs="Courier New" w:eastAsia="Courier New" w:hAnsi="Courier New"/>
          <w:b/>
          <w:bCs/>
          <w:color w:val="1B2A4A"/>
          <w:sz w:val="18"/>
          <w:szCs w:val="18"/>
        </w:rPr>
        <w:t xml:space="preserve">§8.7.a  </w:t>
      </w:r>
      <w:r>
        <w:rPr>
          <w:rFonts w:ascii="Garamond" w:cs="Garamond" w:eastAsia="Garamond" w:hAnsi="Garamond"/>
          <w:b/>
          <w:bCs/>
          <w:color w:val="1B2A4A"/>
          <w:sz w:val="22"/>
          <w:szCs w:val="22"/>
        </w:rPr>
        <w:t xml:space="preserve">Official Trigger</w:t>
      </w:r>
    </w:p>
    <w:p>
      <w:pPr>
        <w:spacing w:after="120" w:before="0"/>
        <w:ind w:left="863"/>
        <w:jc w:val="both"/>
      </w:pPr>
      <w:r>
        <w:rPr>
          <w:rFonts w:ascii="Garamond" w:cs="Garamond" w:eastAsia="Garamond" w:hAnsi="Garamond"/>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863"/>
      </w:pPr>
      <w:r>
        <w:rPr>
          <w:rFonts w:ascii="Courier New" w:cs="Courier New" w:eastAsia="Courier New" w:hAnsi="Courier New"/>
          <w:b/>
          <w:bCs/>
          <w:color w:val="1B2A4A"/>
          <w:sz w:val="18"/>
          <w:szCs w:val="18"/>
        </w:rPr>
        <w:t xml:space="preserve">§8.8.b  </w:t>
      </w:r>
      <w:r>
        <w:rPr>
          <w:rFonts w:ascii="Garamond" w:cs="Garamond" w:eastAsia="Garamond" w:hAnsi="Garamond"/>
          <w:b/>
          <w:bCs/>
          <w:color w:val="1B2A4A"/>
          <w:sz w:val="22"/>
          <w:szCs w:val="22"/>
        </w:rPr>
        <w:t xml:space="preserve">Publication</w:t>
      </w:r>
    </w:p>
    <w:p>
      <w:pPr>
        <w:spacing w:after="120" w:before="0"/>
        <w:ind w:left="863"/>
        <w:jc w:val="both"/>
      </w:pPr>
      <w:r>
        <w:rPr>
          <w:rFonts w:ascii="Garamond" w:cs="Garamond" w:eastAsia="Garamond" w:hAnsi="Garamond"/>
          <w:color w:val="2a2520"/>
          <w:sz w:val="22"/>
          <w:szCs w:val="22"/>
        </w:rPr>
        <w:t xml:space="preserve">EI Annual Military Assessment — a dedicated section within the EI's annual report covering: whether military operations in the prior year were authorized through the correct Tier; whether the §1.29.d Intelligence Firewall was maintained; whether PM fund certifications were obtained and observed; whether the 48-hour NRS publication requirement was met for all military orders.</w:t>
      </w:r>
    </w:p>
    <w:p>
      <w:pPr>
        <w:spacing w:after="60" w:before="200"/>
        <w:ind w:left="431"/>
      </w:pPr>
      <w:r>
        <w:rPr>
          <w:rFonts w:ascii="Courier New" w:cs="Courier New" w:eastAsia="Courier New" w:hAnsi="Courier New"/>
          <w:b/>
          <w:bCs/>
          <w:color w:val="1B2A4A"/>
          <w:sz w:val="18"/>
          <w:szCs w:val="18"/>
        </w:rPr>
        <w:t xml:space="preserve">§8.9  </w:t>
      </w:r>
      <w:r>
        <w:rPr>
          <w:rFonts w:ascii="Garamond" w:cs="Garamond" w:eastAsia="Garamond" w:hAnsi="Garamond"/>
          <w:b/>
          <w:bCs/>
          <w:color w:val="1B2A4A"/>
          <w:sz w:val="22"/>
          <w:szCs w:val="22"/>
        </w:rPr>
        <w:t xml:space="preserve">State Designee Panel</w:t>
      </w:r>
    </w:p>
    <w:p>
      <w:pPr>
        <w:spacing w:after="120" w:before="0"/>
        <w:ind w:left="431"/>
        <w:jc w:val="both"/>
      </w:pPr>
      <w:r>
        <w:rPr>
          <w:rFonts w:ascii="Garamond" w:cs="Garamond" w:eastAsia="Garamond" w:hAnsi="Garamond"/>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863"/>
      </w:pPr>
      <w:r>
        <w:rPr>
          <w:rFonts w:ascii="Courier New" w:cs="Courier New" w:eastAsia="Courier New" w:hAnsi="Courier New"/>
          <w:b/>
          <w:bCs/>
          <w:color w:val="1B2A4A"/>
          <w:sz w:val="18"/>
          <w:szCs w:val="18"/>
        </w:rPr>
        <w:t xml:space="preserve">§8.9.a  </w:t>
      </w:r>
      <w:r>
        <w:rPr>
          <w:rFonts w:ascii="Garamond" w:cs="Garamond" w:eastAsia="Garamond" w:hAnsi="Garamond"/>
          <w:b/>
          <w:bCs/>
          <w:color w:val="1B2A4A"/>
          <w:sz w:val="22"/>
          <w:szCs w:val="22"/>
        </w:rPr>
        <w:t xml:space="preserve">State Designee Pools</w:t>
      </w:r>
    </w:p>
    <w:p>
      <w:pPr>
        <w:spacing w:after="120" w:before="0"/>
        <w:ind w:left="863"/>
        <w:jc w:val="both"/>
      </w:pPr>
      <w:r>
        <w:rPr>
          <w:rFonts w:ascii="Garamond" w:cs="Garamond" w:eastAsia="Garamond" w:hAnsi="Garamond"/>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863"/>
      </w:pPr>
      <w:r>
        <w:rPr>
          <w:rFonts w:ascii="Courier New" w:cs="Courier New" w:eastAsia="Courier New" w:hAnsi="Courier New"/>
          <w:b/>
          <w:bCs/>
          <w:color w:val="1B2A4A"/>
          <w:sz w:val="18"/>
          <w:szCs w:val="18"/>
        </w:rPr>
        <w:t xml:space="preserve">§8.9.b  </w:t>
      </w:r>
      <w:r>
        <w:rPr>
          <w:rFonts w:ascii="Garamond" w:cs="Garamond" w:eastAsia="Garamond" w:hAnsi="Garamond"/>
          <w:b/>
          <w:bCs/>
          <w:color w:val="1B2A4A"/>
          <w:sz w:val="22"/>
          <w:szCs w:val="22"/>
        </w:rPr>
        <w:t xml:space="preserve">Annual Addition Cap</w:t>
      </w:r>
    </w:p>
    <w:p>
      <w:pPr>
        <w:spacing w:after="120" w:before="0"/>
        <w:ind w:left="863"/>
        <w:jc w:val="both"/>
      </w:pPr>
      <w:r>
        <w:rPr>
          <w:rFonts w:ascii="Garamond" w:cs="Garamond" w:eastAsia="Garamond" w:hAnsi="Garamond"/>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1296"/>
      </w:pPr>
      <w:r>
        <w:rPr>
          <w:rFonts w:ascii="Courier New" w:cs="Courier New" w:eastAsia="Courier New" w:hAnsi="Courier New"/>
          <w:b/>
          <w:bCs/>
          <w:color w:val="1B2A4A"/>
          <w:sz w:val="18"/>
          <w:szCs w:val="18"/>
        </w:rPr>
        <w:t xml:space="preserve">§8.9.b.i  </w:t>
      </w:r>
      <w:r>
        <w:rPr>
          <w:rFonts w:ascii="Garamond" w:cs="Garamond" w:eastAsia="Garamond" w:hAnsi="Garamond"/>
          <w:b/>
          <w:bCs/>
          <w:color w:val="1B2A4A"/>
          <w:sz w:val="22"/>
          <w:szCs w:val="22"/>
        </w:rPr>
        <w:t xml:space="preserve">Mandatory State Designation</w:t>
      </w:r>
    </w:p>
    <w:p>
      <w:pPr>
        <w:spacing w:after="120" w:before="0"/>
        <w:ind w:left="1296"/>
        <w:jc w:val="both"/>
      </w:pPr>
      <w:r>
        <w:rPr>
          <w:rFonts w:ascii="Garamond" w:cs="Garamond" w:eastAsia="Garamond" w:hAnsi="Garamond"/>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863"/>
      </w:pPr>
      <w:r>
        <w:rPr>
          <w:rFonts w:ascii="Courier New" w:cs="Courier New" w:eastAsia="Courier New" w:hAnsi="Courier New"/>
          <w:b/>
          <w:bCs/>
          <w:color w:val="1B2A4A"/>
          <w:sz w:val="18"/>
          <w:szCs w:val="18"/>
        </w:rPr>
        <w:t xml:space="preserve">§8.9.c  </w:t>
      </w:r>
      <w:r>
        <w:rPr>
          <w:rFonts w:ascii="Garamond" w:cs="Garamond" w:eastAsia="Garamond" w:hAnsi="Garamond"/>
          <w:b/>
          <w:bCs/>
          <w:color w:val="1B2A4A"/>
          <w:sz w:val="22"/>
          <w:szCs w:val="22"/>
        </w:rPr>
        <w:t xml:space="preserve">Pool Monitoring</w:t>
      </w:r>
    </w:p>
    <w:p>
      <w:pPr>
        <w:spacing w:after="120" w:before="0"/>
        <w:ind w:left="863"/>
        <w:jc w:val="both"/>
      </w:pPr>
      <w:r>
        <w:rPr>
          <w:rFonts w:ascii="Garamond" w:cs="Garamond" w:eastAsia="Garamond" w:hAnsi="Garamond"/>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863"/>
      </w:pPr>
      <w:r>
        <w:rPr>
          <w:rFonts w:ascii="Courier New" w:cs="Courier New" w:eastAsia="Courier New" w:hAnsi="Courier New"/>
          <w:b/>
          <w:bCs/>
          <w:color w:val="1B2A4A"/>
          <w:sz w:val="18"/>
          <w:szCs w:val="18"/>
        </w:rPr>
        <w:t xml:space="preserve">§8.9.d  </w:t>
      </w:r>
      <w:r>
        <w:rPr>
          <w:rFonts w:ascii="Garamond" w:cs="Garamond" w:eastAsia="Garamond" w:hAnsi="Garamond"/>
          <w:b/>
          <w:bCs/>
          <w:color w:val="1B2A4A"/>
          <w:sz w:val="22"/>
          <w:szCs w:val="22"/>
        </w:rPr>
        <w:t xml:space="preserve">Panel Constitution</w:t>
      </w:r>
    </w:p>
    <w:p>
      <w:pPr>
        <w:spacing w:after="120" w:before="0"/>
        <w:ind w:left="863"/>
        <w:jc w:val="both"/>
      </w:pPr>
      <w:r>
        <w:rPr>
          <w:rFonts w:ascii="Garamond" w:cs="Garamond" w:eastAsia="Garamond" w:hAnsi="Garamond"/>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1296"/>
      </w:pPr>
      <w:r>
        <w:rPr>
          <w:rFonts w:ascii="Courier New" w:cs="Courier New" w:eastAsia="Courier New" w:hAnsi="Courier New"/>
          <w:b/>
          <w:bCs/>
          <w:color w:val="1B2A4A"/>
          <w:sz w:val="18"/>
          <w:szCs w:val="18"/>
        </w:rPr>
        <w:t xml:space="preserve">§8.9.d.i  </w:t>
      </w:r>
      <w:r>
        <w:rPr>
          <w:rFonts w:ascii="Garamond" w:cs="Garamond" w:eastAsia="Garamond" w:hAnsi="Garamond"/>
          <w:b/>
          <w:bCs/>
          <w:color w:val="1B2A4A"/>
          <w:sz w:val="22"/>
          <w:szCs w:val="22"/>
        </w:rPr>
        <w:t xml:space="preserve">Draw Challenge</w:t>
      </w:r>
    </w:p>
    <w:p>
      <w:pPr>
        <w:spacing w:after="120" w:before="0"/>
        <w:ind w:left="1296"/>
        <w:jc w:val="both"/>
      </w:pPr>
      <w:r>
        <w:rPr>
          <w:rFonts w:ascii="Garamond" w:cs="Garamond" w:eastAsia="Garamond" w:hAnsi="Garamond"/>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863"/>
      </w:pPr>
      <w:r>
        <w:rPr>
          <w:rFonts w:ascii="Courier New" w:cs="Courier New" w:eastAsia="Courier New" w:hAnsi="Courier New"/>
          <w:b/>
          <w:bCs/>
          <w:color w:val="1B2A4A"/>
          <w:sz w:val="18"/>
          <w:szCs w:val="18"/>
        </w:rPr>
        <w:t xml:space="preserve">§8.9.e  </w:t>
      </w:r>
      <w:r>
        <w:rPr>
          <w:rFonts w:ascii="Garamond" w:cs="Garamond" w:eastAsia="Garamond" w:hAnsi="Garamond"/>
          <w:b/>
          <w:bCs/>
          <w:color w:val="1B2A4A"/>
          <w:sz w:val="22"/>
          <w:szCs w:val="22"/>
        </w:rPr>
        <w:t xml:space="preserve">Ongoing Eligibility</w:t>
      </w:r>
    </w:p>
    <w:p>
      <w:pPr>
        <w:spacing w:after="120" w:before="0"/>
        <w:ind w:left="863"/>
        <w:jc w:val="both"/>
      </w:pPr>
      <w:r>
        <w:rPr>
          <w:rFonts w:ascii="Garamond" w:cs="Garamond" w:eastAsia="Garamond" w:hAnsi="Garamond"/>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863"/>
      </w:pPr>
      <w:r>
        <w:rPr>
          <w:rFonts w:ascii="Courier New" w:cs="Courier New" w:eastAsia="Courier New" w:hAnsi="Courier New"/>
          <w:b/>
          <w:bCs/>
          <w:color w:val="1B2A4A"/>
          <w:sz w:val="18"/>
          <w:szCs w:val="18"/>
        </w:rPr>
        <w:t xml:space="preserve">§8.9.f  </w:t>
      </w:r>
      <w:r>
        <w:rPr>
          <w:rFonts w:ascii="Garamond" w:cs="Garamond" w:eastAsia="Garamond" w:hAnsi="Garamond"/>
          <w:b/>
          <w:bCs/>
          <w:color w:val="1B2A4A"/>
          <w:sz w:val="22"/>
          <w:szCs w:val="22"/>
        </w:rPr>
        <w:t xml:space="preserve">Activation and Meeting Parameters</w:t>
      </w:r>
    </w:p>
    <w:p>
      <w:pPr>
        <w:spacing w:after="120" w:before="0"/>
        <w:ind w:left="863"/>
        <w:jc w:val="both"/>
      </w:pPr>
      <w:r>
        <w:rPr>
          <w:rFonts w:ascii="Garamond" w:cs="Garamond" w:eastAsia="Garamond" w:hAnsi="Garamond"/>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863"/>
      </w:pPr>
      <w:r>
        <w:rPr>
          <w:rFonts w:ascii="Courier New" w:cs="Courier New" w:eastAsia="Courier New" w:hAnsi="Courier New"/>
          <w:b/>
          <w:bCs/>
          <w:color w:val="1B2A4A"/>
          <w:sz w:val="18"/>
          <w:szCs w:val="18"/>
        </w:rPr>
        <w:t xml:space="preserve">§8.9.g  </w:t>
      </w:r>
      <w:r>
        <w:rPr>
          <w:rFonts w:ascii="Garamond" w:cs="Garamond" w:eastAsia="Garamond" w:hAnsi="Garamond"/>
          <w:b/>
          <w:bCs/>
          <w:color w:val="1B2A4A"/>
          <w:sz w:val="22"/>
          <w:szCs w:val="22"/>
        </w:rPr>
        <w:t xml:space="preserve">Scope of Review</w:t>
      </w:r>
    </w:p>
    <w:p>
      <w:pPr>
        <w:spacing w:after="120" w:before="0"/>
        <w:ind w:left="863"/>
        <w:jc w:val="both"/>
      </w:pPr>
      <w:r>
        <w:rPr>
          <w:rFonts w:ascii="Garamond" w:cs="Garamond" w:eastAsia="Garamond" w:hAnsi="Garamond"/>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863"/>
      </w:pPr>
      <w:r>
        <w:rPr>
          <w:rFonts w:ascii="Courier New" w:cs="Courier New" w:eastAsia="Courier New" w:hAnsi="Courier New"/>
          <w:b/>
          <w:bCs/>
          <w:color w:val="1B2A4A"/>
          <w:sz w:val="18"/>
          <w:szCs w:val="18"/>
        </w:rPr>
        <w:t xml:space="preserve">§8.9.h  </w:t>
      </w:r>
      <w:r>
        <w:rPr>
          <w:rFonts w:ascii="Garamond" w:cs="Garamond" w:eastAsia="Garamond" w:hAnsi="Garamond"/>
          <w:b/>
          <w:bCs/>
          <w:color w:val="1B2A4A"/>
          <w:sz w:val="22"/>
          <w:szCs w:val="22"/>
        </w:rPr>
        <w:t xml:space="preserve">Effect of Finding</w:t>
      </w:r>
    </w:p>
    <w:p>
      <w:pPr>
        <w:spacing w:after="120" w:before="0"/>
        <w:ind w:left="863"/>
        <w:jc w:val="both"/>
      </w:pPr>
      <w:r>
        <w:rPr>
          <w:rFonts w:ascii="Garamond" w:cs="Garamond" w:eastAsia="Garamond" w:hAnsi="Garamond"/>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863"/>
      </w:pPr>
      <w:r>
        <w:rPr>
          <w:rFonts w:ascii="Courier New" w:cs="Courier New" w:eastAsia="Courier New" w:hAnsi="Courier New"/>
          <w:b/>
          <w:bCs/>
          <w:color w:val="1B2A4A"/>
          <w:sz w:val="18"/>
          <w:szCs w:val="18"/>
        </w:rPr>
        <w:t xml:space="preserve">§8.9.i  </w:t>
      </w:r>
      <w:r>
        <w:rPr>
          <w:rFonts w:ascii="Garamond" w:cs="Garamond" w:eastAsia="Garamond" w:hAnsi="Garamond"/>
          <w:b/>
          <w:bCs/>
          <w:color w:val="1B2A4A"/>
          <w:sz w:val="22"/>
          <w:szCs w:val="22"/>
        </w:rPr>
        <w:t xml:space="preserve">SC Review</w:t>
      </w:r>
    </w:p>
    <w:p>
      <w:pPr>
        <w:spacing w:after="120" w:before="0"/>
        <w:ind w:left="863"/>
        <w:jc w:val="both"/>
      </w:pPr>
      <w:r>
        <w:rPr>
          <w:rFonts w:ascii="Garamond" w:cs="Garamond" w:eastAsia="Garamond" w:hAnsi="Garamond"/>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863"/>
      </w:pPr>
      <w:r>
        <w:rPr>
          <w:rFonts w:ascii="Courier New" w:cs="Courier New" w:eastAsia="Courier New" w:hAnsi="Courier New"/>
          <w:b/>
          <w:bCs/>
          <w:color w:val="1B2A4A"/>
          <w:sz w:val="18"/>
          <w:szCs w:val="18"/>
        </w:rPr>
        <w:t xml:space="preserve">§8.9.j  </w:t>
      </w:r>
      <w:r>
        <w:rPr>
          <w:rFonts w:ascii="Garamond" w:cs="Garamond" w:eastAsia="Garamond" w:hAnsi="Garamond"/>
          <w:b/>
          <w:bCs/>
          <w:color w:val="1B2A4A"/>
          <w:sz w:val="22"/>
          <w:szCs w:val="22"/>
        </w:rPr>
        <w:t xml:space="preserve">Compensation</w:t>
      </w:r>
    </w:p>
    <w:p>
      <w:pPr>
        <w:spacing w:after="120" w:before="0"/>
        <w:ind w:left="863"/>
        <w:jc w:val="both"/>
      </w:pPr>
      <w:r>
        <w:rPr>
          <w:rFonts w:ascii="Garamond" w:cs="Garamond" w:eastAsia="Garamond" w:hAnsi="Garamond"/>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pPr>
      <w:r>
        <w:rPr>
          <w:rFonts w:ascii="Courier New" w:cs="Courier New" w:eastAsia="Courier New" w:hAnsi="Courier New"/>
          <w:b/>
          <w:bCs/>
          <w:color w:val="1B2A4A"/>
          <w:sz w:val="18"/>
          <w:szCs w:val="18"/>
        </w:rPr>
        <w:t xml:space="preserve">§8.10  </w:t>
      </w:r>
      <w:r>
        <w:rPr>
          <w:rFonts w:ascii="Garamond" w:cs="Garamond" w:eastAsia="Garamond" w:hAnsi="Garamond"/>
          <w:b/>
          <w:bCs/>
          <w:color w:val="1B2A4A"/>
          <w:sz w:val="22"/>
          <w:szCs w:val="22"/>
        </w:rPr>
        <w:t xml:space="preserve">MA Independence Protection</w:t>
      </w:r>
    </w:p>
    <w:p>
      <w:pPr>
        <w:spacing w:after="120" w:before="0"/>
        <w:ind w:left="431"/>
        <w:jc w:val="both"/>
      </w:pPr>
      <w:r>
        <w:rPr>
          <w:rFonts w:ascii="Garamond" w:cs="Garamond" w:eastAsia="Garamond" w:hAnsi="Garamond"/>
          <w:color w:val="2a2520"/>
          <w:sz w:val="22"/>
          <w:szCs w:val="22"/>
        </w:rPr>
        <w:t xml:space="preserve">MA Independence Protection — 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pPr>
      <w:r>
        <w:rPr>
          <w:rFonts w:ascii="Courier New" w:cs="Courier New" w:eastAsia="Courier New" w:hAnsi="Courier New"/>
          <w:b/>
          <w:bCs/>
          <w:color w:val="1B2A4A"/>
          <w:sz w:val="18"/>
          <w:szCs w:val="18"/>
        </w:rPr>
        <w:t xml:space="preserve">§8.11  </w:t>
      </w:r>
      <w:r>
        <w:rPr>
          <w:rFonts w:ascii="Garamond" w:cs="Garamond" w:eastAsia="Garamond" w:hAnsi="Garamond"/>
          <w:b/>
          <w:bCs/>
          <w:color w:val="1B2A4A"/>
          <w:sz w:val="22"/>
          <w:szCs w:val="22"/>
        </w:rPr>
        <w:t xml:space="preserve">Eighth-Year Assessment</w:t>
      </w:r>
    </w:p>
    <w:p>
      <w:pPr>
        <w:spacing w:after="120" w:before="0"/>
        <w:ind w:left="431"/>
        <w:jc w:val="both"/>
      </w:pPr>
      <w:r>
        <w:rPr>
          <w:rFonts w:ascii="Garamond" w:cs="Garamond" w:eastAsia="Garamond" w:hAnsi="Garamond"/>
          <w:color w:val="2a2520"/>
          <w:sz w:val="22"/>
          <w:szCs w:val="22"/>
        </w:rPr>
        <w:t xml:space="preserve">The eight-year joint assessment is the constitution's built-in self-evaluation mechanism — the document asking whether it is working as designed. Every eight years, the three Inspectorates jointly assess constitutional performance across all domains: Are rights enforced? Is the Inspectorate reporting mechanism functioning or being abused? Are fiscal obligations met? Is military subordination complete? Is NRS coverage comprehensive? The assessment creates a permanent longitudinal record allowing comparison across periods. No previous constitution has built a scheduled self-assessment into its text. The mechanism operationalizes the drafters' epistemic humility: the document cannot know in advance whether it works; it builds in the machinery to find out, permanently and publicly.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IX — The National Record System</w:t>
      </w:r>
    </w:p>
    <w:p>
      <w:pPr>
        <w:spacing w:after="120"/>
      </w:pPr>
    </w:p>
    <w:p>
      <w:pPr>
        <w:spacing w:after="60" w:before="200"/>
        <w:ind w:left="431"/>
      </w:pPr>
      <w:r>
        <w:rPr>
          <w:rFonts w:ascii="Courier New" w:cs="Courier New" w:eastAsia="Courier New" w:hAnsi="Courier New"/>
          <w:b/>
          <w:bCs/>
          <w:color w:val="1B2A4A"/>
          <w:sz w:val="18"/>
          <w:szCs w:val="18"/>
        </w:rPr>
        <w:t xml:space="preserve">§9.1  </w:t>
      </w:r>
      <w:r>
        <w:rPr>
          <w:rFonts w:ascii="Garamond" w:cs="Garamond" w:eastAsia="Garamond" w:hAnsi="Garamond"/>
          <w:b/>
          <w:bCs/>
          <w:color w:val="1B2A4A"/>
          <w:sz w:val="22"/>
          <w:szCs w:val="22"/>
        </w:rPr>
        <w:t xml:space="preserve">NRS Properties</w:t>
      </w:r>
    </w:p>
    <w:p>
      <w:pPr>
        <w:spacing w:after="120" w:before="0"/>
        <w:ind w:left="431"/>
        <w:jc w:val="both"/>
      </w:pPr>
      <w:r>
        <w:rPr>
          <w:rFonts w:ascii="Garamond" w:cs="Garamond" w:eastAsia="Garamond" w:hAnsi="Garamond"/>
          <w:color w:val="2a2520"/>
          <w:sz w:val="22"/>
          <w:szCs w:val="22"/>
        </w:rPr>
        <w:t xml:space="preserve">The National Record System — the constitutional backbone of transparency. Permanent, tamper-evident, freely accessible to every Inhabitant at no cost. Every government act required to be published must be on the NRS before it takes legal effect. The NRS is the definitive public record of the Republic — if something happened in government and it is not on the NRS, it is constitutionally suspect.</w:t>
      </w:r>
    </w:p>
    <w:p>
      <w:pPr>
        <w:spacing w:after="60" w:before="200"/>
        <w:ind w:left="863"/>
      </w:pPr>
      <w:r>
        <w:rPr>
          <w:rFonts w:ascii="Courier New" w:cs="Courier New" w:eastAsia="Courier New" w:hAnsi="Courier New"/>
          <w:b/>
          <w:bCs/>
          <w:color w:val="1B2A4A"/>
          <w:sz w:val="18"/>
          <w:szCs w:val="18"/>
        </w:rPr>
        <w:t xml:space="preserve">§9.1.a  </w:t>
      </w:r>
      <w:r>
        <w:rPr>
          <w:rFonts w:ascii="Garamond" w:cs="Garamond" w:eastAsia="Garamond" w:hAnsi="Garamond"/>
          <w:b/>
          <w:bCs/>
          <w:color w:val="1B2A4A"/>
          <w:sz w:val="22"/>
          <w:szCs w:val="22"/>
        </w:rPr>
        <w:t xml:space="preserve">Immutability</w:t>
      </w:r>
    </w:p>
    <w:p>
      <w:pPr>
        <w:spacing w:after="120" w:before="0"/>
        <w:ind w:left="863"/>
        <w:jc w:val="both"/>
      </w:pPr>
      <w:r>
        <w:rPr>
          <w:rFonts w:ascii="Garamond" w:cs="Garamond" w:eastAsia="Garamond" w:hAnsi="Garamond"/>
          <w:color w:val="2a2520"/>
          <w:sz w:val="22"/>
          <w:szCs w:val="22"/>
        </w:rPr>
        <w:t xml:space="preserve">NRS Permanence — 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863"/>
      </w:pPr>
      <w:r>
        <w:rPr>
          <w:rFonts w:ascii="Courier New" w:cs="Courier New" w:eastAsia="Courier New" w:hAnsi="Courier New"/>
          <w:b/>
          <w:bCs/>
          <w:color w:val="1B2A4A"/>
          <w:sz w:val="18"/>
          <w:szCs w:val="18"/>
        </w:rPr>
        <w:t xml:space="preserve">§9.1.b  </w:t>
      </w:r>
      <w:r>
        <w:rPr>
          <w:rFonts w:ascii="Garamond" w:cs="Garamond" w:eastAsia="Garamond" w:hAnsi="Garamond"/>
          <w:b/>
          <w:bCs/>
          <w:color w:val="1B2A4A"/>
          <w:sz w:val="22"/>
          <w:szCs w:val="22"/>
        </w:rPr>
        <w:t xml:space="preserve">Distributed Custody</w:t>
      </w:r>
    </w:p>
    <w:p>
      <w:pPr>
        <w:spacing w:after="120" w:before="0"/>
        <w:ind w:left="863"/>
        <w:jc w:val="both"/>
      </w:pPr>
      <w:r>
        <w:rPr>
          <w:rFonts w:ascii="Garamond" w:cs="Garamond" w:eastAsia="Garamond" w:hAnsi="Garamond"/>
          <w:color w:val="2a2520"/>
          <w:sz w:val="22"/>
          <w:szCs w:val="22"/>
        </w:rPr>
        <w:t xml:space="preserve">NRS Access — 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863"/>
      </w:pPr>
      <w:r>
        <w:rPr>
          <w:rFonts w:ascii="Courier New" w:cs="Courier New" w:eastAsia="Courier New" w:hAnsi="Courier New"/>
          <w:b/>
          <w:bCs/>
          <w:color w:val="1B2A4A"/>
          <w:sz w:val="18"/>
          <w:szCs w:val="18"/>
        </w:rPr>
        <w:t xml:space="preserve">§9.1.c  </w:t>
      </w:r>
      <w:r>
        <w:rPr>
          <w:rFonts w:ascii="Garamond" w:cs="Garamond" w:eastAsia="Garamond" w:hAnsi="Garamond"/>
          <w:b/>
          <w:bCs/>
          <w:color w:val="1B2A4A"/>
          <w:sz w:val="22"/>
          <w:szCs w:val="22"/>
        </w:rPr>
        <w:t xml:space="preserve">Public Accessibility</w:t>
      </w:r>
    </w:p>
    <w:p>
      <w:pPr>
        <w:spacing w:after="120" w:before="0"/>
        <w:ind w:left="863"/>
        <w:jc w:val="both"/>
      </w:pPr>
      <w:r>
        <w:rPr>
          <w:rFonts w:ascii="Garamond" w:cs="Garamond" w:eastAsia="Garamond" w:hAnsi="Garamond"/>
          <w:color w:val="2a2520"/>
          <w:sz w:val="22"/>
          <w:szCs w:val="22"/>
        </w:rPr>
        <w:t xml:space="preserve">NRS Publication Requirements — 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863"/>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Cryptographic Signing</w:t>
      </w:r>
    </w:p>
    <w:p>
      <w:pPr>
        <w:spacing w:after="120" w:before="0"/>
        <w:ind w:left="863"/>
        <w:jc w:val="both"/>
      </w:pPr>
      <w:r>
        <w:rPr>
          <w:rFonts w:ascii="Garamond" w:cs="Garamond" w:eastAsia="Garamond" w:hAnsi="Garamond"/>
          <w:color w:val="2a2520"/>
          <w:sz w:val="22"/>
          <w:szCs w:val="22"/>
        </w:rPr>
        <w:t xml:space="preserve">NRS Technical Standards — 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863"/>
      </w:pPr>
      <w:r>
        <w:rPr>
          <w:rFonts w:ascii="Courier New" w:cs="Courier New" w:eastAsia="Courier New" w:hAnsi="Courier New"/>
          <w:b/>
          <w:bCs/>
          <w:color w:val="1B2A4A"/>
          <w:sz w:val="18"/>
          <w:szCs w:val="18"/>
        </w:rPr>
        <w:t xml:space="preserve">§9.1.e  </w:t>
      </w:r>
      <w:r>
        <w:rPr>
          <w:rFonts w:ascii="Garamond" w:cs="Garamond" w:eastAsia="Garamond" w:hAnsi="Garamond"/>
          <w:b/>
          <w:bCs/>
          <w:color w:val="1B2A4A"/>
          <w:sz w:val="22"/>
          <w:szCs w:val="22"/>
        </w:rPr>
        <w:t xml:space="preserve">Technology Neutrality</w:t>
      </w:r>
    </w:p>
    <w:p>
      <w:pPr>
        <w:spacing w:after="120" w:before="0"/>
        <w:ind w:left="863"/>
        <w:jc w:val="both"/>
      </w:pPr>
      <w:r>
        <w:rPr>
          <w:rFonts w:ascii="Garamond" w:cs="Garamond" w:eastAsia="Garamond" w:hAnsi="Garamond"/>
          <w:color w:val="2a2520"/>
          <w:sz w:val="22"/>
          <w:szCs w:val="22"/>
        </w:rPr>
        <w:t xml:space="preserve">NRS Integrity Audit — 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863"/>
      </w:pPr>
      <w:r>
        <w:rPr>
          <w:rFonts w:ascii="Courier New" w:cs="Courier New" w:eastAsia="Courier New" w:hAnsi="Courier New"/>
          <w:b/>
          <w:bCs/>
          <w:color w:val="1B2A4A"/>
          <w:sz w:val="18"/>
          <w:szCs w:val="18"/>
        </w:rPr>
        <w:t xml:space="preserve">§9.1.f  </w:t>
      </w:r>
      <w:r>
        <w:rPr>
          <w:rFonts w:ascii="Garamond" w:cs="Garamond" w:eastAsia="Garamond" w:hAnsi="Garamond"/>
          <w:b/>
          <w:bCs/>
          <w:color w:val="1B2A4A"/>
          <w:sz w:val="22"/>
          <w:szCs w:val="22"/>
        </w:rPr>
        <w:t xml:space="preserve">Migration Overlap Protocol</w:t>
      </w:r>
    </w:p>
    <w:p>
      <w:pPr>
        <w:spacing w:after="120" w:before="0"/>
        <w:ind w:left="863"/>
        <w:jc w:val="both"/>
      </w:pPr>
      <w:r>
        <w:rPr>
          <w:rFonts w:ascii="Garamond" w:cs="Garamond" w:eastAsia="Garamond" w:hAnsi="Garamond"/>
          <w:color w:val="2a2520"/>
          <w:sz w:val="22"/>
          <w:szCs w:val="22"/>
        </w:rPr>
        <w:t xml:space="preserve">Third-Party NRS Mirrors — 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863"/>
      </w:pPr>
      <w:r>
        <w:rPr>
          <w:rFonts w:ascii="Courier New" w:cs="Courier New" w:eastAsia="Courier New" w:hAnsi="Courier New"/>
          <w:b/>
          <w:bCs/>
          <w:color w:val="1B2A4A"/>
          <w:sz w:val="18"/>
          <w:szCs w:val="18"/>
        </w:rPr>
        <w:t xml:space="preserve">§9.1.g  </w:t>
      </w:r>
      <w:r>
        <w:rPr>
          <w:rFonts w:ascii="Garamond" w:cs="Garamond" w:eastAsia="Garamond" w:hAnsi="Garamond"/>
          <w:b/>
          <w:bCs/>
          <w:color w:val="1B2A4A"/>
          <w:sz w:val="22"/>
          <w:szCs w:val="22"/>
        </w:rPr>
        <w:t xml:space="preserve">NRS Self-Authentication</w:t>
      </w:r>
    </w:p>
    <w:p>
      <w:pPr>
        <w:spacing w:after="120" w:before="0"/>
        <w:ind w:left="863"/>
        <w:jc w:val="both"/>
      </w:pPr>
      <w:r>
        <w:rPr>
          <w:rFonts w:ascii="Garamond" w:cs="Garamond" w:eastAsia="Garamond" w:hAnsi="Garamond"/>
          <w:color w:val="2a2520"/>
          <w:sz w:val="22"/>
          <w:szCs w:val="22"/>
        </w:rPr>
        <w:t xml:space="preserve">NRS Classification Exemption for Inspectorate Reports — 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pPr>
      <w:r>
        <w:rPr>
          <w:rFonts w:ascii="Courier New" w:cs="Courier New" w:eastAsia="Courier New" w:hAnsi="Courier New"/>
          <w:b/>
          <w:bCs/>
          <w:color w:val="1B2A4A"/>
          <w:sz w:val="18"/>
          <w:szCs w:val="18"/>
        </w:rPr>
        <w:t xml:space="preserve">§9.2  </w:t>
      </w:r>
      <w:r>
        <w:rPr>
          <w:rFonts w:ascii="Garamond" w:cs="Garamond" w:eastAsia="Garamond" w:hAnsi="Garamond"/>
          <w:b/>
          <w:bCs/>
          <w:color w:val="1B2A4A"/>
          <w:sz w:val="22"/>
          <w:szCs w:val="22"/>
        </w:rPr>
        <w:t xml:space="preserve">Historical Records Preservation</w:t>
      </w:r>
    </w:p>
    <w:p>
      <w:pPr>
        <w:spacing w:after="120" w:before="0"/>
        <w:ind w:left="431"/>
        <w:jc w:val="both"/>
      </w:pPr>
      <w:r>
        <w:rPr>
          <w:rFonts w:ascii="Garamond" w:cs="Garamond" w:eastAsia="Garamond" w:hAnsi="Garamond"/>
          <w:color w:val="2a2520"/>
          <w:sz w:val="22"/>
          <w:szCs w:val="22"/>
        </w:rPr>
        <w:t xml:space="preserve">Historical Records Preservation — 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pPr>
      <w:r>
        <w:rPr>
          <w:rFonts w:ascii="Courier New" w:cs="Courier New" w:eastAsia="Courier New" w:hAnsi="Courier New"/>
          <w:b/>
          <w:bCs/>
          <w:color w:val="1B2A4A"/>
          <w:sz w:val="18"/>
          <w:szCs w:val="18"/>
        </w:rPr>
        <w:t xml:space="preserve">§9.3  </w:t>
      </w:r>
      <w:r>
        <w:rPr>
          <w:rFonts w:ascii="Garamond" w:cs="Garamond" w:eastAsia="Garamond" w:hAnsi="Garamond"/>
          <w:b/>
          <w:bCs/>
          <w:color w:val="1B2A4A"/>
          <w:sz w:val="22"/>
          <w:szCs w:val="22"/>
        </w:rPr>
        <w:t xml:space="preserve">Cross-Jurisdictional Record Recognition</w:t>
      </w:r>
    </w:p>
    <w:p>
      <w:pPr>
        <w:spacing w:after="120" w:before="0"/>
        <w:ind w:left="431"/>
        <w:jc w:val="both"/>
      </w:pPr>
      <w:r>
        <w:rPr>
          <w:rFonts w:ascii="Garamond" w:cs="Garamond" w:eastAsia="Garamond" w:hAnsi="Garamond"/>
          <w:color w:val="2a2520"/>
          <w:sz w:val="22"/>
          <w:szCs w:val="22"/>
        </w:rPr>
        <w:t xml:space="preserve">Cross-Jurisdictional Record Recognition — records published to the NRS by one jurisdiction within the Republic are recognized as authentic records by all other jurisdictions without further authentication. The practical foundation for §4.4.b's NRS Authentication provision.</w:t>
      </w:r>
    </w:p>
    <w:p>
      <w:pPr>
        <w:spacing w:after="60" w:before="200"/>
        <w:ind w:left="863"/>
      </w:pPr>
      <w:r>
        <w:rPr>
          <w:rFonts w:ascii="Courier New" w:cs="Courier New" w:eastAsia="Courier New" w:hAnsi="Courier New"/>
          <w:b/>
          <w:bCs/>
          <w:color w:val="1B2A4A"/>
          <w:sz w:val="18"/>
          <w:szCs w:val="18"/>
        </w:rPr>
        <w:t xml:space="preserve">§9.3.a  </w:t>
      </w:r>
      <w:r>
        <w:rPr>
          <w:rFonts w:ascii="Garamond" w:cs="Garamond" w:eastAsia="Garamond" w:hAnsi="Garamond"/>
          <w:b/>
          <w:bCs/>
          <w:color w:val="1B2A4A"/>
          <w:sz w:val="22"/>
          <w:szCs w:val="22"/>
        </w:rPr>
        <w:t xml:space="preserve">RSA Technical Integrity Commission</w:t>
      </w:r>
    </w:p>
    <w:p>
      <w:pPr>
        <w:spacing w:after="120" w:before="0"/>
        <w:ind w:left="863"/>
        <w:jc w:val="both"/>
      </w:pPr>
      <w:r>
        <w:rPr>
          <w:rFonts w:ascii="Garamond" w:cs="Garamond" w:eastAsia="Garamond" w:hAnsi="Garamond"/>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Qualifications for pool eligibility, audit methodology and scope, working session parameters, compensation, and decennial trigger timing are established by statute.</w:t>
      </w:r>
    </w:p>
    <w:p>
      <w:pPr>
        <w:spacing w:after="60" w:before="200"/>
        <w:ind w:left="863"/>
      </w:pPr>
      <w:r>
        <w:rPr>
          <w:rFonts w:ascii="Courier New" w:cs="Courier New" w:eastAsia="Courier New" w:hAnsi="Courier New"/>
          <w:b/>
          <w:bCs/>
          <w:color w:val="1B2A4A"/>
          <w:sz w:val="18"/>
          <w:szCs w:val="18"/>
        </w:rPr>
        <w:t xml:space="preserve">§9.3.b  </w:t>
      </w:r>
      <w:r>
        <w:rPr>
          <w:rFonts w:ascii="Garamond" w:cs="Garamond" w:eastAsia="Garamond" w:hAnsi="Garamond"/>
          <w:b/>
          <w:bCs/>
          <w:color w:val="1B2A4A"/>
          <w:sz w:val="22"/>
          <w:szCs w:val="22"/>
        </w:rPr>
        <w:t xml:space="preserve">RSA Technical Pool &amp;#x2014; Constitution</w:t>
      </w:r>
    </w:p>
    <w:p>
      <w:pPr>
        <w:spacing w:after="120" w:before="0"/>
        <w:ind w:left="863"/>
        <w:jc w:val="both"/>
      </w:pPr>
      <w:r>
        <w:rPr>
          <w:rFonts w:ascii="Garamond" w:cs="Garamond" w:eastAsia="Garamond" w:hAnsi="Garamond"/>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863"/>
      </w:pPr>
      <w:r>
        <w:rPr>
          <w:rFonts w:ascii="Courier New" w:cs="Courier New" w:eastAsia="Courier New" w:hAnsi="Courier New"/>
          <w:b/>
          <w:bCs/>
          <w:color w:val="1B2A4A"/>
          <w:sz w:val="18"/>
          <w:szCs w:val="18"/>
        </w:rPr>
        <w:t xml:space="preserve">§9.3.c  </w:t>
      </w:r>
      <w:r>
        <w:rPr>
          <w:rFonts w:ascii="Garamond" w:cs="Garamond" w:eastAsia="Garamond" w:hAnsi="Garamond"/>
          <w:b/>
          <w:bCs/>
          <w:color w:val="1B2A4A"/>
          <w:sz w:val="22"/>
          <w:szCs w:val="22"/>
        </w:rPr>
        <w:t xml:space="preserve">Pool Reset</w:t>
      </w:r>
    </w:p>
    <w:p>
      <w:pPr>
        <w:spacing w:after="120" w:before="0"/>
        <w:ind w:left="863"/>
        <w:jc w:val="both"/>
      </w:pPr>
      <w:r>
        <w:rPr>
          <w:rFonts w:ascii="Garamond" w:cs="Garamond" w:eastAsia="Garamond" w:hAnsi="Garamond"/>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863"/>
      </w:pPr>
      <w:r>
        <w:rPr>
          <w:rFonts w:ascii="Courier New" w:cs="Courier New" w:eastAsia="Courier New" w:hAnsi="Courier New"/>
          <w:b/>
          <w:bCs/>
          <w:color w:val="1B2A4A"/>
          <w:sz w:val="18"/>
          <w:szCs w:val="18"/>
        </w:rPr>
        <w:t xml:space="preserve">§9.3.d  </w:t>
      </w:r>
      <w:r>
        <w:rPr>
          <w:rFonts w:ascii="Garamond" w:cs="Garamond" w:eastAsia="Garamond" w:hAnsi="Garamond"/>
          <w:b/>
          <w:bCs/>
          <w:color w:val="1B2A4A"/>
          <w:sz w:val="22"/>
          <w:szCs w:val="22"/>
        </w:rPr>
        <w:t xml:space="preserve">Commission Draw</w:t>
      </w:r>
    </w:p>
    <w:p>
      <w:pPr>
        <w:spacing w:after="120" w:before="0"/>
        <w:ind w:left="863"/>
        <w:jc w:val="both"/>
      </w:pPr>
      <w:r>
        <w:rPr>
          <w:rFonts w:ascii="Garamond" w:cs="Garamond" w:eastAsia="Garamond" w:hAnsi="Garamond"/>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863"/>
      </w:pPr>
      <w:r>
        <w:rPr>
          <w:rFonts w:ascii="Courier New" w:cs="Courier New" w:eastAsia="Courier New" w:hAnsi="Courier New"/>
          <w:b/>
          <w:bCs/>
          <w:color w:val="1B2A4A"/>
          <w:sz w:val="18"/>
          <w:szCs w:val="18"/>
        </w:rPr>
        <w:t xml:space="preserve">§9.3.e  </w:t>
      </w:r>
      <w:r>
        <w:rPr>
          <w:rFonts w:ascii="Garamond" w:cs="Garamond" w:eastAsia="Garamond" w:hAnsi="Garamond"/>
          <w:b/>
          <w:bCs/>
          <w:color w:val="1B2A4A"/>
          <w:sz w:val="22"/>
          <w:szCs w:val="22"/>
        </w:rPr>
        <w:t xml:space="preserve">Commission Replacement</w:t>
      </w:r>
    </w:p>
    <w:p>
      <w:pPr>
        <w:spacing w:after="120" w:before="0"/>
        <w:ind w:left="863"/>
        <w:jc w:val="both"/>
      </w:pPr>
      <w:r>
        <w:rPr>
          <w:rFonts w:ascii="Garamond" w:cs="Garamond" w:eastAsia="Garamond" w:hAnsi="Garamond"/>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863"/>
      </w:pPr>
      <w:r>
        <w:rPr>
          <w:rFonts w:ascii="Courier New" w:cs="Courier New" w:eastAsia="Courier New" w:hAnsi="Courier New"/>
          <w:b/>
          <w:bCs/>
          <w:color w:val="1B2A4A"/>
          <w:sz w:val="18"/>
          <w:szCs w:val="18"/>
        </w:rPr>
        <w:t xml:space="preserve">§9.3.f  </w:t>
      </w:r>
      <w:r>
        <w:rPr>
          <w:rFonts w:ascii="Garamond" w:cs="Garamond" w:eastAsia="Garamond" w:hAnsi="Garamond"/>
          <w:b/>
          <w:bCs/>
          <w:color w:val="1B2A4A"/>
          <w:sz w:val="22"/>
          <w:szCs w:val="22"/>
        </w:rPr>
        <w:t xml:space="preserve">Tri-Inspectorate Oversight</w:t>
      </w:r>
    </w:p>
    <w:p>
      <w:pPr>
        <w:spacing w:after="120" w:before="0"/>
        <w:ind w:left="863"/>
        <w:jc w:val="both"/>
      </w:pPr>
      <w:r>
        <w:rPr>
          <w:rFonts w:ascii="Garamond" w:cs="Garamond" w:eastAsia="Garamond" w:hAnsi="Garamond"/>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863"/>
      </w:pPr>
      <w:r>
        <w:rPr>
          <w:rFonts w:ascii="Courier New" w:cs="Courier New" w:eastAsia="Courier New" w:hAnsi="Courier New"/>
          <w:b/>
          <w:bCs/>
          <w:color w:val="1B2A4A"/>
          <w:sz w:val="18"/>
          <w:szCs w:val="18"/>
        </w:rPr>
        <w:t xml:space="preserve">§9.3.g  </w:t>
      </w:r>
      <w:r>
        <w:rPr>
          <w:rFonts w:ascii="Garamond" w:cs="Garamond" w:eastAsia="Garamond" w:hAnsi="Garamond"/>
          <w:b/>
          <w:bCs/>
          <w:color w:val="1B2A4A"/>
          <w:sz w:val="22"/>
          <w:szCs w:val="22"/>
        </w:rPr>
        <w:t xml:space="preserve">Commission Findings</w:t>
      </w:r>
    </w:p>
    <w:p>
      <w:pPr>
        <w:spacing w:after="120" w:before="0"/>
        <w:ind w:left="863"/>
        <w:jc w:val="both"/>
      </w:pPr>
      <w:r>
        <w:rPr>
          <w:rFonts w:ascii="Garamond" w:cs="Garamond" w:eastAsia="Garamond" w:hAnsi="Garamond"/>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w:t>
      </w:r>
    </w:p>
    <w:p>
      <w:pPr>
        <w:spacing w:after="60" w:before="200"/>
        <w:ind w:left="431"/>
      </w:pPr>
      <w:r>
        <w:rPr>
          <w:rFonts w:ascii="Courier New" w:cs="Courier New" w:eastAsia="Courier New" w:hAnsi="Courier New"/>
          <w:b/>
          <w:bCs/>
          <w:color w:val="1B2A4A"/>
          <w:sz w:val="18"/>
          <w:szCs w:val="18"/>
        </w:rPr>
        <w:t xml:space="preserve">§9.4  </w:t>
      </w:r>
      <w:r>
        <w:rPr>
          <w:rFonts w:ascii="Garamond" w:cs="Garamond" w:eastAsia="Garamond" w:hAnsi="Garamond"/>
          <w:b/>
          <w:bCs/>
          <w:color w:val="1B2A4A"/>
          <w:sz w:val="22"/>
          <w:szCs w:val="22"/>
        </w:rPr>
        <w:t xml:space="preserve">NRS and Electoral Integrity</w:t>
      </w:r>
    </w:p>
    <w:p>
      <w:pPr>
        <w:spacing w:after="120" w:before="0"/>
        <w:ind w:left="431"/>
        <w:jc w:val="both"/>
      </w:pPr>
      <w:r>
        <w:rPr>
          <w:rFonts w:ascii="Garamond" w:cs="Garamond" w:eastAsia="Garamond" w:hAnsi="Garamond"/>
          <w:color w:val="2a2520"/>
          <w:sz w:val="22"/>
          <w:szCs w:val="22"/>
        </w:rPr>
        <w:t xml:space="preserve">NRS and Electoral Integrity — 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863"/>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NRS Staffing and Independence</w:t>
      </w:r>
    </w:p>
    <w:p>
      <w:pPr>
        <w:spacing w:after="120" w:before="0"/>
        <w:ind w:left="863"/>
        <w:jc w:val="both"/>
      </w:pPr>
      <w:r>
        <w:rPr>
          <w:rFonts w:ascii="Garamond" w:cs="Garamond" w:eastAsia="Garamond" w:hAnsi="Garamond"/>
          <w:color w:val="2a2520"/>
          <w:sz w:val="22"/>
          <w:szCs w:val="22"/>
        </w:rPr>
        <w:t xml:space="preserve">NRS Staffing and Independence — 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863"/>
      </w:pPr>
      <w:r>
        <w:rPr>
          <w:rFonts w:ascii="Courier New" w:cs="Courier New" w:eastAsia="Courier New" w:hAnsi="Courier New"/>
          <w:b/>
          <w:bCs/>
          <w:color w:val="1B2A4A"/>
          <w:sz w:val="18"/>
          <w:szCs w:val="18"/>
        </w:rPr>
        <w:t xml:space="preserve">§9.5.b  </w:t>
      </w:r>
      <w:r>
        <w:rPr>
          <w:rFonts w:ascii="Garamond" w:cs="Garamond" w:eastAsia="Garamond" w:hAnsi="Garamond"/>
          <w:b/>
          <w:bCs/>
          <w:color w:val="1B2A4A"/>
          <w:sz w:val="22"/>
          <w:szCs w:val="22"/>
        </w:rPr>
        <w:t xml:space="preserve">NRS Downtime Protocol</w:t>
      </w:r>
    </w:p>
    <w:p>
      <w:pPr>
        <w:spacing w:after="120" w:before="0"/>
        <w:ind w:left="863"/>
        <w:jc w:val="both"/>
      </w:pPr>
      <w:r>
        <w:rPr>
          <w:rFonts w:ascii="Garamond" w:cs="Garamond" w:eastAsia="Garamond" w:hAnsi="Garamond"/>
          <w:color w:val="2a2520"/>
          <w:sz w:val="22"/>
          <w:szCs w:val="22"/>
        </w:rPr>
        <w:t xml:space="preserve">NRS Downtime Protocol — 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863"/>
      </w:pPr>
      <w:r>
        <w:rPr>
          <w:rFonts w:ascii="Courier New" w:cs="Courier New" w:eastAsia="Courier New" w:hAnsi="Courier New"/>
          <w:b/>
          <w:bCs/>
          <w:color w:val="1B2A4A"/>
          <w:sz w:val="18"/>
          <w:szCs w:val="18"/>
        </w:rPr>
        <w:t xml:space="preserve">§9.5.c  </w:t>
      </w:r>
      <w:r>
        <w:rPr>
          <w:rFonts w:ascii="Garamond" w:cs="Garamond" w:eastAsia="Garamond" w:hAnsi="Garamond"/>
          <w:b/>
          <w:bCs/>
          <w:color w:val="1B2A4A"/>
          <w:sz w:val="22"/>
          <w:szCs w:val="22"/>
        </w:rPr>
        <w:t xml:space="preserve">Citizen NRS Submissions</w:t>
      </w:r>
    </w:p>
    <w:p>
      <w:pPr>
        <w:spacing w:after="120" w:before="0"/>
        <w:ind w:left="863"/>
        <w:jc w:val="both"/>
      </w:pPr>
      <w:r>
        <w:rPr>
          <w:rFonts w:ascii="Garamond" w:cs="Garamond" w:eastAsia="Garamond" w:hAnsi="Garamond"/>
          <w:color w:val="2a2520"/>
          <w:sz w:val="22"/>
          <w:szCs w:val="22"/>
        </w:rPr>
        <w:t xml:space="preserve">Citizen NRS Submissions — 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863"/>
      </w:pPr>
      <w:r>
        <w:rPr>
          <w:rFonts w:ascii="Courier New" w:cs="Courier New" w:eastAsia="Courier New" w:hAnsi="Courier New"/>
          <w:b/>
          <w:bCs/>
          <w:color w:val="1B2A4A"/>
          <w:sz w:val="18"/>
          <w:szCs w:val="18"/>
        </w:rPr>
        <w:t xml:space="preserve">§9.5.d  </w:t>
      </w:r>
      <w:r>
        <w:rPr>
          <w:rFonts w:ascii="Garamond" w:cs="Garamond" w:eastAsia="Garamond" w:hAnsi="Garamond"/>
          <w:b/>
          <w:bCs/>
          <w:color w:val="1B2A4A"/>
          <w:sz w:val="22"/>
          <w:szCs w:val="22"/>
        </w:rPr>
        <w:t xml:space="preserve">NRS Funding Floor</w:t>
      </w:r>
    </w:p>
    <w:p>
      <w:pPr>
        <w:spacing w:after="120" w:before="0"/>
        <w:ind w:left="863"/>
        <w:jc w:val="both"/>
      </w:pPr>
      <w:r>
        <w:rPr>
          <w:rFonts w:ascii="Garamond" w:cs="Garamond" w:eastAsia="Garamond" w:hAnsi="Garamond"/>
          <w:color w:val="2a2520"/>
          <w:sz w:val="22"/>
          <w:szCs w:val="22"/>
        </w:rPr>
        <w:t xml:space="preserve">NRS Funding Floor — 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863"/>
      </w:pPr>
      <w:r>
        <w:rPr>
          <w:rFonts w:ascii="Courier New" w:cs="Courier New" w:eastAsia="Courier New" w:hAnsi="Courier New"/>
          <w:b/>
          <w:bCs/>
          <w:color w:val="1B2A4A"/>
          <w:sz w:val="18"/>
          <w:szCs w:val="18"/>
        </w:rPr>
        <w:t xml:space="preserve">§9.5.e  </w:t>
      </w:r>
      <w:r>
        <w:rPr>
          <w:rFonts w:ascii="Garamond" w:cs="Garamond" w:eastAsia="Garamond" w:hAnsi="Garamond"/>
          <w:b/>
          <w:bCs/>
          <w:color w:val="1B2A4A"/>
          <w:sz w:val="22"/>
          <w:szCs w:val="22"/>
        </w:rPr>
        <w:t xml:space="preserve">Improper Classification</w:t>
      </w:r>
    </w:p>
    <w:p>
      <w:pPr>
        <w:spacing w:after="120" w:before="0"/>
        <w:ind w:left="863"/>
        <w:jc w:val="both"/>
      </w:pPr>
      <w:r>
        <w:rPr>
          <w:rFonts w:ascii="Garamond" w:cs="Garamond" w:eastAsia="Garamond" w:hAnsi="Garamond"/>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 — it is a constitutional offense.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 — The Basic Needs Floor</w:t>
      </w:r>
    </w:p>
    <w:p>
      <w:pPr>
        <w:spacing w:after="120"/>
      </w:pPr>
    </w:p>
    <w:p>
      <w:pPr>
        <w:spacing w:after="60" w:before="200"/>
        <w:ind w:left="431"/>
      </w:pPr>
      <w:r>
        <w:rPr>
          <w:rFonts w:ascii="Courier New" w:cs="Courier New" w:eastAsia="Courier New" w:hAnsi="Courier New"/>
          <w:b/>
          <w:bCs/>
          <w:color w:val="1B2A4A"/>
          <w:sz w:val="18"/>
          <w:szCs w:val="18"/>
        </w:rPr>
        <w:t xml:space="preserve">§10.1  </w:t>
      </w:r>
      <w:r>
        <w:rPr>
          <w:rFonts w:ascii="Garamond" w:cs="Garamond" w:eastAsia="Garamond" w:hAnsi="Garamond"/>
          <w:b/>
          <w:bCs/>
          <w:color w:val="1B2A4A"/>
          <w:sz w:val="22"/>
          <w:szCs w:val="22"/>
        </w:rPr>
        <w:t xml:space="preserve">The Basic Needs Floor</w:t>
      </w:r>
    </w:p>
    <w:p>
      <w:pPr>
        <w:spacing w:after="120" w:before="0"/>
        <w:ind w:left="431"/>
        <w:jc w:val="both"/>
      </w:pPr>
      <w:r>
        <w:rPr>
          <w:rFonts w:ascii="Garamond" w:cs="Garamond" w:eastAsia="Garamond" w:hAnsi="Garamond"/>
          <w:color w:val="2a2520"/>
          <w:sz w:val="22"/>
          <w:szCs w:val="22"/>
        </w:rPr>
        <w:t xml:space="preserve">The Basic Needs Floor — a constitutional guarantee that the federal government will ensure every Inhabitant has access to a minimum basket of goods and services (food, housing, healthcare, education, and utilities) at a level adequate for a dignified life. Funded by a constitutionally reserved 5% of gross domestic revenue — this percentage cannot be reduced without a constitutional amendment.</w:t>
      </w:r>
    </w:p>
    <w:p>
      <w:pPr>
        <w:spacing w:after="60" w:before="200"/>
        <w:ind w:left="863"/>
      </w:pPr>
      <w:r>
        <w:rPr>
          <w:rFonts w:ascii="Courier New" w:cs="Courier New" w:eastAsia="Courier New" w:hAnsi="Courier New"/>
          <w:b/>
          <w:bCs/>
          <w:color w:val="1B2A4A"/>
          <w:sz w:val="18"/>
          <w:szCs w:val="18"/>
        </w:rPr>
        <w:t xml:space="preserve">§10.1.a  </w:t>
      </w:r>
      <w:r>
        <w:rPr>
          <w:rFonts w:ascii="Garamond" w:cs="Garamond" w:eastAsia="Garamond" w:hAnsi="Garamond"/>
          <w:b/>
          <w:bCs/>
          <w:color w:val="1B2A4A"/>
          <w:sz w:val="22"/>
          <w:szCs w:val="22"/>
        </w:rPr>
        <w:t xml:space="preserve">Anti-Evasion Principle</w:t>
      </w:r>
    </w:p>
    <w:p>
      <w:pPr>
        <w:spacing w:after="120" w:before="0"/>
        <w:ind w:left="863"/>
        <w:jc w:val="both"/>
      </w:pPr>
      <w:r>
        <w:rPr>
          <w:rFonts w:ascii="Garamond" w:cs="Garamond" w:eastAsia="Garamond" w:hAnsi="Garamond"/>
          <w:color w:val="2a2520"/>
          <w:sz w:val="22"/>
          <w:szCs w:val="22"/>
        </w:rPr>
        <w:t xml:space="preserve">BNF Funding Reserve — 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863"/>
      </w:pPr>
      <w:r>
        <w:rPr>
          <w:rFonts w:ascii="Courier New" w:cs="Courier New" w:eastAsia="Courier New" w:hAnsi="Courier New"/>
          <w:b/>
          <w:bCs/>
          <w:color w:val="1B2A4A"/>
          <w:sz w:val="18"/>
          <w:szCs w:val="18"/>
        </w:rPr>
        <w:t xml:space="preserve">§10.1.d  </w:t>
      </w:r>
      <w:r>
        <w:rPr>
          <w:rFonts w:ascii="Garamond" w:cs="Garamond" w:eastAsia="Garamond" w:hAnsi="Garamond"/>
          <w:b/>
          <w:bCs/>
          <w:color w:val="1B2A4A"/>
          <w:sz w:val="22"/>
          <w:szCs w:val="22"/>
        </w:rPr>
        <w:t xml:space="preserve">Severe Contraction Protocol — Activation</w:t>
      </w:r>
    </w:p>
    <w:p>
      <w:pPr>
        <w:spacing w:after="120" w:before="0"/>
        <w:ind w:left="863"/>
        <w:jc w:val="both"/>
      </w:pPr>
      <w:r>
        <w:rPr>
          <w:rFonts w:ascii="Garamond" w:cs="Garamond" w:eastAsia="Garamond" w:hAnsi="Garamond"/>
          <w:color w:val="2a2520"/>
          <w:sz w:val="22"/>
          <w:szCs w:val="22"/>
        </w:rPr>
        <w:t xml:space="preserve">BNF Non-Discrimination — access to BNF benefits may not be conditioned on citizenship, residency status, political affiliation, or any characteristic protected under §1.8. Every Inhabitant receives equal access. The Legislature may not create tiered access based on contribution history or prior benefit receipt — the BNF is a floor, not an insurance program.</w:t>
      </w:r>
    </w:p>
    <w:p>
      <w:pPr>
        <w:spacing w:after="60" w:before="200"/>
        <w:ind w:left="863"/>
      </w:pPr>
      <w:r>
        <w:rPr>
          <w:rFonts w:ascii="Courier New" w:cs="Courier New" w:eastAsia="Courier New" w:hAnsi="Courier New"/>
          <w:b/>
          <w:bCs/>
          <w:color w:val="1B2A4A"/>
          <w:sz w:val="18"/>
          <w:szCs w:val="18"/>
        </w:rPr>
        <w:t xml:space="preserve">§10.1.e  </w:t>
      </w:r>
      <w:r>
        <w:rPr>
          <w:rFonts w:ascii="Garamond" w:cs="Garamond" w:eastAsia="Garamond" w:hAnsi="Garamond"/>
          <w:b/>
          <w:bCs/>
          <w:color w:val="1B2A4A"/>
          <w:sz w:val="22"/>
          <w:szCs w:val="22"/>
        </w:rPr>
        <w:t xml:space="preserve">Severe Contraction Protocol — Effects</w:t>
      </w:r>
    </w:p>
    <w:p>
      <w:pPr>
        <w:spacing w:after="120" w:before="0"/>
        <w:ind w:left="863"/>
        <w:jc w:val="both"/>
      </w:pPr>
      <w:r>
        <w:rPr>
          <w:rFonts w:ascii="Garamond" w:cs="Garamond" w:eastAsia="Garamond" w:hAnsi="Garamond"/>
          <w:color w:val="2a2520"/>
          <w:sz w:val="22"/>
          <w:szCs w:val="22"/>
        </w:rPr>
        <w:t xml:space="preserve">BNF Administration — 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863"/>
      </w:pPr>
      <w:r>
        <w:rPr>
          <w:rFonts w:ascii="Courier New" w:cs="Courier New" w:eastAsia="Courier New" w:hAnsi="Courier New"/>
          <w:b/>
          <w:bCs/>
          <w:color w:val="1B2A4A"/>
          <w:sz w:val="18"/>
          <w:szCs w:val="18"/>
        </w:rPr>
        <w:t xml:space="preserve">§10.1.f  </w:t>
      </w:r>
      <w:r>
        <w:rPr>
          <w:rFonts w:ascii="Garamond" w:cs="Garamond" w:eastAsia="Garamond" w:hAnsi="Garamond"/>
          <w:b/>
          <w:bCs/>
          <w:color w:val="1B2A4A"/>
          <w:sz w:val="22"/>
          <w:szCs w:val="22"/>
        </w:rPr>
        <w:t xml:space="preserve">Severe Contraction Protocol — Parliamentary Review</w:t>
      </w:r>
    </w:p>
    <w:p>
      <w:pPr>
        <w:spacing w:after="120" w:before="0"/>
        <w:ind w:left="863"/>
        <w:jc w:val="both"/>
      </w:pPr>
      <w:r>
        <w:rPr>
          <w:rFonts w:ascii="Garamond" w:cs="Garamond" w:eastAsia="Garamond" w:hAnsi="Garamond"/>
          <w:color w:val="2a2520"/>
          <w:sz w:val="22"/>
          <w:szCs w:val="22"/>
        </w:rPr>
        <w:t xml:space="preserve">Severe Revenue Contraction — 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863"/>
      </w:pPr>
      <w:r>
        <w:rPr>
          <w:rFonts w:ascii="Courier New" w:cs="Courier New" w:eastAsia="Courier New" w:hAnsi="Courier New"/>
          <w:b/>
          <w:bCs/>
          <w:color w:val="1B2A4A"/>
          <w:sz w:val="18"/>
          <w:szCs w:val="18"/>
        </w:rPr>
        <w:t xml:space="preserve">§10.1.g  </w:t>
      </w:r>
      <w:r>
        <w:rPr>
          <w:rFonts w:ascii="Garamond" w:cs="Garamond" w:eastAsia="Garamond" w:hAnsi="Garamond"/>
          <w:b/>
          <w:bCs/>
          <w:color w:val="1B2A4A"/>
          <w:sz w:val="22"/>
          <w:szCs w:val="22"/>
        </w:rPr>
        <w:t xml:space="preserve">Federal Supplementation Obligation</w:t>
      </w:r>
    </w:p>
    <w:p>
      <w:pPr>
        <w:spacing w:after="120" w:before="0"/>
        <w:ind w:left="863"/>
        <w:jc w:val="both"/>
      </w:pPr>
      <w:r>
        <w:rPr>
          <w:rFonts w:ascii="Garamond" w:cs="Garamond" w:eastAsia="Garamond" w:hAnsi="Garamond"/>
          <w:color w:val="2a2520"/>
          <w:sz w:val="22"/>
          <w:szCs w:val="22"/>
        </w:rPr>
        <w:t xml:space="preserve">BNF and Emergency Declarations — 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pPr>
      <w:r>
        <w:rPr>
          <w:rFonts w:ascii="Courier New" w:cs="Courier New" w:eastAsia="Courier New" w:hAnsi="Courier New"/>
          <w:b/>
          <w:bCs/>
          <w:color w:val="1B2A4A"/>
          <w:sz w:val="18"/>
          <w:szCs w:val="18"/>
        </w:rPr>
        <w:t xml:space="preserve">§10.2  </w:t>
      </w:r>
      <w:r>
        <w:rPr>
          <w:rFonts w:ascii="Garamond" w:cs="Garamond" w:eastAsia="Garamond" w:hAnsi="Garamond"/>
          <w:b/>
          <w:bCs/>
          <w:color w:val="1B2A4A"/>
          <w:sz w:val="22"/>
          <w:szCs w:val="22"/>
        </w:rPr>
        <w:t xml:space="preserve">Fiscal Accountability Framework</w:t>
      </w:r>
    </w:p>
    <w:p>
      <w:pPr>
        <w:spacing w:after="120" w:before="0"/>
        <w:ind w:left="431"/>
        <w:jc w:val="both"/>
      </w:pPr>
      <w:r>
        <w:rPr>
          <w:rFonts w:ascii="Garamond" w:cs="Garamond" w:eastAsia="Garamond" w:hAnsi="Garamond"/>
          <w:color w:val="2a2520"/>
          <w:sz w:val="22"/>
          <w:szCs w:val="22"/>
        </w:rPr>
        <w:t xml:space="preserve">Fiscal Accountability — 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863"/>
      </w:pPr>
      <w:r>
        <w:rPr>
          <w:rFonts w:ascii="Courier New" w:cs="Courier New" w:eastAsia="Courier New" w:hAnsi="Courier New"/>
          <w:b/>
          <w:bCs/>
          <w:color w:val="1B2A4A"/>
          <w:sz w:val="18"/>
          <w:szCs w:val="18"/>
        </w:rPr>
        <w:t xml:space="preserve">§10.2.a  </w:t>
      </w:r>
      <w:r>
        <w:rPr>
          <w:rFonts w:ascii="Garamond" w:cs="Garamond" w:eastAsia="Garamond" w:hAnsi="Garamond"/>
          <w:b/>
          <w:bCs/>
          <w:color w:val="1B2A4A"/>
          <w:sz w:val="22"/>
          <w:szCs w:val="22"/>
        </w:rPr>
        <w:t xml:space="preserve">Tax Origination and Fiscal Objection</w:t>
      </w:r>
    </w:p>
    <w:p>
      <w:pPr>
        <w:spacing w:after="120" w:before="0"/>
        <w:ind w:left="863"/>
        <w:jc w:val="both"/>
      </w:pPr>
      <w:r>
        <w:rPr>
          <w:rFonts w:ascii="Garamond" w:cs="Garamond" w:eastAsia="Garamond" w:hAnsi="Garamond"/>
          <w:color w:val="2a2520"/>
          <w:sz w:val="22"/>
          <w:szCs w:val="22"/>
        </w:rPr>
        <w:t xml:space="preserve">Deficit Threshold — 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863"/>
      </w:pPr>
      <w:r>
        <w:rPr>
          <w:rFonts w:ascii="Courier New" w:cs="Courier New" w:eastAsia="Courier New" w:hAnsi="Courier New"/>
          <w:b/>
          <w:bCs/>
          <w:color w:val="1B2A4A"/>
          <w:sz w:val="18"/>
          <w:szCs w:val="18"/>
        </w:rPr>
        <w:t xml:space="preserve">§10.2.b  </w:t>
      </w:r>
      <w:r>
        <w:rPr>
          <w:rFonts w:ascii="Garamond" w:cs="Garamond" w:eastAsia="Garamond" w:hAnsi="Garamond"/>
          <w:b/>
          <w:bCs/>
          <w:color w:val="1B2A4A"/>
          <w:sz w:val="22"/>
          <w:szCs w:val="22"/>
        </w:rPr>
        <w:t xml:space="preserve">Annual Budget and Continuation Spending</w:t>
      </w:r>
    </w:p>
    <w:p>
      <w:pPr>
        <w:spacing w:after="120" w:before="0"/>
        <w:ind w:left="863"/>
        <w:jc w:val="both"/>
      </w:pPr>
      <w:r>
        <w:rPr>
          <w:rFonts w:ascii="Garamond" w:cs="Garamond" w:eastAsia="Garamond" w:hAnsi="Garamond"/>
          <w:color w:val="2a2520"/>
          <w:sz w:val="22"/>
          <w:szCs w:val="22"/>
        </w:rPr>
        <w:t xml:space="preserve">National Endowment — the Legislature must by statute establish a National Endowment reserve fund for BNF backstop purposes during severe revenue contractions. Funded by appropriation in years of fiscal surplus. If the Legislature fails to establish the Endowment within the constitutionally required period, the failure is a constitutional compliance breach.</w:t>
      </w:r>
    </w:p>
    <w:p>
      <w:pPr>
        <w:spacing w:after="60" w:before="200"/>
        <w:ind w:left="431"/>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Public Campaign Financing — the Legislature must by statute establish a public campaign financing system by the constitutional deadline. If it fails to do so, the failure triggers automatic referendum eligibility under §11.1 — citizens may petition for a national vote on whether to impose a public financing framework by citizen mandate.</w:t>
      </w:r>
    </w:p>
    <w:p>
      <w:pPr>
        <w:spacing w:after="60" w:before="200"/>
        <w:ind w:left="863"/>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Campaign Financing Standards</w:t>
      </w:r>
    </w:p>
    <w:p>
      <w:pPr>
        <w:spacing w:after="120" w:before="0"/>
        <w:ind w:left="863"/>
        <w:jc w:val="both"/>
      </w:pPr>
      <w:r>
        <w:rPr>
          <w:rFonts w:ascii="Garamond" w:cs="Garamond" w:eastAsia="Garamond" w:hAnsi="Garamond"/>
          <w:color w:val="2a2520"/>
          <w:sz w:val="22"/>
          <w:szCs w:val="22"/>
        </w:rPr>
        <w:t xml:space="preserve">Campaign Financing Standards — 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863"/>
      </w:pPr>
      <w:r>
        <w:rPr>
          <w:rFonts w:ascii="Courier New" w:cs="Courier New" w:eastAsia="Courier New" w:hAnsi="Courier New"/>
          <w:b/>
          <w:bCs/>
          <w:color w:val="1B2A4A"/>
          <w:sz w:val="18"/>
          <w:szCs w:val="18"/>
        </w:rPr>
        <w:t xml:space="preserve">§10.3.b  </w:t>
      </w:r>
      <w:r>
        <w:rPr>
          <w:rFonts w:ascii="Garamond" w:cs="Garamond" w:eastAsia="Garamond" w:hAnsi="Garamond"/>
          <w:b/>
          <w:bCs/>
          <w:color w:val="1B2A4A"/>
          <w:sz w:val="22"/>
          <w:szCs w:val="22"/>
        </w:rPr>
        <w:t xml:space="preserve">BNF and Contraction Exemptions</w:t>
      </w:r>
    </w:p>
    <w:p>
      <w:pPr>
        <w:spacing w:after="120" w:before="0"/>
        <w:ind w:left="863"/>
        <w:jc w:val="both"/>
      </w:pPr>
      <w:r>
        <w:rPr>
          <w:rFonts w:ascii="Garamond" w:cs="Garamond" w:eastAsia="Garamond" w:hAnsi="Garamond"/>
          <w:color w:val="2a2520"/>
          <w:sz w:val="22"/>
          <w:szCs w:val="22"/>
        </w:rPr>
        <w:t xml:space="preserve">Enforcement of Campaign Financing — 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863"/>
      </w:pPr>
      <w:r>
        <w:rPr>
          <w:rFonts w:ascii="Courier New" w:cs="Courier New" w:eastAsia="Courier New" w:hAnsi="Courier New"/>
          <w:b/>
          <w:bCs/>
          <w:color w:val="1B2A4A"/>
          <w:sz w:val="18"/>
          <w:szCs w:val="18"/>
        </w:rPr>
        <w:t xml:space="preserve">§10.4.a  </w:t>
      </w:r>
      <w:r>
        <w:rPr>
          <w:rFonts w:ascii="Garamond" w:cs="Garamond" w:eastAsia="Garamond" w:hAnsi="Garamond"/>
          <w:b/>
          <w:bCs/>
          <w:color w:val="1B2A4A"/>
          <w:sz w:val="22"/>
          <w:szCs w:val="22"/>
        </w:rPr>
        <w:t xml:space="preserve">MA Director — Elected Office</w:t>
      </w:r>
    </w:p>
    <w:p>
      <w:pPr>
        <w:spacing w:after="120" w:before="0"/>
        <w:ind w:left="863"/>
        <w:jc w:val="both"/>
      </w:pPr>
      <w:r>
        <w:rPr>
          <w:rFonts w:ascii="Garamond" w:cs="Garamond" w:eastAsia="Garamond" w:hAnsi="Garamond"/>
          <w:color w:val="2a2520"/>
          <w:sz w:val="22"/>
          <w:szCs w:val="22"/>
        </w:rPr>
        <w:t xml:space="preserve">MA Director Election and Board Composition — the MA is governed by an elected Director and a board of five appointed members. The Director is elected by national RCV on National Election Day to a single non-renewable 8-year term, staggered from the board member appointment cycle. The elected Director gives the MA democratic legitimacy while the single non-renewable term protects independence — the Director cannot be captured by political interests whose support would secure re-election.</w:t>
      </w:r>
    </w:p>
    <w:p>
      <w:pPr>
        <w:spacing w:after="60" w:before="200"/>
        <w:ind w:left="863"/>
      </w:pPr>
      <w:r>
        <w:rPr>
          <w:rFonts w:ascii="Courier New" w:cs="Courier New" w:eastAsia="Courier New" w:hAnsi="Courier New"/>
          <w:b/>
          <w:bCs/>
          <w:color w:val="1B2A4A"/>
          <w:sz w:val="18"/>
          <w:szCs w:val="18"/>
        </w:rPr>
        <w:t xml:space="preserve">§10.4.b  </w:t>
      </w:r>
      <w:r>
        <w:rPr>
          <w:rFonts w:ascii="Garamond" w:cs="Garamond" w:eastAsia="Garamond" w:hAnsi="Garamond"/>
          <w:b/>
          <w:bCs/>
          <w:color w:val="1B2A4A"/>
          <w:sz w:val="22"/>
          <w:szCs w:val="22"/>
        </w:rPr>
        <w:t xml:space="preserve">MA Independence</w:t>
      </w:r>
    </w:p>
    <w:p>
      <w:pPr>
        <w:spacing w:after="120" w:before="0"/>
        <w:ind w:left="863"/>
        <w:jc w:val="both"/>
      </w:pPr>
      <w:r>
        <w:rPr>
          <w:rFonts w:ascii="Garamond" w:cs="Garamond" w:eastAsia="Garamond" w:hAnsi="Garamond"/>
          <w:color w:val="2a2520"/>
          <w:sz w:val="22"/>
          <w:szCs w:val="22"/>
        </w:rPr>
        <w:t xml:space="preserve">MA Independence and Mandate — 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Tested under maximum pressure in The Stagflation Years: the SC ruled 6-3 that the Mandate Rebalancing Act was void for attempting to convert the secondary mandate into a co-equal constraint on the primary mandate.</w:t>
      </w:r>
    </w:p>
    <w:p>
      <w:pPr>
        <w:spacing w:after="60" w:before="200"/>
        <w:ind w:left="863"/>
      </w:pPr>
      <w:r>
        <w:rPr>
          <w:rFonts w:ascii="Courier New" w:cs="Courier New" w:eastAsia="Courier New" w:hAnsi="Courier New"/>
          <w:b/>
          <w:bCs/>
          <w:color w:val="1B2A4A"/>
          <w:sz w:val="18"/>
          <w:szCs w:val="18"/>
        </w:rPr>
        <w:t xml:space="preserve">§10.4.c  </w:t>
      </w:r>
      <w:r>
        <w:rPr>
          <w:rFonts w:ascii="Garamond" w:cs="Garamond" w:eastAsia="Garamond" w:hAnsi="Garamond"/>
          <w:b/>
          <w:bCs/>
          <w:color w:val="1B2A4A"/>
          <w:sz w:val="22"/>
          <w:szCs w:val="22"/>
        </w:rPr>
        <w:t xml:space="preserve">Transparency</w:t>
      </w:r>
    </w:p>
    <w:p>
      <w:pPr>
        <w:spacing w:after="120" w:before="0"/>
        <w:ind w:left="863"/>
        <w:jc w:val="both"/>
      </w:pPr>
      <w:r>
        <w:rPr>
          <w:rFonts w:ascii="Garamond" w:cs="Garamond" w:eastAsia="Garamond" w:hAnsi="Garamond"/>
          <w:color w:val="2a2520"/>
          <w:sz w:val="22"/>
          <w:szCs w:val="22"/>
        </w:rPr>
        <w:t xml:space="preserve">MA Transparency — all MA determinations, rate decisions, board votes, dissents, and mandate analyses must be published to the NRS within 48 hours of the board meeting. Board Member dissents are published alongside the majority determination. The transparency requirement serves as both an accountability mechanism and a credibility tool — the MA's reasoning is permanently visible.</w:t>
      </w:r>
    </w:p>
    <w:p>
      <w:pPr>
        <w:spacing w:after="60" w:before="200"/>
        <w:ind w:left="863"/>
      </w:pPr>
      <w:r>
        <w:rPr>
          <w:rFonts w:ascii="Courier New" w:cs="Courier New" w:eastAsia="Courier New" w:hAnsi="Courier New"/>
          <w:b/>
          <w:bCs/>
          <w:color w:val="1B2A4A"/>
          <w:sz w:val="18"/>
          <w:szCs w:val="18"/>
        </w:rPr>
        <w:t xml:space="preserve">§10.4.d  </w:t>
      </w:r>
      <w:r>
        <w:rPr>
          <w:rFonts w:ascii="Garamond" w:cs="Garamond" w:eastAsia="Garamond" w:hAnsi="Garamond"/>
          <w:b/>
          <w:bCs/>
          <w:color w:val="1B2A4A"/>
          <w:sz w:val="22"/>
          <w:szCs w:val="22"/>
        </w:rPr>
        <w:t xml:space="preserve">Methodology Integrity</w:t>
      </w:r>
    </w:p>
    <w:p>
      <w:pPr>
        <w:spacing w:after="120" w:before="0"/>
        <w:ind w:left="863"/>
        <w:jc w:val="both"/>
      </w:pPr>
      <w:r>
        <w:rPr>
          <w:rFonts w:ascii="Garamond" w:cs="Garamond" w:eastAsia="Garamond" w:hAnsi="Garamond"/>
          <w:color w:val="2a2520"/>
          <w:sz w:val="22"/>
          <w:szCs w:val="22"/>
        </w:rPr>
        <w:t xml:space="preserve">MA Methodology Integrity — 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w:t>
      </w:r>
    </w:p>
    <w:p>
      <w:pPr>
        <w:spacing w:after="60" w:before="200"/>
        <w:ind w:left="863"/>
      </w:pPr>
      <w:r>
        <w:rPr>
          <w:rFonts w:ascii="Courier New" w:cs="Courier New" w:eastAsia="Courier New" w:hAnsi="Courier New"/>
          <w:b/>
          <w:bCs/>
          <w:color w:val="1B2A4A"/>
          <w:sz w:val="18"/>
          <w:szCs w:val="18"/>
        </w:rPr>
        <w:t xml:space="preserve">§10.4.e  </w:t>
      </w:r>
      <w:r>
        <w:rPr>
          <w:rFonts w:ascii="Garamond" w:cs="Garamond" w:eastAsia="Garamond" w:hAnsi="Garamond"/>
          <w:b/>
          <w:bCs/>
          <w:color w:val="1B2A4A"/>
          <w:sz w:val="22"/>
          <w:szCs w:val="22"/>
        </w:rPr>
        <w:t xml:space="preserve">Uncertifiable Inherited Fiscal Position</w:t>
      </w:r>
    </w:p>
    <w:p>
      <w:pPr>
        <w:spacing w:after="120" w:before="0"/>
        <w:ind w:left="863"/>
        <w:jc w:val="both"/>
      </w:pPr>
      <w:r>
        <w:rPr>
          <w:rFonts w:ascii="Garamond" w:cs="Garamond" w:eastAsia="Garamond" w:hAnsi="Garamond"/>
          <w:color w:val="2a2520"/>
          <w:sz w:val="22"/>
          <w:szCs w:val="22"/>
        </w:rPr>
        <w:t xml:space="preserve">Uncertifiable Inherited Fiscal Position — 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863"/>
      </w:pPr>
      <w:r>
        <w:rPr>
          <w:rFonts w:ascii="Courier New" w:cs="Courier New" w:eastAsia="Courier New" w:hAnsi="Courier New"/>
          <w:b/>
          <w:bCs/>
          <w:color w:val="1B2A4A"/>
          <w:sz w:val="18"/>
          <w:szCs w:val="18"/>
        </w:rPr>
        <w:t xml:space="preserve">§10.5.a  </w:t>
      </w:r>
      <w:r>
        <w:rPr>
          <w:rFonts w:ascii="Garamond" w:cs="Garamond" w:eastAsia="Garamond" w:hAnsi="Garamond"/>
          <w:b/>
          <w:bCs/>
          <w:color w:val="1B2A4A"/>
          <w:sz w:val="22"/>
          <w:szCs w:val="22"/>
        </w:rPr>
        <w:t xml:space="preserve">Official Benefits</w:t>
      </w:r>
    </w:p>
    <w:p>
      <w:pPr>
        <w:spacing w:after="120" w:before="0"/>
        <w:ind w:left="863"/>
        <w:jc w:val="both"/>
      </w:pPr>
      <w:r>
        <w:rPr>
          <w:rFonts w:ascii="Garamond" w:cs="Garamond" w:eastAsia="Garamond" w:hAnsi="Garamond"/>
          <w:color w:val="2a2520"/>
          <w:sz w:val="22"/>
          <w:szCs w:val="22"/>
        </w:rPr>
        <w:t xml:space="preserve">Personal Financial Disclosure — all elected and appointed constitutional officers must disclose all financial interests, holdings, income sources, and liabilities to the EI within 30 days of taking office and annually thereafter. Disclosure records are published to the NRS.</w:t>
      </w:r>
    </w:p>
    <w:p>
      <w:pPr>
        <w:spacing w:after="60" w:before="200"/>
        <w:ind w:left="863"/>
      </w:pPr>
      <w:r>
        <w:rPr>
          <w:rFonts w:ascii="Courier New" w:cs="Courier New" w:eastAsia="Courier New" w:hAnsi="Courier New"/>
          <w:b/>
          <w:bCs/>
          <w:color w:val="1B2A4A"/>
          <w:sz w:val="18"/>
          <w:szCs w:val="18"/>
        </w:rPr>
        <w:t xml:space="preserve">§10.5.b  </w:t>
      </w:r>
      <w:r>
        <w:rPr>
          <w:rFonts w:ascii="Garamond" w:cs="Garamond" w:eastAsia="Garamond" w:hAnsi="Garamond"/>
          <w:b/>
          <w:bCs/>
          <w:color w:val="1B2A4A"/>
          <w:sz w:val="22"/>
          <w:szCs w:val="22"/>
        </w:rPr>
        <w:t xml:space="preserve">Financial Disclosure</w:t>
      </w:r>
    </w:p>
    <w:p>
      <w:pPr>
        <w:spacing w:after="120" w:before="0"/>
        <w:ind w:left="863"/>
        <w:jc w:val="both"/>
      </w:pPr>
      <w:r>
        <w:rPr>
          <w:rFonts w:ascii="Garamond" w:cs="Garamond" w:eastAsia="Garamond" w:hAnsi="Garamond"/>
          <w:color w:val="2a2520"/>
          <w:sz w:val="22"/>
          <w:szCs w:val="22"/>
        </w:rPr>
        <w:t xml:space="preserve">Conflict of Interest Recusal — 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863"/>
      </w:pPr>
      <w:r>
        <w:rPr>
          <w:rFonts w:ascii="Courier New" w:cs="Courier New" w:eastAsia="Courier New" w:hAnsi="Courier New"/>
          <w:b/>
          <w:bCs/>
          <w:color w:val="1B2A4A"/>
          <w:sz w:val="18"/>
          <w:szCs w:val="18"/>
        </w:rPr>
        <w:t xml:space="preserve">§10.5.c  </w:t>
      </w:r>
      <w:r>
        <w:rPr>
          <w:rFonts w:ascii="Garamond" w:cs="Garamond" w:eastAsia="Garamond" w:hAnsi="Garamond"/>
          <w:b/>
          <w:bCs/>
          <w:color w:val="1B2A4A"/>
          <w:sz w:val="22"/>
          <w:szCs w:val="22"/>
        </w:rPr>
        <w:t xml:space="preserve">Integrity Bans</w:t>
      </w:r>
    </w:p>
    <w:p>
      <w:pPr>
        <w:spacing w:after="120" w:before="0"/>
        <w:ind w:left="863"/>
        <w:jc w:val="both"/>
      </w:pPr>
      <w:r>
        <w:rPr>
          <w:rFonts w:ascii="Garamond" w:cs="Garamond" w:eastAsia="Garamond" w:hAnsi="Garamond"/>
          <w:color w:val="2a2520"/>
          <w:sz w:val="22"/>
          <w:szCs w:val="22"/>
        </w:rPr>
        <w:t xml:space="preserve">Post-Service Restrictions — constitutional officers may not, for 5 years after leaving office, engage in activities that monetize non-public information acquired during service. The restriction covers lobbying, consulting, and any advisory role that draws on confidential government knowledge.</w:t>
      </w:r>
    </w:p>
    <w:p>
      <w:pPr>
        <w:spacing w:after="60" w:before="200"/>
        <w:ind w:left="863"/>
      </w:pPr>
      <w:r>
        <w:rPr>
          <w:rFonts w:ascii="Courier New" w:cs="Courier New" w:eastAsia="Courier New" w:hAnsi="Courier New"/>
          <w:b/>
          <w:bCs/>
          <w:color w:val="1B2A4A"/>
          <w:sz w:val="18"/>
          <w:szCs w:val="18"/>
        </w:rPr>
        <w:t xml:space="preserve">§10.5.d  </w:t>
      </w:r>
      <w:r>
        <w:rPr>
          <w:rFonts w:ascii="Garamond" w:cs="Garamond" w:eastAsia="Garamond" w:hAnsi="Garamond"/>
          <w:b/>
          <w:bCs/>
          <w:color w:val="1B2A4A"/>
          <w:sz w:val="22"/>
          <w:szCs w:val="22"/>
        </w:rPr>
        <w:t xml:space="preserve">Anti-Ego Provision</w:t>
      </w:r>
    </w:p>
    <w:p>
      <w:pPr>
        <w:spacing w:after="120" w:before="0"/>
        <w:ind w:left="863"/>
        <w:jc w:val="both"/>
      </w:pPr>
      <w:r>
        <w:rPr>
          <w:rFonts w:ascii="Garamond" w:cs="Garamond" w:eastAsia="Garamond" w:hAnsi="Garamond"/>
          <w:color w:val="2a2520"/>
          <w:sz w:val="22"/>
          <w:szCs w:val="22"/>
        </w:rPr>
        <w:t xml:space="preserve">Gift and Hospitality Rules — 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863"/>
      </w:pPr>
      <w:r>
        <w:rPr>
          <w:rFonts w:ascii="Courier New" w:cs="Courier New" w:eastAsia="Courier New" w:hAnsi="Courier New"/>
          <w:b/>
          <w:bCs/>
          <w:color w:val="1B2A4A"/>
          <w:sz w:val="18"/>
          <w:szCs w:val="18"/>
        </w:rPr>
        <w:t xml:space="preserve">§10.5.e  </w:t>
      </w:r>
      <w:r>
        <w:rPr>
          <w:rFonts w:ascii="Garamond" w:cs="Garamond" w:eastAsia="Garamond" w:hAnsi="Garamond"/>
          <w:b/>
          <w:bCs/>
          <w:color w:val="1B2A4A"/>
          <w:sz w:val="22"/>
          <w:szCs w:val="22"/>
        </w:rPr>
        <w:t xml:space="preserve">Official Records Belong to the Republic</w:t>
      </w:r>
    </w:p>
    <w:p>
      <w:pPr>
        <w:spacing w:after="120" w:before="0"/>
        <w:ind w:left="863"/>
        <w:jc w:val="both"/>
      </w:pPr>
      <w:r>
        <w:rPr>
          <w:rFonts w:ascii="Garamond" w:cs="Garamond" w:eastAsia="Garamond" w:hAnsi="Garamond"/>
          <w:color w:val="2a2520"/>
          <w:sz w:val="22"/>
          <w:szCs w:val="22"/>
        </w:rPr>
        <w:t xml:space="preserve">Official Records Retention — 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863"/>
      </w:pPr>
      <w:r>
        <w:rPr>
          <w:rFonts w:ascii="Courier New" w:cs="Courier New" w:eastAsia="Courier New" w:hAnsi="Courier New"/>
          <w:b/>
          <w:bCs/>
          <w:color w:val="1B2A4A"/>
          <w:sz w:val="18"/>
          <w:szCs w:val="18"/>
        </w:rPr>
        <w:t xml:space="preserve">§10.5.f  </w:t>
      </w:r>
      <w:r>
        <w:rPr>
          <w:rFonts w:ascii="Garamond" w:cs="Garamond" w:eastAsia="Garamond" w:hAnsi="Garamond"/>
          <w:b/>
          <w:bCs/>
          <w:color w:val="1B2A4A"/>
          <w:sz w:val="22"/>
          <w:szCs w:val="22"/>
        </w:rPr>
        <w:t xml:space="preserve">Official Gifts</w:t>
      </w:r>
    </w:p>
    <w:p>
      <w:pPr>
        <w:spacing w:after="120" w:before="0"/>
        <w:ind w:left="863"/>
        <w:jc w:val="both"/>
      </w:pPr>
      <w:r>
        <w:rPr>
          <w:rFonts w:ascii="Garamond" w:cs="Garamond" w:eastAsia="Garamond" w:hAnsi="Garamond"/>
          <w:color w:val="2a2520"/>
          <w:sz w:val="22"/>
          <w:szCs w:val="22"/>
        </w:rPr>
        <w:t xml:space="preserve">Revolving Door Restriction — constitutional officers may not move directly from government service into private roles that would allow them to exploit relationships, knowledge, or access accumulated during service. The 5-year cooling-off period applies to regulated industries directly affected by the officer's prior decisions.</w:t>
      </w:r>
    </w:p>
    <w:p>
      <w:pPr>
        <w:spacing w:after="60" w:before="200"/>
        <w:ind w:left="863"/>
      </w:pPr>
      <w:r>
        <w:rPr>
          <w:rFonts w:ascii="Courier New" w:cs="Courier New" w:eastAsia="Courier New" w:hAnsi="Courier New"/>
          <w:b/>
          <w:bCs/>
          <w:color w:val="1B2A4A"/>
          <w:sz w:val="18"/>
          <w:szCs w:val="18"/>
        </w:rPr>
        <w:t xml:space="preserve">§10.5.g  </w:t>
      </w:r>
      <w:r>
        <w:rPr>
          <w:rFonts w:ascii="Garamond" w:cs="Garamond" w:eastAsia="Garamond" w:hAnsi="Garamond"/>
          <w:b/>
          <w:bCs/>
          <w:color w:val="1B2A4A"/>
          <w:sz w:val="22"/>
          <w:szCs w:val="22"/>
        </w:rPr>
        <w:t xml:space="preserve">Official Intellectual Property</w:t>
      </w:r>
    </w:p>
    <w:p>
      <w:pPr>
        <w:spacing w:after="120" w:before="0"/>
        <w:ind w:left="863"/>
        <w:jc w:val="both"/>
      </w:pPr>
      <w:r>
        <w:rPr>
          <w:rFonts w:ascii="Garamond" w:cs="Garamond" w:eastAsia="Garamond" w:hAnsi="Garamond"/>
          <w:color w:val="2a2520"/>
          <w:sz w:val="22"/>
          <w:szCs w:val="22"/>
        </w:rPr>
        <w:t xml:space="preserve">Official Intellectual Property — ideas, analyses, and work product created during official service belong to the Republic. An officer may not monetize work done in their official capacity for 5 years following service. For classified information, the 5-year cooling-off applies after declassification — it cannot be monetized the day after it becomes public.</w:t>
      </w:r>
    </w:p>
    <w:p>
      <w:pPr>
        <w:spacing w:after="60" w:before="200"/>
        <w:ind w:left="863"/>
      </w:pPr>
      <w:r>
        <w:rPr>
          <w:rFonts w:ascii="Courier New" w:cs="Courier New" w:eastAsia="Courier New" w:hAnsi="Courier New"/>
          <w:b/>
          <w:bCs/>
          <w:color w:val="1B2A4A"/>
          <w:sz w:val="18"/>
          <w:szCs w:val="18"/>
        </w:rPr>
        <w:t xml:space="preserve">§10.5.h  </w:t>
      </w:r>
      <w:r>
        <w:rPr>
          <w:rFonts w:ascii="Garamond" w:cs="Garamond" w:eastAsia="Garamond" w:hAnsi="Garamond"/>
          <w:b/>
          <w:bCs/>
          <w:color w:val="1B2A4A"/>
          <w:sz w:val="22"/>
          <w:szCs w:val="22"/>
        </w:rPr>
        <w:t xml:space="preserve">Oath of Office Requirement</w:t>
      </w:r>
    </w:p>
    <w:p>
      <w:pPr>
        <w:spacing w:after="120" w:before="0"/>
        <w:ind w:left="863"/>
        <w:jc w:val="both"/>
      </w:pPr>
      <w:r>
        <w:rPr>
          <w:rFonts w:ascii="Garamond" w:cs="Garamond" w:eastAsia="Garamond" w:hAnsi="Garamond"/>
          <w:color w:val="2a2520"/>
          <w:sz w:val="22"/>
          <w:szCs w:val="22"/>
        </w:rPr>
        <w:t xml:space="preserve">Ethics Enforcement — 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863"/>
      </w:pPr>
      <w:r>
        <w:rPr>
          <w:rFonts w:ascii="Courier New" w:cs="Courier New" w:eastAsia="Courier New" w:hAnsi="Courier New"/>
          <w:b/>
          <w:bCs/>
          <w:color w:val="1B2A4A"/>
          <w:sz w:val="18"/>
          <w:szCs w:val="18"/>
        </w:rPr>
        <w:t xml:space="preserve">§10.6.a  </w:t>
      </w:r>
      <w:r>
        <w:rPr>
          <w:rFonts w:ascii="Garamond" w:cs="Garamond" w:eastAsia="Garamond" w:hAnsi="Garamond"/>
          <w:b/>
          <w:bCs/>
          <w:color w:val="1B2A4A"/>
          <w:sz w:val="22"/>
          <w:szCs w:val="22"/>
        </w:rPr>
        <w:t xml:space="preserve">National Endowment Governance</w:t>
      </w:r>
    </w:p>
    <w:p>
      <w:pPr>
        <w:spacing w:after="120" w:before="0"/>
        <w:ind w:left="863"/>
        <w:jc w:val="both"/>
      </w:pPr>
      <w:r>
        <w:rPr>
          <w:rFonts w:ascii="Garamond" w:cs="Garamond" w:eastAsia="Garamond" w:hAnsi="Garamond"/>
          <w:color w:val="2a2520"/>
          <w:sz w:val="22"/>
          <w:szCs w:val="22"/>
        </w:rPr>
        <w:t xml:space="preserve">National Endowment Governance — governed by a board of trustees appointed by the PM from JI-maintained candidates, confirmed by the Senate. The board's sole mandate is to preserve and grow the Endowment fund for BNF backstop purposes — it may not be directed to other investment goals by either executive or the Legislature.</w:t>
      </w:r>
    </w:p>
    <w:p>
      <w:pPr>
        <w:spacing w:after="60" w:before="200"/>
        <w:ind w:left="863"/>
      </w:pPr>
      <w:r>
        <w:rPr>
          <w:rFonts w:ascii="Courier New" w:cs="Courier New" w:eastAsia="Courier New" w:hAnsi="Courier New"/>
          <w:b/>
          <w:bCs/>
          <w:color w:val="1B2A4A"/>
          <w:sz w:val="18"/>
          <w:szCs w:val="18"/>
        </w:rPr>
        <w:t xml:space="preserve">§10.6.b  </w:t>
      </w:r>
      <w:r>
        <w:rPr>
          <w:rFonts w:ascii="Garamond" w:cs="Garamond" w:eastAsia="Garamond" w:hAnsi="Garamond"/>
          <w:b/>
          <w:bCs/>
          <w:color w:val="1B2A4A"/>
          <w:sz w:val="22"/>
          <w:szCs w:val="22"/>
        </w:rPr>
        <w:t xml:space="preserve">Defense Readiness and Veterans Obligations</w:t>
      </w:r>
    </w:p>
    <w:p>
      <w:pPr>
        <w:spacing w:after="120" w:before="0"/>
        <w:ind w:left="863"/>
        <w:jc w:val="both"/>
      </w:pPr>
      <w:r>
        <w:rPr>
          <w:rFonts w:ascii="Garamond" w:cs="Garamond" w:eastAsia="Garamond" w:hAnsi="Garamond"/>
          <w:color w:val="2a2520"/>
          <w:sz w:val="22"/>
          <w:szCs w:val="22"/>
        </w:rPr>
        <w:t xml:space="preserve">Endowment Activation — 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pPr>
      <w:r>
        <w:rPr>
          <w:rFonts w:ascii="Courier New" w:cs="Courier New" w:eastAsia="Courier New" w:hAnsi="Courier New"/>
          <w:b/>
          <w:bCs/>
          <w:color w:val="1B2A4A"/>
          <w:sz w:val="18"/>
          <w:szCs w:val="18"/>
        </w:rPr>
        <w:t xml:space="preserve">§10.7  </w:t>
      </w:r>
      <w:r>
        <w:rPr>
          <w:rFonts w:ascii="Garamond" w:cs="Garamond" w:eastAsia="Garamond" w:hAnsi="Garamond"/>
          <w:b/>
          <w:bCs/>
          <w:color w:val="1B2A4A"/>
          <w:sz w:val="22"/>
          <w:szCs w:val="22"/>
        </w:rPr>
        <w:t xml:space="preserve">Compensation of Public Officials</w:t>
      </w:r>
    </w:p>
    <w:p>
      <w:pPr>
        <w:spacing w:after="120" w:before="0"/>
        <w:ind w:left="431"/>
        <w:jc w:val="both"/>
      </w:pPr>
      <w:r>
        <w:rPr>
          <w:rFonts w:ascii="Garamond" w:cs="Garamond" w:eastAsia="Garamond" w:hAnsi="Garamond"/>
          <w:color w:val="2a2520"/>
          <w:sz w:val="22"/>
          <w:szCs w:val="22"/>
        </w:rPr>
        <w:t xml:space="preserve">The Republic relies on a volunteer military. Emergency mobilization is governed by Article XII. The Republic acknowledges a special obligation to persons who served in military or national service — distinct from the Basic Needs Floor. Veterans obligations are constitutional commitments that survive any government transition.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 — Referenda</w:t>
      </w:r>
    </w:p>
    <w:p>
      <w:pPr>
        <w:spacing w:after="120"/>
      </w:pP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Optional Referendum</w:t>
      </w:r>
    </w:p>
    <w:p>
      <w:pPr>
        <w:spacing w:after="120" w:before="0"/>
        <w:ind w:left="431"/>
        <w:jc w:val="both"/>
      </w:pPr>
      <w:r>
        <w:rPr>
          <w:rFonts w:ascii="Garamond" w:cs="Garamond" w:eastAsia="Garamond" w:hAnsi="Garamond"/>
          <w:color w:val="2a2520"/>
          <w:sz w:val="22"/>
          <w:szCs w:val="22"/>
        </w:rPr>
        <w:t xml:space="preserve">Optional Referendum — citizens may initiate a national referendum to repeal enacted legislation by petition of 5% of eligible voters within 90 days of enactment. The JI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Citizen Petition Right</w:t>
      </w:r>
    </w:p>
    <w:p>
      <w:pPr>
        <w:spacing w:after="120" w:before="0"/>
        <w:ind w:left="863"/>
        <w:jc w:val="both"/>
      </w:pPr>
      <w:r>
        <w:rPr>
          <w:rFonts w:ascii="Garamond" w:cs="Garamond" w:eastAsia="Garamond" w:hAnsi="Garamond"/>
          <w:color w:val="2a2520"/>
          <w:sz w:val="22"/>
          <w:szCs w:val="22"/>
        </w:rPr>
        <w:t xml:space="preserve">Petition Requirements — the 5% petition must be collected within 90 days of the law's enactment. The EI verifies petition signatures for eligibility. If the threshold is met, the EC administers the referendum within 90 days of verification. Petitioners may withdraw the petition before the referendum is scheduled, but not after.</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Eligibility Screen</w:t>
      </w:r>
    </w:p>
    <w:p>
      <w:pPr>
        <w:spacing w:after="120" w:before="0"/>
        <w:ind w:left="863"/>
        <w:jc w:val="both"/>
      </w:pPr>
      <w:r>
        <w:rPr>
          <w:rFonts w:ascii="Garamond" w:cs="Garamond" w:eastAsia="Garamond" w:hAnsi="Garamond"/>
          <w:color w:val="2a2520"/>
          <w:sz w:val="22"/>
          <w:szCs w:val="22"/>
        </w:rPr>
        <w:t xml:space="preserve">JI Eligibility Screening — the JI determines whether a targeted law is eligible for referendum. Laws that solely or primarily expand an Article I right are ineligible — the Individual Sovereignty Floor can expand but cannot contract through popular vote. The JI's eligibility determination is final subject only to SC review on an expedited basis within 14 days.</w:t>
      </w:r>
    </w:p>
    <w:p>
      <w:pPr>
        <w:spacing w:after="60" w:before="200"/>
        <w:ind w:left="863"/>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Referendum Thresholds and Finality</w:t>
      </w:r>
    </w:p>
    <w:p>
      <w:pPr>
        <w:spacing w:after="120" w:before="0"/>
        <w:ind w:left="863"/>
        <w:jc w:val="both"/>
      </w:pPr>
      <w:r>
        <w:rPr>
          <w:rFonts w:ascii="Garamond" w:cs="Garamond" w:eastAsia="Garamond" w:hAnsi="Garamond"/>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Subsidiarity Principle</w:t>
      </w:r>
    </w:p>
    <w:p>
      <w:pPr>
        <w:spacing w:after="120" w:before="0"/>
        <w:ind w:left="863"/>
        <w:jc w:val="both"/>
      </w:pPr>
      <w:r>
        <w:rPr>
          <w:rFonts w:ascii="Garamond" w:cs="Garamond" w:eastAsia="Garamond" w:hAnsi="Garamond"/>
          <w:color w:val="2a2520"/>
          <w:sz w:val="22"/>
          <w:szCs w:val="22"/>
        </w:rPr>
        <w:t xml:space="preserve">Citizen Legislative Initiative — 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863"/>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Local Government</w:t>
      </w:r>
    </w:p>
    <w:p>
      <w:pPr>
        <w:spacing w:after="120" w:before="0"/>
        <w:ind w:left="863"/>
        <w:jc w:val="both"/>
      </w:pPr>
      <w:r>
        <w:rPr>
          <w:rFonts w:ascii="Garamond" w:cs="Garamond" w:eastAsia="Garamond" w:hAnsi="Garamond"/>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 — Military Authorization</w:t>
      </w:r>
    </w:p>
    <w:p>
      <w:pPr>
        <w:spacing w:after="120"/>
      </w:pP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Authorized Purposes for Military Force</w:t>
      </w:r>
    </w:p>
    <w:p>
      <w:pPr>
        <w:spacing w:after="120" w:before="0"/>
        <w:ind w:left="431"/>
        <w:jc w:val="both"/>
      </w:pPr>
      <w:r>
        <w:rPr>
          <w:rFonts w:ascii="Garamond" w:cs="Garamond" w:eastAsia="Garamond" w:hAnsi="Garamond"/>
          <w:color w:val="2a2520"/>
          <w:sz w:val="22"/>
          <w:szCs w:val="22"/>
        </w:rPr>
        <w:t xml:space="preserve">Authorized Purposes for Military Force — 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Legislative Declaration of Defense</w:t>
      </w:r>
    </w:p>
    <w:p>
      <w:pPr>
        <w:spacing w:after="120" w:before="0"/>
        <w:ind w:left="431"/>
        <w:jc w:val="both"/>
      </w:pPr>
      <w:r>
        <w:rPr>
          <w:rFonts w:ascii="Garamond" w:cs="Garamond" w:eastAsia="Garamond" w:hAnsi="Garamond"/>
          <w:color w:val="2a2520"/>
          <w:sz w:val="22"/>
          <w:szCs w:val="22"/>
        </w:rPr>
        <w:t xml:space="preserve">Emergency Defense Allocation —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863"/>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Legislative Declaration of Defense</w:t>
      </w:r>
    </w:p>
    <w:p>
      <w:pPr>
        <w:spacing w:after="120" w:before="0"/>
        <w:ind w:left="863"/>
        <w:jc w:val="both"/>
      </w:pPr>
      <w:r>
        <w:rPr>
          <w:rFonts w:ascii="Garamond" w:cs="Garamond" w:eastAsia="Garamond" w:hAnsi="Garamond"/>
          <w:color w:val="2a2520"/>
          <w:sz w:val="22"/>
          <w:szCs w:val="22"/>
        </w:rPr>
        <w:t xml:space="preserve">Allocation Categories — 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863"/>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Five-Year Maximum</w:t>
      </w:r>
    </w:p>
    <w:p>
      <w:pPr>
        <w:spacing w:after="120" w:before="0"/>
        <w:ind w:left="863"/>
        <w:jc w:val="both"/>
      </w:pPr>
      <w:r>
        <w:rPr>
          <w:rFonts w:ascii="Garamond" w:cs="Garamond" w:eastAsia="Garamond" w:hAnsi="Garamond"/>
          <w:color w:val="2a2520"/>
          <w:sz w:val="22"/>
          <w:szCs w:val="22"/>
        </w:rPr>
        <w:t xml:space="preserve">Allocation Renewal — 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863"/>
      </w:pPr>
      <w:r>
        <w:rPr>
          <w:rFonts w:ascii="Courier New" w:cs="Courier New" w:eastAsia="Courier New" w:hAnsi="Courier New"/>
          <w:b/>
          <w:bCs/>
          <w:color w:val="1B2A4A"/>
          <w:sz w:val="18"/>
          <w:szCs w:val="18"/>
        </w:rPr>
        <w:t xml:space="preserve">§12.2.c  </w:t>
      </w:r>
      <w:r>
        <w:rPr>
          <w:rFonts w:ascii="Garamond" w:cs="Garamond" w:eastAsia="Garamond" w:hAnsi="Garamond"/>
          <w:b/>
          <w:bCs/>
          <w:color w:val="1B2A4A"/>
          <w:sz w:val="22"/>
          <w:szCs w:val="22"/>
        </w:rPr>
        <w:t xml:space="preserve">Successive Declaration Standard</w:t>
      </w:r>
    </w:p>
    <w:p>
      <w:pPr>
        <w:spacing w:after="120" w:before="0"/>
        <w:ind w:left="863"/>
        <w:jc w:val="both"/>
      </w:pPr>
      <w:r>
        <w:rPr>
          <w:rFonts w:ascii="Garamond" w:cs="Garamond" w:eastAsia="Garamond" w:hAnsi="Garamond"/>
          <w:color w:val="2a2520"/>
          <w:sz w:val="22"/>
          <w:szCs w:val="22"/>
        </w:rPr>
        <w:t xml:space="preserve">Allocation Termination — 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w:t>
      </w:r>
    </w:p>
    <w:p>
      <w:pPr>
        <w:spacing w:after="60" w:before="200"/>
        <w:ind w:left="863"/>
      </w:pPr>
      <w:r>
        <w:rPr>
          <w:rFonts w:ascii="Courier New" w:cs="Courier New" w:eastAsia="Courier New" w:hAnsi="Courier New"/>
          <w:b/>
          <w:bCs/>
          <w:color w:val="1B2A4A"/>
          <w:sz w:val="18"/>
          <w:szCs w:val="18"/>
        </w:rPr>
        <w:t xml:space="preserve">§12.2.d  </w:t>
      </w:r>
      <w:r>
        <w:rPr>
          <w:rFonts w:ascii="Garamond" w:cs="Garamond" w:eastAsia="Garamond" w:hAnsi="Garamond"/>
          <w:b/>
          <w:bCs/>
          <w:color w:val="1B2A4A"/>
          <w:sz w:val="22"/>
          <w:szCs w:val="22"/>
        </w:rPr>
        <w:t xml:space="preserve">Senate Armed Services Committee</w:t>
      </w:r>
    </w:p>
    <w:p>
      <w:pPr>
        <w:spacing w:after="120" w:before="0"/>
        <w:ind w:left="863"/>
        <w:jc w:val="both"/>
      </w:pPr>
      <w:r>
        <w:rPr>
          <w:rFonts w:ascii="Garamond" w:cs="Garamond" w:eastAsia="Garamond" w:hAnsi="Garamond"/>
          <w:color w:val="2a2520"/>
          <w:sz w:val="22"/>
          <w:szCs w:val="22"/>
        </w:rPr>
        <w:t xml:space="preserve">Oversight of Allocation — 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863"/>
      </w:pPr>
      <w:r>
        <w:rPr>
          <w:rFonts w:ascii="Courier New" w:cs="Courier New" w:eastAsia="Courier New" w:hAnsi="Courier New"/>
          <w:b/>
          <w:bCs/>
          <w:color w:val="1B2A4A"/>
          <w:sz w:val="18"/>
          <w:szCs w:val="18"/>
        </w:rPr>
        <w:t xml:space="preserve">§12.2.e  </w:t>
      </w:r>
      <w:r>
        <w:rPr>
          <w:rFonts w:ascii="Garamond" w:cs="Garamond" w:eastAsia="Garamond" w:hAnsi="Garamond"/>
          <w:b/>
          <w:bCs/>
          <w:color w:val="1B2A4A"/>
          <w:sz w:val="22"/>
          <w:szCs w:val="22"/>
        </w:rPr>
        <w:t xml:space="preserve">Military Authority During Presidential Succession Vacuum</w:t>
      </w:r>
    </w:p>
    <w:p>
      <w:pPr>
        <w:spacing w:after="120" w:before="0"/>
        <w:ind w:left="863"/>
        <w:jc w:val="both"/>
      </w:pPr>
      <w:r>
        <w:rPr>
          <w:rFonts w:ascii="Garamond" w:cs="Garamond" w:eastAsia="Garamond" w:hAnsi="Garamond"/>
          <w:color w:val="2a2520"/>
          <w:sz w:val="22"/>
          <w:szCs w:val="22"/>
        </w:rPr>
        <w:t xml:space="preserve">Post-Allocation Accountability — 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Intelligence Firewall</w:t>
      </w:r>
    </w:p>
    <w:p>
      <w:pPr>
        <w:spacing w:after="120" w:before="0"/>
        <w:ind w:left="431"/>
        <w:jc w:val="both"/>
      </w:pPr>
      <w:r>
        <w:rPr>
          <w:rFonts w:ascii="Garamond" w:cs="Garamond" w:eastAsia="Garamond" w:hAnsi="Garamond"/>
          <w:color w:val="2a2520"/>
          <w:sz w:val="22"/>
          <w:szCs w:val="22"/>
        </w:rPr>
        <w:t xml:space="preserve">Defense Intelligence — the use of intelligence capabilities in support of authorized military operations. The §1.29.d Intelligence Firewall applies at all times — no military operation authorizes domestic intelligence collection against citizens. Intelligence activities must be published to the NRS in classified summary form within 90 days of operation completion.</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Military Accountability</w:t>
      </w:r>
    </w:p>
    <w:p>
      <w:pPr>
        <w:spacing w:after="120" w:before="0"/>
        <w:ind w:left="431"/>
        <w:jc w:val="both"/>
      </w:pPr>
      <w:r>
        <w:rPr>
          <w:rFonts w:ascii="Garamond" w:cs="Garamond" w:eastAsia="Garamond" w:hAnsi="Garamond"/>
          <w:color w:val="2a2520"/>
          <w:sz w:val="22"/>
          <w:szCs w:val="22"/>
        </w:rPr>
        <w:t xml:space="preserve">Post-Conflict Obligations — before any extended military engagement concludes,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Treaty Emergency Certification</w:t>
      </w:r>
    </w:p>
    <w:p>
      <w:pPr>
        <w:spacing w:after="120" w:before="0"/>
        <w:ind w:left="863"/>
        <w:jc w:val="both"/>
      </w:pPr>
      <w:r>
        <w:rPr>
          <w:rFonts w:ascii="Garamond" w:cs="Garamond" w:eastAsia="Garamond" w:hAnsi="Garamond"/>
          <w:color w:val="2a2520"/>
          <w:sz w:val="22"/>
          <w:szCs w:val="22"/>
        </w:rPr>
        <w:t xml:space="preserve">Treaty Emergency Certification — 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863"/>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No Blank Check</w:t>
      </w:r>
    </w:p>
    <w:p>
      <w:pPr>
        <w:spacing w:after="120" w:before="0"/>
        <w:ind w:left="863"/>
        <w:jc w:val="both"/>
      </w:pPr>
      <w:r>
        <w:rPr>
          <w:rFonts w:ascii="Garamond" w:cs="Garamond" w:eastAsia="Garamond" w:hAnsi="Garamond"/>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for extended military commitment — each sustained engagement requires parliamentary authorization regardless of what the treaty says.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XIII — Statehood and Territory</w:t>
      </w:r>
    </w:p>
    <w:p>
      <w:pPr>
        <w:spacing w:after="120"/>
      </w:pPr>
    </w:p>
    <w:p>
      <w:pPr>
        <w:spacing w:after="60" w:before="200"/>
        <w:ind w:left="431"/>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Territorial Compact</w:t>
      </w:r>
    </w:p>
    <w:p>
      <w:pPr>
        <w:spacing w:after="120" w:before="0"/>
        <w:ind w:left="431"/>
        <w:jc w:val="both"/>
      </w:pPr>
      <w:r>
        <w:rPr>
          <w:rFonts w:ascii="Garamond" w:cs="Garamond" w:eastAsia="Garamond" w:hAnsi="Garamond"/>
          <w:color w:val="2a2520"/>
          <w:sz w:val="22"/>
          <w:szCs w:val="22"/>
        </w:rPr>
        <w:t xml:space="preserve">Territorial Status — 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w:t>
      </w:r>
    </w:p>
    <w:p>
      <w:pPr>
        <w:spacing w:after="60" w:before="200"/>
        <w:ind w:left="431"/>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The Statehood Audit</w:t>
      </w:r>
    </w:p>
    <w:p>
      <w:pPr>
        <w:spacing w:after="120" w:before="0"/>
        <w:ind w:left="431"/>
        <w:jc w:val="both"/>
      </w:pPr>
      <w:r>
        <w:rPr>
          <w:rFonts w:ascii="Garamond" w:cs="Garamond" w:eastAsia="Garamond" w:hAnsi="Garamond"/>
          <w:color w:val="2a2520"/>
          <w:sz w:val="22"/>
          <w:szCs w:val="22"/>
        </w:rPr>
        <w:t xml:space="preserve">Requirements for Statehood — 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w:t>
      </w:r>
    </w:p>
    <w:p>
      <w:pPr>
        <w:spacing w:after="60" w:before="200"/>
        <w:ind w:left="863"/>
      </w:pPr>
      <w:r>
        <w:rPr>
          <w:rFonts w:ascii="Courier New" w:cs="Courier New" w:eastAsia="Courier New" w:hAnsi="Courier New"/>
          <w:b/>
          <w:bCs/>
          <w:color w:val="1B2A4A"/>
          <w:sz w:val="18"/>
          <w:szCs w:val="18"/>
        </w:rPr>
        <w:t xml:space="preserve">§13.2.a  </w:t>
      </w:r>
      <w:r>
        <w:rPr>
          <w:rFonts w:ascii="Garamond" w:cs="Garamond" w:eastAsia="Garamond" w:hAnsi="Garamond"/>
          <w:b/>
          <w:bCs/>
          <w:color w:val="1B2A4A"/>
          <w:sz w:val="22"/>
          <w:szCs w:val="22"/>
        </w:rPr>
        <w:t xml:space="preserve">Fiscal Integrity</w:t>
      </w:r>
    </w:p>
    <w:p>
      <w:pPr>
        <w:spacing w:after="120" w:before="0"/>
        <w:ind w:left="863"/>
        <w:jc w:val="both"/>
      </w:pPr>
      <w:r>
        <w:rPr>
          <w:rFonts w:ascii="Garamond" w:cs="Garamond" w:eastAsia="Garamond" w:hAnsi="Garamond"/>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863"/>
      </w:pPr>
      <w:r>
        <w:rPr>
          <w:rFonts w:ascii="Courier New" w:cs="Courier New" w:eastAsia="Courier New" w:hAnsi="Courier New"/>
          <w:b/>
          <w:bCs/>
          <w:color w:val="1B2A4A"/>
          <w:sz w:val="18"/>
          <w:szCs w:val="18"/>
        </w:rPr>
        <w:t xml:space="preserve">§13.2.b  </w:t>
      </w:r>
      <w:r>
        <w:rPr>
          <w:rFonts w:ascii="Garamond" w:cs="Garamond" w:eastAsia="Garamond" w:hAnsi="Garamond"/>
          <w:b/>
          <w:bCs/>
          <w:color w:val="1B2A4A"/>
          <w:sz w:val="22"/>
          <w:szCs w:val="22"/>
        </w:rPr>
        <w:t xml:space="preserve">Legal Sync</w:t>
      </w:r>
    </w:p>
    <w:p>
      <w:pPr>
        <w:spacing w:after="120" w:before="0"/>
        <w:ind w:left="863"/>
        <w:jc w:val="both"/>
      </w:pPr>
      <w:r>
        <w:rPr>
          <w:rFonts w:ascii="Garamond" w:cs="Garamond" w:eastAsia="Garamond" w:hAnsi="Garamond"/>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863"/>
      </w:pPr>
      <w:r>
        <w:rPr>
          <w:rFonts w:ascii="Courier New" w:cs="Courier New" w:eastAsia="Courier New" w:hAnsi="Courier New"/>
          <w:b/>
          <w:bCs/>
          <w:color w:val="1B2A4A"/>
          <w:sz w:val="18"/>
          <w:szCs w:val="18"/>
        </w:rPr>
        <w:t xml:space="preserve">§13.2.c  </w:t>
      </w:r>
      <w:r>
        <w:rPr>
          <w:rFonts w:ascii="Garamond" w:cs="Garamond" w:eastAsia="Garamond" w:hAnsi="Garamond"/>
          <w:b/>
          <w:bCs/>
          <w:color w:val="1B2A4A"/>
          <w:sz w:val="22"/>
          <w:szCs w:val="22"/>
        </w:rPr>
        <w:t xml:space="preserve">The Provisional Membership Period</w:t>
      </w:r>
    </w:p>
    <w:p>
      <w:pPr>
        <w:spacing w:after="120" w:before="0"/>
        <w:ind w:left="863"/>
        <w:jc w:val="both"/>
      </w:pPr>
      <w:r>
        <w:rPr>
          <w:rFonts w:ascii="Garamond" w:cs="Garamond" w:eastAsia="Garamond" w:hAnsi="Garamond"/>
          <w:color w:val="2a2520"/>
          <w:sz w:val="22"/>
          <w:szCs w:val="22"/>
        </w:rPr>
        <w:t xml:space="preserve">Provisional Membership Period — upon passing the Statehood Audit, the territory enters a Provisional Membership Period of between 365 and 900 days (Legislature defines by statute). Clean completion results in automatic Statehood — no further action required.</w:t>
      </w:r>
    </w:p>
    <w:p>
      <w:pPr>
        <w:spacing w:after="60" w:before="200"/>
        <w:ind w:left="863"/>
      </w:pPr>
      <w:r>
        <w:rPr>
          <w:rFonts w:ascii="Courier New" w:cs="Courier New" w:eastAsia="Courier New" w:hAnsi="Courier New"/>
          <w:b/>
          <w:bCs/>
          <w:color w:val="1B2A4A"/>
          <w:sz w:val="18"/>
          <w:szCs w:val="18"/>
        </w:rPr>
        <w:t xml:space="preserve">§13.2.d  </w:t>
      </w:r>
      <w:r>
        <w:rPr>
          <w:rFonts w:ascii="Garamond" w:cs="Garamond" w:eastAsia="Garamond" w:hAnsi="Garamond"/>
          <w:b/>
          <w:bCs/>
          <w:color w:val="1B2A4A"/>
          <w:sz w:val="22"/>
          <w:szCs w:val="22"/>
        </w:rPr>
        <w:t xml:space="preserve">Partial Territory Statehood</w:t>
      </w:r>
    </w:p>
    <w:p>
      <w:pPr>
        <w:spacing w:after="120" w:before="0"/>
        <w:ind w:left="863"/>
        <w:jc w:val="both"/>
      </w:pPr>
      <w:r>
        <w:rPr>
          <w:rFonts w:ascii="Garamond" w:cs="Garamond" w:eastAsia="Garamond" w:hAnsi="Garamond"/>
          <w:color w:val="2a2520"/>
          <w:sz w:val="22"/>
          <w:szCs w:val="22"/>
        </w:rPr>
        <w:t xml:space="preserve">Partial Territory Statehood — 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863"/>
      </w:pPr>
      <w:r>
        <w:rPr>
          <w:rFonts w:ascii="Courier New" w:cs="Courier New" w:eastAsia="Courier New" w:hAnsi="Courier New"/>
          <w:b/>
          <w:bCs/>
          <w:color w:val="1B2A4A"/>
          <w:sz w:val="18"/>
          <w:szCs w:val="18"/>
        </w:rPr>
        <w:t xml:space="preserve">§13.2.e  </w:t>
      </w:r>
      <w:r>
        <w:rPr>
          <w:rFonts w:ascii="Garamond" w:cs="Garamond" w:eastAsia="Garamond" w:hAnsi="Garamond"/>
          <w:b/>
          <w:bCs/>
          <w:color w:val="1B2A4A"/>
          <w:sz w:val="22"/>
          <w:szCs w:val="22"/>
        </w:rPr>
        <w:t xml:space="preserve">Minimum Democratic Legitimacy</w:t>
      </w:r>
    </w:p>
    <w:p>
      <w:pPr>
        <w:spacing w:after="120" w:before="0"/>
        <w:ind w:left="863"/>
        <w:jc w:val="both"/>
      </w:pPr>
      <w:r>
        <w:rPr>
          <w:rFonts w:ascii="Garamond" w:cs="Garamond" w:eastAsia="Garamond" w:hAnsi="Garamond"/>
          <w:color w:val="2a2520"/>
          <w:sz w:val="22"/>
          <w:szCs w:val="22"/>
        </w:rPr>
        <w:t xml:space="preserve">Minimum Democratic Legitimacy — 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w:t>
      </w:r>
    </w:p>
    <w:p>
      <w:pPr>
        <w:spacing w:after="60" w:before="200"/>
        <w:ind w:left="863"/>
      </w:pPr>
      <w:r>
        <w:rPr>
          <w:rFonts w:ascii="Courier New" w:cs="Courier New" w:eastAsia="Courier New" w:hAnsi="Courier New"/>
          <w:b/>
          <w:bCs/>
          <w:color w:val="1B2A4A"/>
          <w:sz w:val="18"/>
          <w:szCs w:val="18"/>
        </w:rPr>
        <w:t xml:space="preserve">§13.2.f  </w:t>
      </w:r>
      <w:r>
        <w:rPr>
          <w:rFonts w:ascii="Garamond" w:cs="Garamond" w:eastAsia="Garamond" w:hAnsi="Garamond"/>
          <w:b/>
          <w:bCs/>
          <w:color w:val="1B2A4A"/>
          <w:sz w:val="22"/>
          <w:szCs w:val="22"/>
        </w:rPr>
        <w:t xml:space="preserve">Territorial Minimum Institutional Floor</w:t>
      </w:r>
    </w:p>
    <w:p>
      <w:pPr>
        <w:spacing w:after="120" w:before="0"/>
        <w:ind w:left="863"/>
        <w:jc w:val="both"/>
      </w:pPr>
      <w:r>
        <w:rPr>
          <w:rFonts w:ascii="Garamond" w:cs="Garamond" w:eastAsia="Garamond" w:hAnsi="Garamond"/>
          <w:color w:val="2a2520"/>
          <w:sz w:val="22"/>
          <w:szCs w:val="22"/>
        </w:rPr>
        <w:t xml:space="preserve">Territorial Minimum Institutional Floor — 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863"/>
      </w:pPr>
      <w:r>
        <w:rPr>
          <w:rFonts w:ascii="Courier New" w:cs="Courier New" w:eastAsia="Courier New" w:hAnsi="Courier New"/>
          <w:b/>
          <w:bCs/>
          <w:color w:val="1B2A4A"/>
          <w:sz w:val="18"/>
          <w:szCs w:val="18"/>
        </w:rPr>
        <w:t xml:space="preserve">§13.2.g  </w:t>
      </w:r>
      <w:r>
        <w:rPr>
          <w:rFonts w:ascii="Garamond" w:cs="Garamond" w:eastAsia="Garamond" w:hAnsi="Garamond"/>
          <w:b/>
          <w:bCs/>
          <w:color w:val="1B2A4A"/>
          <w:sz w:val="22"/>
          <w:szCs w:val="22"/>
        </w:rPr>
        <w:t xml:space="preserve">Conflict-Affected State Provisional Status</w:t>
      </w:r>
    </w:p>
    <w:p>
      <w:pPr>
        <w:spacing w:after="120" w:before="0"/>
        <w:ind w:left="863"/>
        <w:jc w:val="both"/>
      </w:pPr>
      <w:r>
        <w:rPr>
          <w:rFonts w:ascii="Garamond" w:cs="Garamond" w:eastAsia="Garamond" w:hAnsi="Garamond"/>
          <w:color w:val="2a2520"/>
          <w:sz w:val="22"/>
          <w:szCs w:val="22"/>
        </w:rPr>
        <w:t xml:space="preserve">Conflict-Affected State Provisional Status — 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431"/>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Mandatory Devolution</w:t>
      </w:r>
    </w:p>
    <w:p>
      <w:pPr>
        <w:spacing w:after="120" w:before="0"/>
        <w:ind w:left="431"/>
        <w:jc w:val="both"/>
      </w:pPr>
      <w:r>
        <w:rPr>
          <w:rFonts w:ascii="Garamond" w:cs="Garamond" w:eastAsia="Garamond" w:hAnsi="Garamond"/>
          <w:color w:val="2a2520"/>
          <w:sz w:val="22"/>
          <w:szCs w:val="22"/>
        </w:rPr>
        <w:t xml:space="preserve">Mandatory State Devolution — 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863"/>
      </w:pPr>
      <w:r>
        <w:rPr>
          <w:rFonts w:ascii="Courier New" w:cs="Courier New" w:eastAsia="Courier New" w:hAnsi="Courier New"/>
          <w:b/>
          <w:bCs/>
          <w:color w:val="1B2A4A"/>
          <w:sz w:val="18"/>
          <w:szCs w:val="18"/>
        </w:rPr>
        <w:t xml:space="preserve">§13.3.a  </w:t>
      </w:r>
      <w:r>
        <w:rPr>
          <w:rFonts w:ascii="Garamond" w:cs="Garamond" w:eastAsia="Garamond" w:hAnsi="Garamond"/>
          <w:b/>
          <w:bCs/>
          <w:color w:val="1B2A4A"/>
          <w:sz w:val="22"/>
          <w:szCs w:val="22"/>
        </w:rPr>
        <w:t xml:space="preserve">Devolution Triggers</w:t>
      </w:r>
    </w:p>
    <w:p>
      <w:pPr>
        <w:spacing w:after="120" w:before="0"/>
        <w:ind w:left="863"/>
        <w:jc w:val="both"/>
      </w:pPr>
      <w:r>
        <w:rPr>
          <w:rFonts w:ascii="Garamond" w:cs="Garamond" w:eastAsia="Garamond" w:hAnsi="Garamond"/>
          <w:color w:val="2a2520"/>
          <w:sz w:val="22"/>
          <w:szCs w:val="22"/>
        </w:rPr>
        <w:t xml:space="preserve">Devolution Triggers — 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863"/>
      </w:pPr>
      <w:r>
        <w:rPr>
          <w:rFonts w:ascii="Courier New" w:cs="Courier New" w:eastAsia="Courier New" w:hAnsi="Courier New"/>
          <w:b/>
          <w:bCs/>
          <w:color w:val="1B2A4A"/>
          <w:sz w:val="18"/>
          <w:szCs w:val="18"/>
        </w:rPr>
        <w:t xml:space="preserve">§13.3.b  </w:t>
      </w:r>
      <w:r>
        <w:rPr>
          <w:rFonts w:ascii="Garamond" w:cs="Garamond" w:eastAsia="Garamond" w:hAnsi="Garamond"/>
          <w:b/>
          <w:bCs/>
          <w:color w:val="1B2A4A"/>
          <w:sz w:val="22"/>
          <w:szCs w:val="22"/>
        </w:rPr>
        <w:t xml:space="preserve">Early Warning — Years 1 and 2</w:t>
      </w:r>
    </w:p>
    <w:p>
      <w:pPr>
        <w:spacing w:after="120" w:before="0"/>
        <w:ind w:left="863"/>
        <w:jc w:val="both"/>
      </w:pPr>
      <w:r>
        <w:rPr>
          <w:rFonts w:ascii="Garamond" w:cs="Garamond" w:eastAsia="Garamond" w:hAnsi="Garamond"/>
          <w:color w:val="2a2520"/>
          <w:sz w:val="22"/>
          <w:szCs w:val="22"/>
        </w:rPr>
        <w:t xml:space="preserve">Early Warning — 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863"/>
      </w:pPr>
      <w:r>
        <w:rPr>
          <w:rFonts w:ascii="Courier New" w:cs="Courier New" w:eastAsia="Courier New" w:hAnsi="Courier New"/>
          <w:b/>
          <w:bCs/>
          <w:color w:val="1B2A4A"/>
          <w:sz w:val="18"/>
          <w:szCs w:val="18"/>
        </w:rPr>
        <w:t xml:space="preserve">§13.3.c  </w:t>
      </w:r>
      <w:r>
        <w:rPr>
          <w:rFonts w:ascii="Garamond" w:cs="Garamond" w:eastAsia="Garamond" w:hAnsi="Garamond"/>
          <w:b/>
          <w:bCs/>
          <w:color w:val="1B2A4A"/>
          <w:sz w:val="22"/>
          <w:szCs w:val="22"/>
        </w:rPr>
        <w:t xml:space="preserve">Devolution Vote — Year 3</w:t>
      </w:r>
    </w:p>
    <w:p>
      <w:pPr>
        <w:spacing w:after="120" w:before="0"/>
        <w:ind w:left="863"/>
        <w:jc w:val="both"/>
      </w:pPr>
      <w:r>
        <w:rPr>
          <w:rFonts w:ascii="Garamond" w:cs="Garamond" w:eastAsia="Garamond" w:hAnsi="Garamond"/>
          <w:color w:val="2a2520"/>
          <w:sz w:val="22"/>
          <w:szCs w:val="22"/>
        </w:rPr>
        <w:t xml:space="preserve">Devolution Vote — 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863"/>
      </w:pPr>
      <w:r>
        <w:rPr>
          <w:rFonts w:ascii="Courier New" w:cs="Courier New" w:eastAsia="Courier New" w:hAnsi="Courier New"/>
          <w:b/>
          <w:bCs/>
          <w:color w:val="1B2A4A"/>
          <w:sz w:val="18"/>
          <w:szCs w:val="18"/>
        </w:rPr>
        <w:t xml:space="preserve">§13.3.d  </w:t>
      </w:r>
      <w:r>
        <w:rPr>
          <w:rFonts w:ascii="Garamond" w:cs="Garamond" w:eastAsia="Garamond" w:hAnsi="Garamond"/>
          <w:b/>
          <w:bCs/>
          <w:color w:val="1B2A4A"/>
          <w:sz w:val="22"/>
          <w:szCs w:val="22"/>
        </w:rPr>
        <w:t xml:space="preserve">Effect of Mandatory Devolution</w:t>
      </w:r>
    </w:p>
    <w:p>
      <w:pPr>
        <w:spacing w:after="120" w:before="0"/>
        <w:ind w:left="863"/>
        <w:jc w:val="both"/>
      </w:pPr>
      <w:r>
        <w:rPr>
          <w:rFonts w:ascii="Garamond" w:cs="Garamond" w:eastAsia="Garamond" w:hAnsi="Garamond"/>
          <w:color w:val="2a2520"/>
          <w:sz w:val="22"/>
          <w:szCs w:val="22"/>
        </w:rPr>
        <w:t xml:space="preserve">Effect of Mandatory Devolution — the devolving State's territory is restructured: subdivided, merged with adjacent States or Territories, or maintained as a Territory under federal administration pending re-qualification. Citizens retain all Article I rights throughout. BNF benefits continue without interruption. The State's constitutional status is suspended, not terminated — the path to re-qualification is always open.</w:t>
      </w:r>
    </w:p>
    <w:p>
      <w:pPr>
        <w:spacing w:after="60" w:before="200"/>
        <w:ind w:left="863"/>
      </w:pPr>
      <w:r>
        <w:rPr>
          <w:rFonts w:ascii="Courier New" w:cs="Courier New" w:eastAsia="Courier New" w:hAnsi="Courier New"/>
          <w:b/>
          <w:bCs/>
          <w:color w:val="1B2A4A"/>
          <w:sz w:val="18"/>
          <w:szCs w:val="18"/>
        </w:rPr>
        <w:t xml:space="preserve">§13.3.e  </w:t>
      </w:r>
      <w:r>
        <w:rPr>
          <w:rFonts w:ascii="Garamond" w:cs="Garamond" w:eastAsia="Garamond" w:hAnsi="Garamond"/>
          <w:b/>
          <w:bCs/>
          <w:color w:val="1B2A4A"/>
          <w:sz w:val="22"/>
          <w:szCs w:val="22"/>
        </w:rPr>
        <w:t xml:space="preserve">Constitutional Challenge to Devolution</w:t>
      </w:r>
    </w:p>
    <w:p>
      <w:pPr>
        <w:spacing w:after="120" w:before="0"/>
        <w:ind w:left="863"/>
        <w:jc w:val="both"/>
      </w:pPr>
      <w:r>
        <w:rPr>
          <w:rFonts w:ascii="Garamond" w:cs="Garamond" w:eastAsia="Garamond" w:hAnsi="Garamond"/>
          <w:color w:val="2a2520"/>
          <w:sz w:val="22"/>
          <w:szCs w:val="22"/>
        </w:rPr>
        <w:t xml:space="preserve">Re-Qualification Pathway — a devolving jurisdiction may re-qualify for Statehood by completing the full Statehood process under §13.2 from territorial status. No minimum waiting period before beginning re-qualification. The process is the same as the initial Statehood process — the jurisdiction must meet all criteria afresh.</w:t>
      </w:r>
    </w:p>
    <w:p>
      <w:pPr>
        <w:spacing w:after="60" w:before="200"/>
        <w:ind w:left="431"/>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Voluntary Devolution</w:t>
      </w:r>
    </w:p>
    <w:p>
      <w:pPr>
        <w:spacing w:after="120" w:before="0"/>
        <w:ind w:left="431"/>
        <w:jc w:val="both"/>
      </w:pPr>
      <w:r>
        <w:rPr>
          <w:rFonts w:ascii="Garamond" w:cs="Garamond" w:eastAsia="Garamond" w:hAnsi="Garamond"/>
          <w:color w:val="2a2520"/>
          <w:sz w:val="22"/>
          <w:szCs w:val="22"/>
        </w:rPr>
        <w:t xml:space="preserve">Voluntary State Devolution — 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863"/>
      </w:pPr>
      <w:r>
        <w:rPr>
          <w:rFonts w:ascii="Courier New" w:cs="Courier New" w:eastAsia="Courier New" w:hAnsi="Courier New"/>
          <w:b/>
          <w:bCs/>
          <w:color w:val="1B2A4A"/>
          <w:sz w:val="18"/>
          <w:szCs w:val="18"/>
        </w:rPr>
        <w:t xml:space="preserve">§13.4.a  </w:t>
      </w:r>
      <w:r>
        <w:rPr>
          <w:rFonts w:ascii="Garamond" w:cs="Garamond" w:eastAsia="Garamond" w:hAnsi="Garamond"/>
          <w:b/>
          <w:bCs/>
          <w:color w:val="1B2A4A"/>
          <w:sz w:val="22"/>
          <w:szCs w:val="22"/>
        </w:rPr>
        <w:t xml:space="preserve">Voluntary Devolution Vote</w:t>
      </w:r>
    </w:p>
    <w:p>
      <w:pPr>
        <w:spacing w:after="120" w:before="0"/>
        <w:ind w:left="863"/>
        <w:jc w:val="both"/>
      </w:pPr>
      <w:r>
        <w:rPr>
          <w:rFonts w:ascii="Garamond" w:cs="Garamond" w:eastAsia="Garamond" w:hAnsi="Garamond"/>
          <w:color w:val="2a2520"/>
          <w:sz w:val="22"/>
          <w:szCs w:val="22"/>
        </w:rPr>
        <w:t xml:space="preserve">Voluntary Devolution Referendum — 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863"/>
      </w:pPr>
      <w:r>
        <w:rPr>
          <w:rFonts w:ascii="Courier New" w:cs="Courier New" w:eastAsia="Courier New" w:hAnsi="Courier New"/>
          <w:b/>
          <w:bCs/>
          <w:color w:val="1B2A4A"/>
          <w:sz w:val="18"/>
          <w:szCs w:val="18"/>
        </w:rPr>
        <w:t xml:space="preserve">§13.4.b  </w:t>
      </w:r>
      <w:r>
        <w:rPr>
          <w:rFonts w:ascii="Garamond" w:cs="Garamond" w:eastAsia="Garamond" w:hAnsi="Garamond"/>
          <w:b/>
          <w:bCs/>
          <w:color w:val="1B2A4A"/>
          <w:sz w:val="22"/>
          <w:szCs w:val="22"/>
        </w:rPr>
        <w:t xml:space="preserve">Fiscal Transparency Requirement</w:t>
      </w:r>
    </w:p>
    <w:p>
      <w:pPr>
        <w:spacing w:after="120" w:before="0"/>
        <w:ind w:left="863"/>
        <w:jc w:val="both"/>
      </w:pPr>
      <w:r>
        <w:rPr>
          <w:rFonts w:ascii="Garamond" w:cs="Garamond" w:eastAsia="Garamond" w:hAnsi="Garamond"/>
          <w:color w:val="2a2520"/>
          <w:sz w:val="22"/>
          <w:szCs w:val="22"/>
        </w:rPr>
        <w:t xml:space="preserve">Negotiated Restructuring Agreement — following a successful referendum, the State and the federal government negotiate restructuring terms: asset and liability allocation, transition timeline, continuing federal obligations, and constitutional status of successor jurisdictions. Senate approval by 2/3 majority. Published to the NRS and legally binding.</w:t>
      </w:r>
    </w:p>
    <w:p>
      <w:pPr>
        <w:spacing w:after="60" w:before="200"/>
        <w:ind w:left="863"/>
      </w:pPr>
      <w:r>
        <w:rPr>
          <w:rFonts w:ascii="Courier New" w:cs="Courier New" w:eastAsia="Courier New" w:hAnsi="Courier New"/>
          <w:b/>
          <w:bCs/>
          <w:color w:val="1B2A4A"/>
          <w:sz w:val="18"/>
          <w:szCs w:val="18"/>
        </w:rPr>
        <w:t xml:space="preserve">§13.4.c  </w:t>
      </w:r>
      <w:r>
        <w:rPr>
          <w:rFonts w:ascii="Garamond" w:cs="Garamond" w:eastAsia="Garamond" w:hAnsi="Garamond"/>
          <w:b/>
          <w:bCs/>
          <w:color w:val="1B2A4A"/>
          <w:sz w:val="22"/>
          <w:szCs w:val="22"/>
        </w:rPr>
        <w:t xml:space="preserve">Net-Contributor Transparency</w:t>
      </w:r>
    </w:p>
    <w:p>
      <w:pPr>
        <w:spacing w:after="120" w:before="0"/>
        <w:ind w:left="863"/>
        <w:jc w:val="both"/>
      </w:pPr>
      <w:r>
        <w:rPr>
          <w:rFonts w:ascii="Garamond" w:cs="Garamond" w:eastAsia="Garamond" w:hAnsi="Garamond"/>
          <w:color w:val="2a2520"/>
          <w:sz w:val="22"/>
          <w:szCs w:val="22"/>
        </w:rPr>
        <w:t xml:space="preserve">Transition Plan — specifies which functions transfer and when, how citizen rights are maintained during transition, and what happens if transition encounters implementation problems. The LI monitors Transition Plan implementation and publishes quarterly compliance reports.</w:t>
      </w:r>
    </w:p>
    <w:p>
      <w:pPr>
        <w:spacing w:after="60" w:before="200"/>
        <w:ind w:left="863"/>
      </w:pPr>
      <w:r>
        <w:rPr>
          <w:rFonts w:ascii="Courier New" w:cs="Courier New" w:eastAsia="Courier New" w:hAnsi="Courier New"/>
          <w:b/>
          <w:bCs/>
          <w:color w:val="1B2A4A"/>
          <w:sz w:val="18"/>
          <w:szCs w:val="18"/>
        </w:rPr>
        <w:t xml:space="preserve">§13.4.d  </w:t>
      </w:r>
      <w:r>
        <w:rPr>
          <w:rFonts w:ascii="Garamond" w:cs="Garamond" w:eastAsia="Garamond" w:hAnsi="Garamond"/>
          <w:b/>
          <w:bCs/>
          <w:color w:val="1B2A4A"/>
          <w:sz w:val="22"/>
          <w:szCs w:val="22"/>
        </w:rPr>
        <w:t xml:space="preserve">Effect of Voluntary Devolution</w:t>
      </w:r>
    </w:p>
    <w:p>
      <w:pPr>
        <w:spacing w:after="120" w:before="0"/>
        <w:ind w:left="863"/>
        <w:jc w:val="both"/>
      </w:pPr>
      <w:r>
        <w:rPr>
          <w:rFonts w:ascii="Garamond" w:cs="Garamond" w:eastAsia="Garamond" w:hAnsi="Garamond"/>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863"/>
      </w:pPr>
      <w:r>
        <w:rPr>
          <w:rFonts w:ascii="Courier New" w:cs="Courier New" w:eastAsia="Courier New" w:hAnsi="Courier New"/>
          <w:b/>
          <w:bCs/>
          <w:color w:val="1B2A4A"/>
          <w:sz w:val="18"/>
          <w:szCs w:val="18"/>
        </w:rPr>
        <w:t xml:space="preserve">§13.4.e  </w:t>
      </w:r>
      <w:r>
        <w:rPr>
          <w:rFonts w:ascii="Garamond" w:cs="Garamond" w:eastAsia="Garamond" w:hAnsi="Garamond"/>
          <w:b/>
          <w:bCs/>
          <w:color w:val="1B2A4A"/>
          <w:sz w:val="22"/>
          <w:szCs w:val="22"/>
        </w:rPr>
        <w:t xml:space="preserve">Negotiated Devolution Pathway</w:t>
      </w:r>
    </w:p>
    <w:p>
      <w:pPr>
        <w:spacing w:after="120" w:before="0"/>
        <w:ind w:left="863"/>
        <w:jc w:val="both"/>
      </w:pPr>
      <w:r>
        <w:rPr>
          <w:rFonts w:ascii="Garamond" w:cs="Garamond" w:eastAsia="Garamond" w:hAnsi="Garamond"/>
          <w:color w:val="2a2520"/>
          <w:sz w:val="22"/>
          <w:szCs w:val="22"/>
        </w:rPr>
        <w:t xml:space="preserve">Voluntary Devolution and BNF — during any voluntary devolution process, BNF benefits continue without interruption. The Transition Plan must specify how BNF delivery continues during the transition. BNF continuity is non-negotiable in the restructuring agreement.</w:t>
      </w:r>
    </w:p>
    <w:p>
      <w:pPr>
        <w:spacing w:after="60" w:before="200"/>
        <w:ind w:left="431"/>
      </w:pPr>
      <w:r>
        <w:rPr>
          <w:rFonts w:ascii="Courier New" w:cs="Courier New" w:eastAsia="Courier New" w:hAnsi="Courier New"/>
          <w:b/>
          <w:bCs/>
          <w:color w:val="1B2A4A"/>
          <w:sz w:val="18"/>
          <w:szCs w:val="18"/>
        </w:rPr>
        <w:t xml:space="preserve">§13.6  </w:t>
      </w:r>
      <w:r>
        <w:rPr>
          <w:rFonts w:ascii="Garamond" w:cs="Garamond" w:eastAsia="Garamond" w:hAnsi="Garamond"/>
          <w:b/>
          <w:bCs/>
          <w:color w:val="1B2A4A"/>
          <w:sz w:val="22"/>
          <w:szCs w:val="22"/>
        </w:rPr>
        <w:t xml:space="preserve">Voluntary Incorporation</w:t>
      </w:r>
    </w:p>
    <w:p>
      <w:pPr>
        <w:spacing w:after="120" w:before="0"/>
        <w:ind w:left="431"/>
        <w:jc w:val="both"/>
      </w:pPr>
      <w:r>
        <w:rPr>
          <w:rFonts w:ascii="Garamond" w:cs="Garamond" w:eastAsia="Garamond" w:hAnsi="Garamond"/>
          <w:color w:val="2a2520"/>
          <w:sz w:val="22"/>
          <w:szCs w:val="22"/>
        </w:rPr>
        <w:t xml:space="preserve">A devolved State loses its Senate seats on the date the Devolution Motion passes. It retains House seats proportional to population. Federal law continues to apply. The State government continues as territorial administration under federal oversight. All effects are published to the NRS the moment the Motion passes.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XIV — Indigenous Sovereignty</w:t>
      </w:r>
    </w:p>
    <w:p>
      <w:pPr>
        <w:spacing w:after="120"/>
      </w:pPr>
    </w:p>
    <w:p>
      <w:pPr>
        <w:spacing w:after="60" w:before="200"/>
        <w:ind w:left="431"/>
      </w:pPr>
      <w:r>
        <w:rPr>
          <w:rFonts w:ascii="Courier New" w:cs="Courier New" w:eastAsia="Courier New" w:hAnsi="Courier New"/>
          <w:b/>
          <w:bCs/>
          <w:color w:val="1B2A4A"/>
          <w:sz w:val="18"/>
          <w:szCs w:val="18"/>
        </w:rPr>
        <w:t xml:space="preserve">§14.1  </w:t>
      </w:r>
      <w:r>
        <w:rPr>
          <w:rFonts w:ascii="Garamond" w:cs="Garamond" w:eastAsia="Garamond" w:hAnsi="Garamond"/>
          <w:b/>
          <w:bCs/>
          <w:color w:val="1B2A4A"/>
          <w:sz w:val="22"/>
          <w:szCs w:val="22"/>
        </w:rPr>
        <w:t xml:space="preserve">Acknowledgment of Prior Sovereignty</w:t>
      </w:r>
    </w:p>
    <w:p>
      <w:pPr>
        <w:spacing w:after="120" w:before="0"/>
        <w:ind w:left="431"/>
        <w:jc w:val="both"/>
      </w:pPr>
      <w:r>
        <w:rPr>
          <w:rFonts w:ascii="Garamond" w:cs="Garamond" w:eastAsia="Garamond" w:hAnsi="Garamond"/>
          <w:color w:val="2a2520"/>
          <w:sz w:val="22"/>
          <w:szCs w:val="22"/>
        </w:rPr>
        <w:t xml:space="preserve">Indigenous Nation Compact — 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pPr>
      <w:r>
        <w:rPr>
          <w:rFonts w:ascii="Courier New" w:cs="Courier New" w:eastAsia="Courier New" w:hAnsi="Courier New"/>
          <w:b/>
          <w:bCs/>
          <w:color w:val="1B2A4A"/>
          <w:sz w:val="18"/>
          <w:szCs w:val="18"/>
        </w:rPr>
        <w:t xml:space="preserve">§14.2  </w:t>
      </w:r>
      <w:r>
        <w:rPr>
          <w:rFonts w:ascii="Garamond" w:cs="Garamond" w:eastAsia="Garamond" w:hAnsi="Garamond"/>
          <w:b/>
          <w:bCs/>
          <w:color w:val="1B2A4A"/>
          <w:sz w:val="22"/>
          <w:szCs w:val="22"/>
        </w:rPr>
        <w:t xml:space="preserve">Compact Formation</w:t>
      </w:r>
    </w:p>
    <w:p>
      <w:pPr>
        <w:spacing w:after="120" w:before="0"/>
        <w:ind w:left="431"/>
        <w:jc w:val="both"/>
      </w:pPr>
      <w:r>
        <w:rPr>
          <w:rFonts w:ascii="Garamond" w:cs="Garamond" w:eastAsia="Garamond" w:hAnsi="Garamond"/>
          <w:color w:val="2a2520"/>
          <w:sz w:val="22"/>
          <w:szCs w:val="22"/>
        </w:rPr>
        <w:t xml:space="preserve">Compact Formation — an Indigenous Nation may enter a compact with the Republic by submitting a compact proposal to the Senate. The Senate must respond within 90 days. Compact terms are negotiated between the Nation and the PM's domestic affairs office, with JI oversight. Compacts take effect upon 2/3 Senate ratification and Indigenous Nation ratification by their own constitutional process.</w:t>
      </w:r>
    </w:p>
    <w:p>
      <w:pPr>
        <w:spacing w:after="60" w:before="200"/>
        <w:ind w:left="863"/>
      </w:pPr>
      <w:r>
        <w:rPr>
          <w:rFonts w:ascii="Courier New" w:cs="Courier New" w:eastAsia="Courier New" w:hAnsi="Courier New"/>
          <w:b/>
          <w:bCs/>
          <w:color w:val="1B2A4A"/>
          <w:sz w:val="18"/>
          <w:szCs w:val="18"/>
        </w:rPr>
        <w:t xml:space="preserve">§14.3.a  </w:t>
      </w:r>
      <w:r>
        <w:rPr>
          <w:rFonts w:ascii="Garamond" w:cs="Garamond" w:eastAsia="Garamond" w:hAnsi="Garamond"/>
          <w:b/>
          <w:bCs/>
          <w:color w:val="1B2A4A"/>
          <w:sz w:val="22"/>
          <w:szCs w:val="22"/>
        </w:rPr>
        <w:t xml:space="preserve">Article I Rights in Compact Territories</w:t>
      </w:r>
    </w:p>
    <w:p>
      <w:pPr>
        <w:spacing w:after="120" w:before="0"/>
        <w:ind w:left="863"/>
        <w:jc w:val="both"/>
      </w:pPr>
      <w:r>
        <w:rPr>
          <w:rFonts w:ascii="Garamond" w:cs="Garamond" w:eastAsia="Garamond" w:hAnsi="Garamond"/>
          <w:color w:val="2a2520"/>
          <w:sz w:val="22"/>
          <w:szCs w:val="22"/>
        </w:rPr>
        <w:t xml:space="preserve">Article I Rights in Compact Territories — 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863"/>
      </w:pPr>
      <w:r>
        <w:rPr>
          <w:rFonts w:ascii="Courier New" w:cs="Courier New" w:eastAsia="Courier New" w:hAnsi="Courier New"/>
          <w:b/>
          <w:bCs/>
          <w:color w:val="1B2A4A"/>
          <w:sz w:val="18"/>
          <w:szCs w:val="18"/>
        </w:rPr>
        <w:t xml:space="preserve">§14.3.b  </w:t>
      </w:r>
      <w:r>
        <w:rPr>
          <w:rFonts w:ascii="Garamond" w:cs="Garamond" w:eastAsia="Garamond" w:hAnsi="Garamond"/>
          <w:b/>
          <w:bCs/>
          <w:color w:val="1B2A4A"/>
          <w:sz w:val="22"/>
          <w:szCs w:val="22"/>
        </w:rPr>
        <w:t xml:space="preserve">Compact Judicial Authority</w:t>
      </w:r>
    </w:p>
    <w:p>
      <w:pPr>
        <w:spacing w:after="120" w:before="0"/>
        <w:ind w:left="863"/>
        <w:jc w:val="both"/>
      </w:pPr>
      <w:r>
        <w:rPr>
          <w:rFonts w:ascii="Garamond" w:cs="Garamond" w:eastAsia="Garamond" w:hAnsi="Garamond"/>
          <w:color w:val="2a2520"/>
          <w:sz w:val="22"/>
          <w:szCs w:val="22"/>
        </w:rPr>
        <w:t xml:space="preserve">Compact Judicial Authority — 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863"/>
      </w:pPr>
      <w:r>
        <w:rPr>
          <w:rFonts w:ascii="Courier New" w:cs="Courier New" w:eastAsia="Courier New" w:hAnsi="Courier New"/>
          <w:b/>
          <w:bCs/>
          <w:color w:val="1B2A4A"/>
          <w:sz w:val="18"/>
          <w:szCs w:val="18"/>
        </w:rPr>
        <w:t xml:space="preserve">§14.3.c  </w:t>
      </w:r>
      <w:r>
        <w:rPr>
          <w:rFonts w:ascii="Garamond" w:cs="Garamond" w:eastAsia="Garamond" w:hAnsi="Garamond"/>
          <w:b/>
          <w:bCs/>
          <w:color w:val="1B2A4A"/>
          <w:sz w:val="22"/>
          <w:szCs w:val="22"/>
        </w:rPr>
        <w:t xml:space="preserve">Land and Resource Sovereignty</w:t>
      </w:r>
    </w:p>
    <w:p>
      <w:pPr>
        <w:spacing w:after="120" w:before="0"/>
        <w:ind w:left="863"/>
        <w:jc w:val="both"/>
      </w:pPr>
      <w:r>
        <w:rPr>
          <w:rFonts w:ascii="Garamond" w:cs="Garamond" w:eastAsia="Garamond" w:hAnsi="Garamond"/>
          <w:color w:val="2a2520"/>
          <w:sz w:val="22"/>
          <w:szCs w:val="22"/>
        </w:rPr>
        <w:t xml:space="preserve">Land and Resource Sovereignty — 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863"/>
      </w:pPr>
      <w:r>
        <w:rPr>
          <w:rFonts w:ascii="Courier New" w:cs="Courier New" w:eastAsia="Courier New" w:hAnsi="Courier New"/>
          <w:b/>
          <w:bCs/>
          <w:color w:val="1B2A4A"/>
          <w:sz w:val="18"/>
          <w:szCs w:val="18"/>
        </w:rPr>
        <w:t xml:space="preserve">§14.3.d  </w:t>
      </w:r>
      <w:r>
        <w:rPr>
          <w:rFonts w:ascii="Garamond" w:cs="Garamond" w:eastAsia="Garamond" w:hAnsi="Garamond"/>
          <w:b/>
          <w:bCs/>
          <w:color w:val="1B2A4A"/>
          <w:sz w:val="22"/>
          <w:szCs w:val="22"/>
        </w:rPr>
        <w:t xml:space="preserve">Compact Governance Recognition</w:t>
      </w:r>
    </w:p>
    <w:p>
      <w:pPr>
        <w:spacing w:after="120" w:before="0"/>
        <w:ind w:left="863"/>
        <w:jc w:val="both"/>
      </w:pPr>
      <w:r>
        <w:rPr>
          <w:rFonts w:ascii="Garamond" w:cs="Garamond" w:eastAsia="Garamond" w:hAnsi="Garamond"/>
          <w:color w:val="2a2520"/>
          <w:sz w:val="22"/>
          <w:szCs w:val="22"/>
        </w:rPr>
        <w:t xml:space="preserve">Compact Governance Recognition — 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863"/>
      </w:pPr>
      <w:r>
        <w:rPr>
          <w:rFonts w:ascii="Courier New" w:cs="Courier New" w:eastAsia="Courier New" w:hAnsi="Courier New"/>
          <w:b/>
          <w:bCs/>
          <w:color w:val="1B2A4A"/>
          <w:sz w:val="18"/>
          <w:szCs w:val="18"/>
        </w:rPr>
        <w:t xml:space="preserve">§14.3.e  </w:t>
      </w:r>
      <w:r>
        <w:rPr>
          <w:rFonts w:ascii="Garamond" w:cs="Garamond" w:eastAsia="Garamond" w:hAnsi="Garamond"/>
          <w:b/>
          <w:bCs/>
          <w:color w:val="1B2A4A"/>
          <w:sz w:val="22"/>
          <w:szCs w:val="22"/>
        </w:rPr>
        <w:t xml:space="preserve">Compact Education and Language</w:t>
      </w:r>
    </w:p>
    <w:p>
      <w:pPr>
        <w:spacing w:after="120" w:before="0"/>
        <w:ind w:left="863"/>
        <w:jc w:val="both"/>
      </w:pPr>
      <w:r>
        <w:rPr>
          <w:rFonts w:ascii="Garamond" w:cs="Garamond" w:eastAsia="Garamond" w:hAnsi="Garamond"/>
          <w:color w:val="2a2520"/>
          <w:sz w:val="22"/>
          <w:szCs w:val="22"/>
        </w:rPr>
        <w:t xml:space="preserve">Compact Education and Language — 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863"/>
      </w:pPr>
      <w:r>
        <w:rPr>
          <w:rFonts w:ascii="Courier New" w:cs="Courier New" w:eastAsia="Courier New" w:hAnsi="Courier New"/>
          <w:b/>
          <w:bCs/>
          <w:color w:val="1B2A4A"/>
          <w:sz w:val="18"/>
          <w:szCs w:val="18"/>
        </w:rPr>
        <w:t xml:space="preserve">§14.4.a  </w:t>
      </w:r>
      <w:r>
        <w:rPr>
          <w:rFonts w:ascii="Garamond" w:cs="Garamond" w:eastAsia="Garamond" w:hAnsi="Garamond"/>
          <w:b/>
          <w:bCs/>
          <w:color w:val="1B2A4A"/>
          <w:sz w:val="22"/>
          <w:szCs w:val="22"/>
        </w:rPr>
        <w:t xml:space="preserve">Compact Dispute Resolution</w:t>
      </w:r>
    </w:p>
    <w:p>
      <w:pPr>
        <w:spacing w:after="120" w:before="0"/>
        <w:ind w:left="863"/>
        <w:jc w:val="both"/>
      </w:pPr>
      <w:r>
        <w:rPr>
          <w:rFonts w:ascii="Garamond" w:cs="Garamond" w:eastAsia="Garamond" w:hAnsi="Garamond"/>
          <w:color w:val="2a2520"/>
          <w:sz w:val="22"/>
          <w:szCs w:val="22"/>
        </w:rPr>
        <w:t xml:space="preserve">Compact Dispute Resolution — 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863"/>
      </w:pPr>
      <w:r>
        <w:rPr>
          <w:rFonts w:ascii="Courier New" w:cs="Courier New" w:eastAsia="Courier New" w:hAnsi="Courier New"/>
          <w:b/>
          <w:bCs/>
          <w:color w:val="1B2A4A"/>
          <w:sz w:val="18"/>
          <w:szCs w:val="18"/>
        </w:rPr>
        <w:t xml:space="preserve">§14.4.b  </w:t>
      </w:r>
      <w:r>
        <w:rPr>
          <w:rFonts w:ascii="Garamond" w:cs="Garamond" w:eastAsia="Garamond" w:hAnsi="Garamond"/>
          <w:b/>
          <w:bCs/>
          <w:color w:val="1B2A4A"/>
          <w:sz w:val="22"/>
          <w:szCs w:val="22"/>
        </w:rPr>
        <w:t xml:space="preserve">Compact Review Cycle</w:t>
      </w:r>
    </w:p>
    <w:p>
      <w:pPr>
        <w:spacing w:after="120" w:before="0"/>
        <w:ind w:left="863"/>
        <w:jc w:val="both"/>
      </w:pPr>
      <w:r>
        <w:rPr>
          <w:rFonts w:ascii="Garamond" w:cs="Garamond" w:eastAsia="Garamond" w:hAnsi="Garamond"/>
          <w:color w:val="2a2520"/>
          <w:sz w:val="22"/>
          <w:szCs w:val="22"/>
        </w:rPr>
        <w:t xml:space="preserve">Compact Review Cycle — 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863"/>
      </w:pPr>
      <w:r>
        <w:rPr>
          <w:rFonts w:ascii="Courier New" w:cs="Courier New" w:eastAsia="Courier New" w:hAnsi="Courier New"/>
          <w:b/>
          <w:bCs/>
          <w:color w:val="1B2A4A"/>
          <w:sz w:val="18"/>
          <w:szCs w:val="18"/>
        </w:rPr>
        <w:t xml:space="preserve">§14.4.c  </w:t>
      </w:r>
      <w:r>
        <w:rPr>
          <w:rFonts w:ascii="Garamond" w:cs="Garamond" w:eastAsia="Garamond" w:hAnsi="Garamond"/>
          <w:b/>
          <w:bCs/>
          <w:color w:val="1B2A4A"/>
          <w:sz w:val="22"/>
          <w:szCs w:val="22"/>
        </w:rPr>
        <w:t xml:space="preserve">Compact Termination</w:t>
      </w:r>
    </w:p>
    <w:p>
      <w:pPr>
        <w:spacing w:after="120" w:before="0"/>
        <w:ind w:left="863"/>
        <w:jc w:val="both"/>
      </w:pPr>
      <w:r>
        <w:rPr>
          <w:rFonts w:ascii="Garamond" w:cs="Garamond" w:eastAsia="Garamond" w:hAnsi="Garamond"/>
          <w:color w:val="2a2520"/>
          <w:sz w:val="22"/>
          <w:szCs w:val="22"/>
        </w:rPr>
        <w:t xml:space="preserve">Compact Termination — a compact may be terminated by mutual agreement only. Neither party may unilaterally terminate a compact. If the Nation seeks termination, the Republic must negotiate exit terms within 2 years. If no agreement is reached, the compact continues and the dispute is referred to the SC.</w:t>
      </w:r>
    </w:p>
    <w:p>
      <w:pPr>
        <w:spacing w:after="60" w:before="200"/>
        <w:ind w:left="863"/>
      </w:pPr>
      <w:r>
        <w:rPr>
          <w:rFonts w:ascii="Courier New" w:cs="Courier New" w:eastAsia="Courier New" w:hAnsi="Courier New"/>
          <w:b/>
          <w:bCs/>
          <w:color w:val="1B2A4A"/>
          <w:sz w:val="18"/>
          <w:szCs w:val="18"/>
        </w:rPr>
        <w:t xml:space="preserve">§14.5.a  </w:t>
      </w:r>
      <w:r>
        <w:rPr>
          <w:rFonts w:ascii="Garamond" w:cs="Garamond" w:eastAsia="Garamond" w:hAnsi="Garamond"/>
          <w:b/>
          <w:bCs/>
          <w:color w:val="1B2A4A"/>
          <w:sz w:val="22"/>
          <w:szCs w:val="22"/>
        </w:rPr>
        <w:t xml:space="preserve">Emergency Rights Writ</w:t>
      </w:r>
    </w:p>
    <w:p>
      <w:pPr>
        <w:spacing w:after="120" w:before="0"/>
        <w:ind w:left="863"/>
        <w:jc w:val="both"/>
      </w:pPr>
      <w:r>
        <w:rPr>
          <w:rFonts w:ascii="Garamond" w:cs="Garamond" w:eastAsia="Garamond" w:hAnsi="Garamond"/>
          <w:color w:val="2a2520"/>
          <w:sz w:val="22"/>
          <w:szCs w:val="22"/>
        </w:rPr>
        <w:t xml:space="preserve">Emergency Rights Writ — 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863"/>
      </w:pPr>
      <w:r>
        <w:rPr>
          <w:rFonts w:ascii="Courier New" w:cs="Courier New" w:eastAsia="Courier New" w:hAnsi="Courier New"/>
          <w:b/>
          <w:bCs/>
          <w:color w:val="1B2A4A"/>
          <w:sz w:val="18"/>
          <w:szCs w:val="18"/>
        </w:rPr>
        <w:t xml:space="preserve">§14.5.b  </w:t>
      </w:r>
      <w:r>
        <w:rPr>
          <w:rFonts w:ascii="Garamond" w:cs="Garamond" w:eastAsia="Garamond" w:hAnsi="Garamond"/>
          <w:b/>
          <w:bCs/>
          <w:color w:val="1B2A4A"/>
          <w:sz w:val="22"/>
          <w:szCs w:val="22"/>
        </w:rPr>
        <w:t xml:space="preserve">Federal Assistance Obligations</w:t>
      </w:r>
    </w:p>
    <w:p>
      <w:pPr>
        <w:spacing w:after="120" w:before="0"/>
        <w:ind w:left="863"/>
        <w:jc w:val="both"/>
      </w:pPr>
      <w:r>
        <w:rPr>
          <w:rFonts w:ascii="Garamond" w:cs="Garamond" w:eastAsia="Garamond" w:hAnsi="Garamond"/>
          <w:color w:val="2a2520"/>
          <w:sz w:val="22"/>
          <w:szCs w:val="22"/>
        </w:rPr>
        <w:t xml:space="preserve">Federal Assistance Obligations — 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863"/>
      </w:pPr>
      <w:r>
        <w:rPr>
          <w:rFonts w:ascii="Courier New" w:cs="Courier New" w:eastAsia="Courier New" w:hAnsi="Courier New"/>
          <w:b/>
          <w:bCs/>
          <w:color w:val="1B2A4A"/>
          <w:sz w:val="18"/>
          <w:szCs w:val="18"/>
        </w:rPr>
        <w:t xml:space="preserve">§14.5.c  </w:t>
      </w:r>
      <w:r>
        <w:rPr>
          <w:rFonts w:ascii="Garamond" w:cs="Garamond" w:eastAsia="Garamond" w:hAnsi="Garamond"/>
          <w:b/>
          <w:bCs/>
          <w:color w:val="1B2A4A"/>
          <w:sz w:val="22"/>
          <w:szCs w:val="22"/>
        </w:rPr>
        <w:t xml:space="preserve">New Indigenous Compact Petitions</w:t>
      </w:r>
    </w:p>
    <w:p>
      <w:pPr>
        <w:spacing w:after="120" w:before="0"/>
        <w:ind w:left="863"/>
        <w:jc w:val="both"/>
      </w:pPr>
      <w:r>
        <w:rPr>
          <w:rFonts w:ascii="Garamond" w:cs="Garamond" w:eastAsia="Garamond" w:hAnsi="Garamond"/>
          <w:color w:val="2a2520"/>
          <w:sz w:val="22"/>
          <w:szCs w:val="22"/>
        </w:rPr>
        <w:t xml:space="preserve">New Indigenous Compact Petitions — 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§14.5.d  </w:t>
      </w:r>
      <w:r>
        <w:rPr>
          <w:rFonts w:ascii="Garamond" w:cs="Garamond" w:eastAsia="Garamond" w:hAnsi="Garamond"/>
          <w:b/>
          <w:bCs/>
          <w:color w:val="1B2A4A"/>
          <w:sz w:val="22"/>
          <w:szCs w:val="22"/>
        </w:rPr>
        <w:t xml:space="preserve">Compact and Citizenship</w:t>
      </w:r>
    </w:p>
    <w:p>
      <w:pPr>
        <w:spacing w:after="120" w:before="0"/>
        <w:ind w:left="863"/>
        <w:jc w:val="both"/>
      </w:pPr>
      <w:r>
        <w:rPr>
          <w:rFonts w:ascii="Garamond" w:cs="Garamond" w:eastAsia="Garamond" w:hAnsi="Garamond"/>
          <w:color w:val="2a2520"/>
          <w:sz w:val="22"/>
          <w:szCs w:val="22"/>
        </w:rPr>
        <w:t xml:space="preserve">Compact and Citizenship — 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pPr>
      <w:r>
        <w:rPr>
          <w:rFonts w:ascii="Courier New" w:cs="Courier New" w:eastAsia="Courier New" w:hAnsi="Courier New"/>
          <w:b/>
          <w:bCs/>
          <w:color w:val="1B2A4A"/>
          <w:sz w:val="18"/>
          <w:szCs w:val="18"/>
        </w:rPr>
        <w:t xml:space="preserve">§14.6  </w:t>
      </w:r>
      <w:r>
        <w:rPr>
          <w:rFonts w:ascii="Garamond" w:cs="Garamond" w:eastAsia="Garamond" w:hAnsi="Garamond"/>
          <w:b/>
          <w:bCs/>
          <w:color w:val="1B2A4A"/>
          <w:sz w:val="22"/>
          <w:szCs w:val="22"/>
        </w:rPr>
        <w:t xml:space="preserve">Treaty Supremacy and Continuity</w:t>
      </w:r>
    </w:p>
    <w:p>
      <w:pPr>
        <w:spacing w:after="120" w:before="0"/>
        <w:ind w:left="431"/>
        <w:jc w:val="both"/>
      </w:pPr>
      <w:r>
        <w:rPr>
          <w:rFonts w:ascii="Garamond" w:cs="Garamond" w:eastAsia="Garamond" w:hAnsi="Garamond"/>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through the FPIC framework.</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 — Constitutional Amendment</w:t>
      </w:r>
    </w:p>
    <w:p>
      <w:pPr>
        <w:spacing w:after="120"/>
      </w:pPr>
    </w:p>
    <w:p>
      <w:pPr>
        <w:spacing w:after="60" w:before="200"/>
        <w:ind w:left="431"/>
      </w:pPr>
      <w:r>
        <w:rPr>
          <w:rFonts w:ascii="Courier New" w:cs="Courier New" w:eastAsia="Courier New" w:hAnsi="Courier New"/>
          <w:b/>
          <w:bCs/>
          <w:color w:val="1B2A4A"/>
          <w:sz w:val="18"/>
          <w:szCs w:val="18"/>
        </w:rPr>
        <w:t xml:space="preserve">§15.1  </w:t>
      </w:r>
      <w:r>
        <w:rPr>
          <w:rFonts w:ascii="Garamond" w:cs="Garamond" w:eastAsia="Garamond" w:hAnsi="Garamond"/>
          <w:b/>
          <w:bCs/>
          <w:color w:val="1B2A4A"/>
          <w:sz w:val="22"/>
          <w:szCs w:val="22"/>
        </w:rPr>
        <w:t xml:space="preserve">Three Amendment Paths</w:t>
      </w:r>
    </w:p>
    <w:p>
      <w:pPr>
        <w:spacing w:after="120" w:before="0"/>
        <w:ind w:left="431"/>
        <w:jc w:val="both"/>
      </w:pPr>
      <w:r>
        <w:rPr>
          <w:rFonts w:ascii="Garamond" w:cs="Garamond" w:eastAsia="Garamond" w:hAnsi="Garamond"/>
          <w:color w:val="2a2520"/>
          <w:sz w:val="22"/>
          <w:szCs w:val="22"/>
        </w:rPr>
        <w:t xml:space="preserve">The Three Amendment Paths — 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863"/>
      </w:pPr>
      <w:r>
        <w:rPr>
          <w:rFonts w:ascii="Courier New" w:cs="Courier New" w:eastAsia="Courier New" w:hAnsi="Courier New"/>
          <w:b/>
          <w:bCs/>
          <w:color w:val="1B2A4A"/>
          <w:sz w:val="18"/>
          <w:szCs w:val="18"/>
        </w:rPr>
        <w:t xml:space="preserve">§15.1.a  </w:t>
      </w:r>
      <w:r>
        <w:rPr>
          <w:rFonts w:ascii="Garamond" w:cs="Garamond" w:eastAsia="Garamond" w:hAnsi="Garamond"/>
          <w:b/>
          <w:bCs/>
          <w:color w:val="1B2A4A"/>
          <w:sz w:val="22"/>
          <w:szCs w:val="22"/>
        </w:rPr>
        <w:t xml:space="preserve">Parliamentary Path</w:t>
      </w:r>
    </w:p>
    <w:p>
      <w:pPr>
        <w:spacing w:after="120" w:before="0"/>
        <w:ind w:left="863"/>
        <w:jc w:val="both"/>
      </w:pPr>
      <w:r>
        <w:rPr>
          <w:rFonts w:ascii="Garamond" w:cs="Garamond" w:eastAsia="Garamond" w:hAnsi="Garamond"/>
          <w:color w:val="2a2520"/>
          <w:sz w:val="22"/>
          <w:szCs w:val="22"/>
        </w:rPr>
        <w:t xml:space="preserve">Path A — 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863"/>
      </w:pPr>
      <w:r>
        <w:rPr>
          <w:rFonts w:ascii="Courier New" w:cs="Courier New" w:eastAsia="Courier New" w:hAnsi="Courier New"/>
          <w:b/>
          <w:bCs/>
          <w:color w:val="1B2A4A"/>
          <w:sz w:val="18"/>
          <w:szCs w:val="18"/>
        </w:rPr>
        <w:t xml:space="preserve">§15.1.b  </w:t>
      </w:r>
      <w:r>
        <w:rPr>
          <w:rFonts w:ascii="Garamond" w:cs="Garamond" w:eastAsia="Garamond" w:hAnsi="Garamond"/>
          <w:b/>
          <w:bCs/>
          <w:color w:val="1B2A4A"/>
          <w:sz w:val="22"/>
          <w:szCs w:val="22"/>
        </w:rPr>
        <w:t xml:space="preserve">Parliamentary and Popular Path</w:t>
      </w:r>
    </w:p>
    <w:p>
      <w:pPr>
        <w:spacing w:after="120" w:before="0"/>
        <w:ind w:left="863"/>
        <w:jc w:val="both"/>
      </w:pPr>
      <w:r>
        <w:rPr>
          <w:rFonts w:ascii="Garamond" w:cs="Garamond" w:eastAsia="Garamond" w:hAnsi="Garamond"/>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863"/>
      </w:pPr>
      <w:r>
        <w:rPr>
          <w:rFonts w:ascii="Courier New" w:cs="Courier New" w:eastAsia="Courier New" w:hAnsi="Courier New"/>
          <w:b/>
          <w:bCs/>
          <w:color w:val="1B2A4A"/>
          <w:sz w:val="18"/>
          <w:szCs w:val="18"/>
        </w:rPr>
        <w:t xml:space="preserve">§15.1.c  </w:t>
      </w:r>
      <w:r>
        <w:rPr>
          <w:rFonts w:ascii="Garamond" w:cs="Garamond" w:eastAsia="Garamond" w:hAnsi="Garamond"/>
          <w:b/>
          <w:bCs/>
          <w:color w:val="1B2A4A"/>
          <w:sz w:val="22"/>
          <w:szCs w:val="22"/>
        </w:rPr>
        <w:t xml:space="preserve">Citizen-Led Path</w:t>
      </w:r>
    </w:p>
    <w:p>
      <w:pPr>
        <w:spacing w:after="120" w:before="0"/>
        <w:ind w:left="863"/>
        <w:jc w:val="both"/>
      </w:pPr>
      <w:r>
        <w:rPr>
          <w:rFonts w:ascii="Garamond" w:cs="Garamond" w:eastAsia="Garamond" w:hAnsi="Garamond"/>
          <w:color w:val="2a2520"/>
          <w:sz w:val="22"/>
          <w:szCs w:val="22"/>
        </w:rPr>
        <w:t xml:space="preserve">Path C — 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pPr>
      <w:r>
        <w:rPr>
          <w:rFonts w:ascii="Courier New" w:cs="Courier New" w:eastAsia="Courier New" w:hAnsi="Courier New"/>
          <w:b/>
          <w:bCs/>
          <w:color w:val="1B2A4A"/>
          <w:sz w:val="18"/>
          <w:szCs w:val="18"/>
        </w:rPr>
        <w:t xml:space="preserve">§15.2  </w:t>
      </w:r>
      <w:r>
        <w:rPr>
          <w:rFonts w:ascii="Garamond" w:cs="Garamond" w:eastAsia="Garamond" w:hAnsi="Garamond"/>
          <w:b/>
          <w:bCs/>
          <w:color w:val="1B2A4A"/>
          <w:sz w:val="22"/>
          <w:szCs w:val="22"/>
        </w:rPr>
        <w:t xml:space="preserve">No Executive Veto Over Amendments</w:t>
      </w:r>
    </w:p>
    <w:p>
      <w:pPr>
        <w:spacing w:after="120" w:before="0"/>
        <w:ind w:left="431"/>
        <w:jc w:val="both"/>
      </w:pPr>
      <w:r>
        <w:rPr>
          <w:rFonts w:ascii="Garamond" w:cs="Garamond" w:eastAsia="Garamond" w:hAnsi="Garamond"/>
          <w:color w:val="2a2520"/>
          <w:sz w:val="22"/>
          <w:szCs w:val="22"/>
        </w:rPr>
        <w:t xml:space="preserve">No Executive Veto of Amendments — 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863"/>
      </w:pPr>
      <w:r>
        <w:rPr>
          <w:rFonts w:ascii="Courier New" w:cs="Courier New" w:eastAsia="Courier New" w:hAnsi="Courier New"/>
          <w:b/>
          <w:bCs/>
          <w:color w:val="1B2A4A"/>
          <w:sz w:val="18"/>
          <w:szCs w:val="18"/>
        </w:rPr>
        <w:t xml:space="preserve">§15.2.a  </w:t>
      </w:r>
      <w:r>
        <w:rPr>
          <w:rFonts w:ascii="Garamond" w:cs="Garamond" w:eastAsia="Garamond" w:hAnsi="Garamond"/>
          <w:b/>
          <w:bCs/>
          <w:color w:val="1B2A4A"/>
          <w:sz w:val="22"/>
          <w:szCs w:val="22"/>
        </w:rPr>
        <w:t xml:space="preserve">No Executive Veto</w:t>
      </w:r>
    </w:p>
    <w:p>
      <w:pPr>
        <w:spacing w:after="120" w:before="0"/>
        <w:ind w:left="863"/>
        <w:jc w:val="both"/>
      </w:pPr>
      <w:r>
        <w:rPr>
          <w:rFonts w:ascii="Garamond" w:cs="Garamond" w:eastAsia="Garamond" w:hAnsi="Garamond"/>
          <w:color w:val="2a2520"/>
          <w:sz w:val="22"/>
          <w:szCs w:val="22"/>
        </w:rPr>
        <w:t xml:space="preserve">Amendment Takes Effect — an amendment takes effect immediately upon LI certification (Paths A and B) or EC certification (Path C) and NRS publication. No implementation delay, no commencement date, no executive discretion over timing.</w:t>
      </w:r>
    </w:p>
    <w:p>
      <w:pPr>
        <w:spacing w:after="60" w:before="200"/>
        <w:ind w:left="863"/>
      </w:pPr>
      <w:r>
        <w:rPr>
          <w:rFonts w:ascii="Courier New" w:cs="Courier New" w:eastAsia="Courier New" w:hAnsi="Courier New"/>
          <w:b/>
          <w:bCs/>
          <w:color w:val="1B2A4A"/>
          <w:sz w:val="18"/>
          <w:szCs w:val="18"/>
        </w:rPr>
        <w:t xml:space="preserve">§15.3.a  </w:t>
      </w:r>
      <w:r>
        <w:rPr>
          <w:rFonts w:ascii="Garamond" w:cs="Garamond" w:eastAsia="Garamond" w:hAnsi="Garamond"/>
          <w:b/>
          <w:bCs/>
          <w:color w:val="1B2A4A"/>
          <w:sz w:val="22"/>
          <w:szCs w:val="22"/>
        </w:rPr>
        <w:t xml:space="preserve">Permanently Unamendable Provisions</w:t>
      </w:r>
    </w:p>
    <w:p>
      <w:pPr>
        <w:spacing w:after="120" w:before="0"/>
        <w:ind w:left="863"/>
        <w:jc w:val="both"/>
      </w:pPr>
      <w:r>
        <w:rPr>
          <w:rFonts w:ascii="Garamond" w:cs="Garamond" w:eastAsia="Garamond" w:hAnsi="Garamond"/>
          <w:color w:val="2a2520"/>
          <w:sz w:val="22"/>
          <w:szCs w:val="22"/>
        </w:rPr>
        <w:t xml:space="preserve">The Unamendable Floor — six provisions that cannot be amended by any process: §1.2 (torture prohibition), §1.3 (slavery and forced labor), §1.13 (habeas corpus), §1.17 (public trial), §1.18 (no retroactive criminal laws), §1.27 (non-refoulement). Article I as a whole can only expand — no amendment may reduce any Article I right below its current floor. These six prohibit forms of absolute dehumanization that no democratic majority should be able to reinstate.</w:t>
      </w:r>
    </w:p>
    <w:p>
      <w:pPr>
        <w:spacing w:after="60" w:before="200"/>
        <w:ind w:left="863"/>
      </w:pPr>
      <w:r>
        <w:rPr>
          <w:rFonts w:ascii="Courier New" w:cs="Courier New" w:eastAsia="Courier New" w:hAnsi="Courier New"/>
          <w:b/>
          <w:bCs/>
          <w:color w:val="1B2A4A"/>
          <w:sz w:val="18"/>
          <w:szCs w:val="18"/>
        </w:rPr>
        <w:t xml:space="preserve">§15.4.a  </w:t>
      </w:r>
      <w:r>
        <w:rPr>
          <w:rFonts w:ascii="Garamond" w:cs="Garamond" w:eastAsia="Garamond" w:hAnsi="Garamond"/>
          <w:b/>
          <w:bCs/>
          <w:color w:val="1B2A4A"/>
          <w:sz w:val="22"/>
          <w:szCs w:val="22"/>
        </w:rPr>
        <w:t xml:space="preserve">Territorial Integrity</w:t>
      </w:r>
    </w:p>
    <w:p>
      <w:pPr>
        <w:spacing w:after="120" w:before="0"/>
        <w:ind w:left="863"/>
        <w:jc w:val="both"/>
      </w:pPr>
      <w:r>
        <w:rPr>
          <w:rFonts w:ascii="Garamond" w:cs="Garamond" w:eastAsia="Garamond" w:hAnsi="Garamond"/>
          <w:color w:val="2a2520"/>
          <w:sz w:val="22"/>
          <w:szCs w:val="22"/>
        </w:rPr>
        <w:t xml:space="preserve">Territorial Integrity — the Republic's territorial extent may only be reduced by a Path B or Path C amendment (not Path A). Expansion of territory is governed by §13.1. No executive action may alter the Republic's territorial extent.</w:t>
      </w:r>
    </w:p>
    <w:p>
      <w:pPr>
        <w:spacing w:after="60" w:before="200"/>
        <w:ind w:left="863"/>
      </w:pPr>
      <w:r>
        <w:rPr>
          <w:rFonts w:ascii="Courier New" w:cs="Courier New" w:eastAsia="Courier New" w:hAnsi="Courier New"/>
          <w:b/>
          <w:bCs/>
          <w:color w:val="1B2A4A"/>
          <w:sz w:val="18"/>
          <w:szCs w:val="18"/>
        </w:rPr>
        <w:t xml:space="preserve">§15.4.b  </w:t>
      </w:r>
      <w:r>
        <w:rPr>
          <w:rFonts w:ascii="Garamond" w:cs="Garamond" w:eastAsia="Garamond" w:hAnsi="Garamond"/>
          <w:b/>
          <w:bCs/>
          <w:color w:val="1B2A4A"/>
          <w:sz w:val="22"/>
          <w:szCs w:val="22"/>
        </w:rPr>
        <w:t xml:space="preserve">Advisory Referenda</w:t>
      </w:r>
    </w:p>
    <w:p>
      <w:pPr>
        <w:spacing w:after="120" w:before="0"/>
        <w:ind w:left="863"/>
        <w:jc w:val="both"/>
      </w:pPr>
      <w:r>
        <w:rPr>
          <w:rFonts w:ascii="Garamond" w:cs="Garamond" w:eastAsia="Garamond" w:hAnsi="Garamond"/>
          <w:color w:val="2a2520"/>
          <w:sz w:val="22"/>
          <w:szCs w:val="22"/>
        </w:rPr>
        <w:t xml:space="preserve">No Secession by Ordinary Legislation — 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pPr>
      <w:r>
        <w:rPr>
          <w:rFonts w:ascii="Courier New" w:cs="Courier New" w:eastAsia="Courier New" w:hAnsi="Courier New"/>
          <w:b/>
          <w:bCs/>
          <w:color w:val="1B2A4A"/>
          <w:sz w:val="18"/>
          <w:szCs w:val="18"/>
        </w:rPr>
        <w:t xml:space="preserve">§15.5  </w:t>
      </w:r>
      <w:r>
        <w:rPr>
          <w:rFonts w:ascii="Garamond" w:cs="Garamond" w:eastAsia="Garamond" w:hAnsi="Garamond"/>
          <w:b/>
          <w:bCs/>
          <w:color w:val="1B2A4A"/>
          <w:sz w:val="22"/>
          <w:szCs w:val="22"/>
        </w:rPr>
        <w:t xml:space="preserve">Independence Transition Framework</w:t>
      </w:r>
    </w:p>
    <w:p>
      <w:pPr>
        <w:spacing w:after="120" w:before="0"/>
        <w:ind w:left="431"/>
        <w:jc w:val="both"/>
      </w:pPr>
      <w:r>
        <w:rPr>
          <w:rFonts w:ascii="Garamond" w:cs="Garamond" w:eastAsia="Garamond" w:hAnsi="Garamond"/>
          <w:color w:val="2a2520"/>
          <w:sz w:val="22"/>
          <w:szCs w:val="22"/>
        </w:rPr>
        <w:t xml:space="preserve">Amendment Consistency Requirement — 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863"/>
      </w:pPr>
      <w:r>
        <w:rPr>
          <w:rFonts w:ascii="Courier New" w:cs="Courier New" w:eastAsia="Courier New" w:hAnsi="Courier New"/>
          <w:b/>
          <w:bCs/>
          <w:color w:val="1B2A4A"/>
          <w:sz w:val="18"/>
          <w:szCs w:val="18"/>
        </w:rPr>
        <w:t xml:space="preserve">§15.5.a  </w:t>
      </w:r>
      <w:r>
        <w:rPr>
          <w:rFonts w:ascii="Garamond" w:cs="Garamond" w:eastAsia="Garamond" w:hAnsi="Garamond"/>
          <w:b/>
          <w:bCs/>
          <w:color w:val="1B2A4A"/>
          <w:sz w:val="22"/>
          <w:szCs w:val="22"/>
        </w:rPr>
        <w:t xml:space="preserve">Framework Agreement Requirement</w:t>
      </w:r>
    </w:p>
    <w:p>
      <w:pPr>
        <w:spacing w:after="120" w:before="0"/>
        <w:ind w:left="863"/>
        <w:jc w:val="both"/>
      </w:pPr>
      <w:r>
        <w:rPr>
          <w:rFonts w:ascii="Garamond" w:cs="Garamond" w:eastAsia="Garamond" w:hAnsi="Garamond"/>
          <w:color w:val="2a2520"/>
          <w:sz w:val="22"/>
          <w:szCs w:val="22"/>
        </w:rPr>
        <w:t xml:space="preserve">LI Consistency Review — 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863"/>
      </w:pPr>
      <w:r>
        <w:rPr>
          <w:rFonts w:ascii="Courier New" w:cs="Courier New" w:eastAsia="Courier New" w:hAnsi="Courier New"/>
          <w:b/>
          <w:bCs/>
          <w:color w:val="1B2A4A"/>
          <w:sz w:val="18"/>
          <w:szCs w:val="18"/>
        </w:rPr>
        <w:t xml:space="preserve">§15.5.b  </w:t>
      </w:r>
      <w:r>
        <w:rPr>
          <w:rFonts w:ascii="Garamond" w:cs="Garamond" w:eastAsia="Garamond" w:hAnsi="Garamond"/>
          <w:b/>
          <w:bCs/>
          <w:color w:val="1B2A4A"/>
          <w:sz w:val="22"/>
          <w:szCs w:val="22"/>
        </w:rPr>
        <w:t xml:space="preserve">Transition Period — 24 to 60 Months</w:t>
      </w:r>
    </w:p>
    <w:p>
      <w:pPr>
        <w:spacing w:after="120" w:before="0"/>
        <w:ind w:left="863"/>
        <w:jc w:val="both"/>
      </w:pPr>
      <w:r>
        <w:rPr>
          <w:rFonts w:ascii="Garamond" w:cs="Garamond" w:eastAsia="Garamond" w:hAnsi="Garamond"/>
          <w:color w:val="2a2520"/>
          <w:sz w:val="22"/>
          <w:szCs w:val="22"/>
        </w:rPr>
        <w:t xml:space="preserve">SC Consistency Adjudication — 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863"/>
      </w:pPr>
      <w:r>
        <w:rPr>
          <w:rFonts w:ascii="Courier New" w:cs="Courier New" w:eastAsia="Courier New" w:hAnsi="Courier New"/>
          <w:b/>
          <w:bCs/>
          <w:color w:val="1B2A4A"/>
          <w:sz w:val="18"/>
          <w:szCs w:val="18"/>
        </w:rPr>
        <w:t xml:space="preserve">§15.5.c  </w:t>
      </w:r>
      <w:r>
        <w:rPr>
          <w:rFonts w:ascii="Garamond" w:cs="Garamond" w:eastAsia="Garamond" w:hAnsi="Garamond"/>
          <w:b/>
          <w:bCs/>
          <w:color w:val="1B2A4A"/>
          <w:sz w:val="22"/>
          <w:szCs w:val="22"/>
        </w:rPr>
        <w:t xml:space="preserve">Basic Needs Floor Transition</w:t>
      </w:r>
    </w:p>
    <w:p>
      <w:pPr>
        <w:spacing w:after="120" w:before="0"/>
        <w:ind w:left="863"/>
        <w:jc w:val="both"/>
      </w:pPr>
      <w:r>
        <w:rPr>
          <w:rFonts w:ascii="Garamond" w:cs="Garamond" w:eastAsia="Garamond" w:hAnsi="Garamond"/>
          <w:color w:val="2a2520"/>
          <w:sz w:val="22"/>
          <w:szCs w:val="22"/>
        </w:rPr>
        <w:t xml:space="preserve">Retroactive Effect of Amendments — 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863"/>
      </w:pPr>
      <w:r>
        <w:rPr>
          <w:rFonts w:ascii="Courier New" w:cs="Courier New" w:eastAsia="Courier New" w:hAnsi="Courier New"/>
          <w:b/>
          <w:bCs/>
          <w:color w:val="1B2A4A"/>
          <w:sz w:val="18"/>
          <w:szCs w:val="18"/>
        </w:rPr>
        <w:t xml:space="preserve">§15.5.d  </w:t>
      </w:r>
      <w:r>
        <w:rPr>
          <w:rFonts w:ascii="Garamond" w:cs="Garamond" w:eastAsia="Garamond" w:hAnsi="Garamond"/>
          <w:b/>
          <w:bCs/>
          <w:color w:val="1B2A4A"/>
          <w:sz w:val="22"/>
          <w:szCs w:val="22"/>
        </w:rPr>
        <w:t xml:space="preserve">Executive Authority During Transition</w:t>
      </w:r>
    </w:p>
    <w:p>
      <w:pPr>
        <w:spacing w:after="120" w:before="0"/>
        <w:ind w:left="863"/>
        <w:jc w:val="both"/>
      </w:pPr>
      <w:r>
        <w:rPr>
          <w:rFonts w:ascii="Garamond" w:cs="Garamond" w:eastAsia="Garamond" w:hAnsi="Garamond"/>
          <w:color w:val="2a2520"/>
          <w:sz w:val="22"/>
          <w:szCs w:val="22"/>
        </w:rPr>
        <w:t xml:space="preserve">Simultaneous Amendments — 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863"/>
      </w:pPr>
      <w:r>
        <w:rPr>
          <w:rFonts w:ascii="Courier New" w:cs="Courier New" w:eastAsia="Courier New" w:hAnsi="Courier New"/>
          <w:b/>
          <w:bCs/>
          <w:color w:val="1B2A4A"/>
          <w:sz w:val="18"/>
          <w:szCs w:val="18"/>
        </w:rPr>
        <w:t xml:space="preserve">§15.5.e  </w:t>
      </w:r>
      <w:r>
        <w:rPr>
          <w:rFonts w:ascii="Garamond" w:cs="Garamond" w:eastAsia="Garamond" w:hAnsi="Garamond"/>
          <w:b/>
          <w:bCs/>
          <w:color w:val="1B2A4A"/>
          <w:sz w:val="22"/>
          <w:szCs w:val="22"/>
        </w:rPr>
        <w:t xml:space="preserve">Simultaneous Independence Sequencing</w:t>
      </w:r>
    </w:p>
    <w:p>
      <w:pPr>
        <w:spacing w:after="120" w:before="0"/>
        <w:ind w:left="863"/>
        <w:jc w:val="both"/>
      </w:pPr>
      <w:r>
        <w:rPr>
          <w:rFonts w:ascii="Garamond" w:cs="Garamond" w:eastAsia="Garamond" w:hAnsi="Garamond"/>
          <w:color w:val="2a2520"/>
          <w:sz w:val="22"/>
          <w:szCs w:val="22"/>
        </w:rPr>
        <w:t xml:space="preserve">Withdrawn Amendments — 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pPr>
      <w:r>
        <w:rPr>
          <w:rFonts w:ascii="Courier New" w:cs="Courier New" w:eastAsia="Courier New" w:hAnsi="Courier New"/>
          <w:b/>
          <w:bCs/>
          <w:color w:val="1B2A4A"/>
          <w:sz w:val="18"/>
          <w:szCs w:val="18"/>
        </w:rPr>
        <w:t xml:space="preserve">§15.6  </w:t>
      </w:r>
      <w:r>
        <w:rPr>
          <w:rFonts w:ascii="Garamond" w:cs="Garamond" w:eastAsia="Garamond" w:hAnsi="Garamond"/>
          <w:b/>
          <w:bCs/>
          <w:color w:val="1B2A4A"/>
          <w:sz w:val="22"/>
          <w:szCs w:val="22"/>
        </w:rPr>
        <w:t xml:space="preserve">Supremacy of This Constitution</w:t>
      </w:r>
    </w:p>
    <w:p>
      <w:pPr>
        <w:spacing w:after="120" w:before="0"/>
        <w:ind w:left="431"/>
        <w:jc w:val="both"/>
      </w:pPr>
      <w:r>
        <w:rPr>
          <w:rFonts w:ascii="Garamond" w:cs="Garamond" w:eastAsia="Garamond" w:hAnsi="Garamond"/>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 This is the foundational rule that makes all other provisions operative — it is what makes the constitution a constitution rather than a statement of principles.</w:t>
      </w:r>
    </w:p>
    <w:p>
      <w:pPr>
        <w:spacing w:after="60" w:before="200"/>
        <w:ind w:left="863"/>
      </w:pPr>
      <w:r>
        <w:rPr>
          <w:rFonts w:ascii="Courier New" w:cs="Courier New" w:eastAsia="Courier New" w:hAnsi="Courier New"/>
          <w:b/>
          <w:bCs/>
          <w:color w:val="1B2A4A"/>
          <w:sz w:val="18"/>
          <w:szCs w:val="18"/>
        </w:rPr>
        <w:t xml:space="preserve">§15.6.b  </w:t>
      </w:r>
      <w:r>
        <w:rPr>
          <w:rFonts w:ascii="Garamond" w:cs="Garamond" w:eastAsia="Garamond" w:hAnsi="Garamond"/>
          <w:b/>
          <w:bCs/>
          <w:color w:val="1B2A4A"/>
          <w:sz w:val="22"/>
          <w:szCs w:val="22"/>
        </w:rPr>
        <w:t xml:space="preserve">Federal-State Statutory Hierarchy</w:t>
      </w:r>
    </w:p>
    <w:p>
      <w:pPr>
        <w:spacing w:after="120" w:before="0"/>
        <w:ind w:left="863"/>
        <w:jc w:val="both"/>
      </w:pPr>
      <w:r>
        <w:rPr>
          <w:rFonts w:ascii="Garamond" w:cs="Garamond" w:eastAsia="Garamond" w:hAnsi="Garamond"/>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 — The Electoral Commission</w:t>
      </w:r>
    </w:p>
    <w:p>
      <w:pPr>
        <w:spacing w:after="120"/>
      </w:pPr>
    </w:p>
    <w:p>
      <w:pPr>
        <w:spacing w:after="60" w:before="200"/>
        <w:ind w:left="431"/>
      </w:pPr>
      <w:r>
        <w:rPr>
          <w:rFonts w:ascii="Courier New" w:cs="Courier New" w:eastAsia="Courier New" w:hAnsi="Courier New"/>
          <w:b/>
          <w:bCs/>
          <w:color w:val="1B2A4A"/>
          <w:sz w:val="18"/>
          <w:szCs w:val="18"/>
        </w:rPr>
        <w:t xml:space="preserve">§16.1  </w:t>
      </w:r>
      <w:r>
        <w:rPr>
          <w:rFonts w:ascii="Garamond" w:cs="Garamond" w:eastAsia="Garamond" w:hAnsi="Garamond"/>
          <w:b/>
          <w:bCs/>
          <w:color w:val="1B2A4A"/>
          <w:sz w:val="22"/>
          <w:szCs w:val="22"/>
        </w:rPr>
        <w:t xml:space="preserve">Electoral Commission</w:t>
      </w:r>
    </w:p>
    <w:p>
      <w:pPr>
        <w:spacing w:after="120" w:before="0"/>
        <w:ind w:left="431"/>
        <w:jc w:val="both"/>
      </w:pPr>
      <w:r>
        <w:rPr>
          <w:rFonts w:ascii="Garamond" w:cs="Garamond" w:eastAsia="Garamond" w:hAnsi="Garamond"/>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w:t>
      </w:r>
    </w:p>
    <w:p>
      <w:pPr>
        <w:spacing w:after="60" w:before="200"/>
        <w:ind w:left="431"/>
      </w:pPr>
      <w:r>
        <w:rPr>
          <w:rFonts w:ascii="Courier New" w:cs="Courier New" w:eastAsia="Courier New" w:hAnsi="Courier New"/>
          <w:b/>
          <w:bCs/>
          <w:color w:val="1B2A4A"/>
          <w:sz w:val="18"/>
          <w:szCs w:val="18"/>
        </w:rPr>
        <w:t xml:space="preserve">§16.2  </w:t>
      </w:r>
      <w:r>
        <w:rPr>
          <w:rFonts w:ascii="Garamond" w:cs="Garamond" w:eastAsia="Garamond" w:hAnsi="Garamond"/>
          <w:b/>
          <w:bCs/>
          <w:color w:val="1B2A4A"/>
          <w:sz w:val="22"/>
          <w:szCs w:val="22"/>
        </w:rPr>
        <w:t xml:space="preserve">Electoral Commission Qualifications</w:t>
      </w:r>
    </w:p>
    <w:p>
      <w:pPr>
        <w:spacing w:after="120" w:before="0"/>
        <w:ind w:left="431"/>
        <w:jc w:val="both"/>
      </w:pPr>
      <w:r>
        <w:rPr>
          <w:rFonts w:ascii="Garamond" w:cs="Garamond" w:eastAsia="Garamond" w:hAnsi="Garamond"/>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863"/>
      </w:pPr>
      <w:r>
        <w:rPr>
          <w:rFonts w:ascii="Courier New" w:cs="Courier New" w:eastAsia="Courier New" w:hAnsi="Courier New"/>
          <w:b/>
          <w:bCs/>
          <w:color w:val="1B2A4A"/>
          <w:sz w:val="18"/>
          <w:szCs w:val="18"/>
        </w:rPr>
        <w:t xml:space="preserve">§16.2.a  </w:t>
      </w:r>
      <w:r>
        <w:rPr>
          <w:rFonts w:ascii="Garamond" w:cs="Garamond" w:eastAsia="Garamond" w:hAnsi="Garamond"/>
          <w:b/>
          <w:bCs/>
          <w:color w:val="1B2A4A"/>
          <w:sz w:val="22"/>
          <w:szCs w:val="22"/>
        </w:rPr>
        <w:t xml:space="preserve">Electoral Commission Removal</w:t>
      </w:r>
    </w:p>
    <w:p>
      <w:pPr>
        <w:spacing w:after="120" w:before="0"/>
        <w:ind w:left="863"/>
        <w:jc w:val="both"/>
      </w:pPr>
      <w:r>
        <w:rPr>
          <w:rFonts w:ascii="Garamond" w:cs="Garamond" w:eastAsia="Garamond" w:hAnsi="Garamond"/>
          <w:color w:val="2a2520"/>
          <w:sz w:val="22"/>
          <w:szCs w:val="22"/>
        </w:rPr>
        <w:t xml:space="preserve">For-cause only — no no-cause removal. EC administers all elections; no-cause removal would be a vector for electoral manipulation. Process: JI documents finding → State Designee Panel substantiates → 14-day SC appeal window expires (or SC upholds on appeal) → member suspended from all EC duties. The 180-day election proximity restriction in §16.5.c applies to the removal vote, not to Panel-triggered suspension. On legislative acquittal, member returns to full duties immediately. 2/3 both chambers for removal. Vacancy: 90-day special election, full new 6-year term. Amended v148.</w:t>
      </w:r>
    </w:p>
    <w:p>
      <w:pPr>
        <w:spacing w:after="60" w:before="200"/>
        <w:ind w:left="431"/>
      </w:pPr>
      <w:r>
        <w:rPr>
          <w:rFonts w:ascii="Courier New" w:cs="Courier New" w:eastAsia="Courier New" w:hAnsi="Courier New"/>
          <w:b/>
          <w:bCs/>
          <w:color w:val="1B2A4A"/>
          <w:sz w:val="18"/>
          <w:szCs w:val="18"/>
        </w:rPr>
        <w:t xml:space="preserve">§16.3  </w:t>
      </w:r>
      <w:r>
        <w:rPr>
          <w:rFonts w:ascii="Garamond" w:cs="Garamond" w:eastAsia="Garamond" w:hAnsi="Garamond"/>
          <w:b/>
          <w:bCs/>
          <w:color w:val="1B2A4A"/>
          <w:sz w:val="22"/>
          <w:szCs w:val="22"/>
        </w:rPr>
        <w:t xml:space="preserve">NVS Properties</w:t>
      </w:r>
    </w:p>
    <w:p>
      <w:pPr>
        <w:spacing w:after="120" w:before="0"/>
        <w:ind w:left="431"/>
        <w:jc w:val="both"/>
      </w:pPr>
      <w:r>
        <w:rPr>
          <w:rFonts w:ascii="Garamond" w:cs="Garamond" w:eastAsia="Garamond" w:hAnsi="Garamond"/>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863"/>
      </w:pPr>
      <w:r>
        <w:rPr>
          <w:rFonts w:ascii="Courier New" w:cs="Courier New" w:eastAsia="Courier New" w:hAnsi="Courier New"/>
          <w:b/>
          <w:bCs/>
          <w:color w:val="1B2A4A"/>
          <w:sz w:val="18"/>
          <w:szCs w:val="18"/>
        </w:rPr>
        <w:t xml:space="preserve">§16.3.a  </w:t>
      </w:r>
      <w:r>
        <w:rPr>
          <w:rFonts w:ascii="Garamond" w:cs="Garamond" w:eastAsia="Garamond" w:hAnsi="Garamond"/>
          <w:b/>
          <w:bCs/>
          <w:color w:val="1B2A4A"/>
          <w:sz w:val="22"/>
          <w:szCs w:val="22"/>
        </w:rPr>
        <w:t xml:space="preserve">Ballot Secrecy</w:t>
      </w:r>
    </w:p>
    <w:p>
      <w:pPr>
        <w:spacing w:after="120" w:before="0"/>
        <w:ind w:left="863"/>
        <w:jc w:val="both"/>
      </w:pPr>
      <w:r>
        <w:rPr>
          <w:rFonts w:ascii="Garamond" w:cs="Garamond" w:eastAsia="Garamond" w:hAnsi="Garamond"/>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863"/>
      </w:pPr>
      <w:r>
        <w:rPr>
          <w:rFonts w:ascii="Courier New" w:cs="Courier New" w:eastAsia="Courier New" w:hAnsi="Courier New"/>
          <w:b/>
          <w:bCs/>
          <w:color w:val="1B2A4A"/>
          <w:sz w:val="18"/>
          <w:szCs w:val="18"/>
        </w:rPr>
        <w:t xml:space="preserve">§16.3.b  </w:t>
      </w:r>
      <w:r>
        <w:rPr>
          <w:rFonts w:ascii="Garamond" w:cs="Garamond" w:eastAsia="Garamond" w:hAnsi="Garamond"/>
          <w:b/>
          <w:bCs/>
          <w:color w:val="1B2A4A"/>
          <w:sz w:val="22"/>
          <w:szCs w:val="22"/>
        </w:rPr>
        <w:t xml:space="preserve">Public Auditability</w:t>
      </w:r>
    </w:p>
    <w:p>
      <w:pPr>
        <w:spacing w:after="120" w:before="0"/>
        <w:ind w:left="863"/>
        <w:jc w:val="both"/>
      </w:pPr>
      <w:r>
        <w:rPr>
          <w:rFonts w:ascii="Garamond" w:cs="Garamond" w:eastAsia="Garamond" w:hAnsi="Garamond"/>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863"/>
      </w:pPr>
      <w:r>
        <w:rPr>
          <w:rFonts w:ascii="Courier New" w:cs="Courier New" w:eastAsia="Courier New" w:hAnsi="Courier New"/>
          <w:b/>
          <w:bCs/>
          <w:color w:val="1B2A4A"/>
          <w:sz w:val="18"/>
          <w:szCs w:val="18"/>
        </w:rPr>
        <w:t xml:space="preserve">§16.3.c  </w:t>
      </w:r>
      <w:r>
        <w:rPr>
          <w:rFonts w:ascii="Garamond" w:cs="Garamond" w:eastAsia="Garamond" w:hAnsi="Garamond"/>
          <w:b/>
          <w:bCs/>
          <w:color w:val="1B2A4A"/>
          <w:sz w:val="22"/>
          <w:szCs w:val="22"/>
        </w:rPr>
        <w:t xml:space="preserve">Resilience and Privacy</w:t>
      </w:r>
    </w:p>
    <w:p>
      <w:pPr>
        <w:spacing w:after="120" w:before="0"/>
        <w:ind w:left="863"/>
        <w:jc w:val="both"/>
      </w:pPr>
      <w:r>
        <w:rPr>
          <w:rFonts w:ascii="Garamond" w:cs="Garamond" w:eastAsia="Garamond" w:hAnsi="Garamond"/>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863"/>
      </w:pPr>
      <w:r>
        <w:rPr>
          <w:rFonts w:ascii="Courier New" w:cs="Courier New" w:eastAsia="Courier New" w:hAnsi="Courier New"/>
          <w:b/>
          <w:bCs/>
          <w:color w:val="1B2A4A"/>
          <w:sz w:val="18"/>
          <w:szCs w:val="18"/>
        </w:rPr>
        <w:t xml:space="preserve">§16.4.a  </w:t>
      </w:r>
      <w:r>
        <w:rPr>
          <w:rFonts w:ascii="Garamond" w:cs="Garamond" w:eastAsia="Garamond" w:hAnsi="Garamond"/>
          <w:b/>
          <w:bCs/>
          <w:color w:val="1B2A4A"/>
          <w:sz w:val="22"/>
          <w:szCs w:val="22"/>
        </w:rPr>
        <w:t xml:space="preserve">The Citizen Voting Credential</w:t>
      </w:r>
    </w:p>
    <w:p>
      <w:pPr>
        <w:spacing w:after="120" w:before="0"/>
        <w:ind w:left="863"/>
        <w:jc w:val="both"/>
      </w:pPr>
      <w:r>
        <w:rPr>
          <w:rFonts w:ascii="Garamond" w:cs="Garamond" w:eastAsia="Garamond" w:hAnsi="Garamond"/>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w:t>
      </w:r>
    </w:p>
    <w:p>
      <w:pPr>
        <w:spacing w:after="60" w:before="200"/>
        <w:ind w:left="863"/>
      </w:pPr>
      <w:r>
        <w:rPr>
          <w:rFonts w:ascii="Courier New" w:cs="Courier New" w:eastAsia="Courier New" w:hAnsi="Courier New"/>
          <w:b/>
          <w:bCs/>
          <w:color w:val="1B2A4A"/>
          <w:sz w:val="18"/>
          <w:szCs w:val="18"/>
        </w:rPr>
        <w:t xml:space="preserve">§16.4.b  </w:t>
      </w:r>
      <w:r>
        <w:rPr>
          <w:rFonts w:ascii="Garamond" w:cs="Garamond" w:eastAsia="Garamond" w:hAnsi="Garamond"/>
          <w:b/>
          <w:bCs/>
          <w:color w:val="1B2A4A"/>
          <w:sz w:val="22"/>
          <w:szCs w:val="22"/>
        </w:rPr>
        <w:t xml:space="preserve">Remote Voting</w:t>
      </w:r>
    </w:p>
    <w:p>
      <w:pPr>
        <w:spacing w:after="120" w:before="0"/>
        <w:ind w:left="863"/>
        <w:jc w:val="both"/>
      </w:pPr>
      <w:r>
        <w:rPr>
          <w:rFonts w:ascii="Garamond" w:cs="Garamond" w:eastAsia="Garamond" w:hAnsi="Garamond"/>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863"/>
      </w:pPr>
      <w:r>
        <w:rPr>
          <w:rFonts w:ascii="Courier New" w:cs="Courier New" w:eastAsia="Courier New" w:hAnsi="Courier New"/>
          <w:b/>
          <w:bCs/>
          <w:color w:val="1B2A4A"/>
          <w:sz w:val="18"/>
          <w:szCs w:val="18"/>
        </w:rPr>
        <w:t xml:space="preserve">§16.4.c  </w:t>
      </w:r>
      <w:r>
        <w:rPr>
          <w:rFonts w:ascii="Garamond" w:cs="Garamond" w:eastAsia="Garamond" w:hAnsi="Garamond"/>
          <w:b/>
          <w:bCs/>
          <w:color w:val="1B2A4A"/>
          <w:sz w:val="22"/>
          <w:szCs w:val="22"/>
        </w:rPr>
        <w:t xml:space="preserve">State Voting Method Flexibility</w:t>
      </w:r>
    </w:p>
    <w:p>
      <w:pPr>
        <w:spacing w:after="120" w:before="0"/>
        <w:ind w:left="863"/>
        <w:jc w:val="both"/>
      </w:pPr>
      <w:r>
        <w:rPr>
          <w:rFonts w:ascii="Garamond" w:cs="Garamond" w:eastAsia="Garamond" w:hAnsi="Garamond"/>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 Added v143.</w:t>
      </w:r>
    </w:p>
    <w:p>
      <w:pPr>
        <w:spacing w:after="60" w:before="200"/>
        <w:ind w:left="863"/>
      </w:pPr>
      <w:r>
        <w:rPr>
          <w:rFonts w:ascii="Courier New" w:cs="Courier New" w:eastAsia="Courier New" w:hAnsi="Courier New"/>
          <w:b/>
          <w:bCs/>
          <w:color w:val="1B2A4A"/>
          <w:sz w:val="18"/>
          <w:szCs w:val="18"/>
        </w:rPr>
        <w:t xml:space="preserve">§16.4.d  </w:t>
      </w:r>
      <w:r>
        <w:rPr>
          <w:rFonts w:ascii="Garamond" w:cs="Garamond" w:eastAsia="Garamond" w:hAnsi="Garamond"/>
          <w:b/>
          <w:bCs/>
          <w:color w:val="1B2A4A"/>
          <w:sz w:val="22"/>
          <w:szCs w:val="22"/>
        </w:rPr>
        <w:t xml:space="preserve">Federal Ballot Information</w:t>
      </w:r>
    </w:p>
    <w:p>
      <w:pPr>
        <w:spacing w:after="120" w:before="0"/>
        <w:ind w:left="863"/>
        <w:jc w:val="both"/>
      </w:pPr>
      <w:r>
        <w:rPr>
          <w:rFonts w:ascii="Garamond" w:cs="Garamond" w:eastAsia="Garamond" w:hAnsi="Garamond"/>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 Added v143.</w:t>
      </w:r>
    </w:p>
    <w:p>
      <w:pPr>
        <w:spacing w:after="60" w:before="200"/>
        <w:ind w:left="863"/>
      </w:pPr>
      <w:r>
        <w:rPr>
          <w:rFonts w:ascii="Courier New" w:cs="Courier New" w:eastAsia="Courier New" w:hAnsi="Courier New"/>
          <w:b/>
          <w:bCs/>
          <w:color w:val="1B2A4A"/>
          <w:sz w:val="18"/>
          <w:szCs w:val="18"/>
        </w:rPr>
        <w:t xml:space="preserve">§16.4.e  </w:t>
      </w:r>
      <w:r>
        <w:rPr>
          <w:rFonts w:ascii="Garamond" w:cs="Garamond" w:eastAsia="Garamond" w:hAnsi="Garamond"/>
          <w:b/>
          <w:bCs/>
          <w:color w:val="1B2A4A"/>
          <w:sz w:val="22"/>
          <w:szCs w:val="22"/>
        </w:rPr>
        <w:t xml:space="preserve">State Ballot Information on Request</w:t>
      </w:r>
    </w:p>
    <w:p>
      <w:pPr>
        <w:spacing w:after="120" w:before="0"/>
        <w:ind w:left="863"/>
        <w:jc w:val="both"/>
      </w:pPr>
      <w:r>
        <w:rPr>
          <w:rFonts w:ascii="Garamond" w:cs="Garamond" w:eastAsia="Garamond" w:hAnsi="Garamond"/>
          <w:color w:val="2a2520"/>
          <w:sz w:val="22"/>
          <w:szCs w:val="22"/>
        </w:rPr>
        <w:t xml:space="preserve">At a state's request, EC may extend ballot information delivery to cover state and local races. State bears cost. EC cannot refuse except on operational capacity grounds. Entirely voluntary. New in v143.</w:t>
      </w:r>
    </w:p>
    <w:p>
      <w:pPr>
        <w:spacing w:after="60" w:before="200"/>
        <w:ind w:left="863"/>
      </w:pPr>
      <w:r>
        <w:rPr>
          <w:rFonts w:ascii="Courier New" w:cs="Courier New" w:eastAsia="Courier New" w:hAnsi="Courier New"/>
          <w:b/>
          <w:bCs/>
          <w:color w:val="1B2A4A"/>
          <w:sz w:val="18"/>
          <w:szCs w:val="18"/>
        </w:rPr>
        <w:t xml:space="preserve">§16.5.a  </w:t>
      </w:r>
      <w:r>
        <w:rPr>
          <w:rFonts w:ascii="Garamond" w:cs="Garamond" w:eastAsia="Garamond" w:hAnsi="Garamond"/>
          <w:b/>
          <w:bCs/>
          <w:color w:val="1B2A4A"/>
          <w:sz w:val="22"/>
          <w:szCs w:val="22"/>
        </w:rPr>
        <w:t xml:space="preserve">Campaign Funding</w:t>
      </w:r>
    </w:p>
    <w:p>
      <w:pPr>
        <w:spacing w:after="120" w:before="0"/>
        <w:ind w:left="863"/>
        <w:jc w:val="both"/>
      </w:pPr>
      <w:r>
        <w:rPr>
          <w:rFonts w:ascii="Garamond" w:cs="Garamond" w:eastAsia="Garamond" w:hAnsi="Garamond"/>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863"/>
      </w:pPr>
      <w:r>
        <w:rPr>
          <w:rFonts w:ascii="Courier New" w:cs="Courier New" w:eastAsia="Courier New" w:hAnsi="Courier New"/>
          <w:b/>
          <w:bCs/>
          <w:color w:val="1B2A4A"/>
          <w:sz w:val="18"/>
          <w:szCs w:val="18"/>
        </w:rPr>
        <w:t xml:space="preserve">§16.5.b  </w:t>
      </w:r>
      <w:r>
        <w:rPr>
          <w:rFonts w:ascii="Garamond" w:cs="Garamond" w:eastAsia="Garamond" w:hAnsi="Garamond"/>
          <w:b/>
          <w:bCs/>
          <w:color w:val="1B2A4A"/>
          <w:sz w:val="22"/>
          <w:szCs w:val="22"/>
        </w:rPr>
        <w:t xml:space="preserve">JI Oversight</w:t>
      </w:r>
    </w:p>
    <w:p>
      <w:pPr>
        <w:spacing w:after="120" w:before="0"/>
        <w:ind w:left="863"/>
        <w:jc w:val="both"/>
      </w:pPr>
      <w:r>
        <w:rPr>
          <w:rFonts w:ascii="Garamond" w:cs="Garamond" w:eastAsia="Garamond" w:hAnsi="Garamond"/>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863"/>
      </w:pPr>
      <w:r>
        <w:rPr>
          <w:rFonts w:ascii="Courier New" w:cs="Courier New" w:eastAsia="Courier New" w:hAnsi="Courier New"/>
          <w:b/>
          <w:bCs/>
          <w:color w:val="1B2A4A"/>
          <w:sz w:val="18"/>
          <w:szCs w:val="18"/>
        </w:rPr>
        <w:t xml:space="preserve">§16.5.c  </w:t>
      </w:r>
      <w:r>
        <w:rPr>
          <w:rFonts w:ascii="Garamond" w:cs="Garamond" w:eastAsia="Garamond" w:hAnsi="Garamond"/>
          <w:b/>
          <w:bCs/>
          <w:color w:val="1B2A4A"/>
          <w:sz w:val="22"/>
          <w:szCs w:val="22"/>
        </w:rPr>
        <w:t xml:space="preserve">Removal</w:t>
      </w:r>
    </w:p>
    <w:p>
      <w:pPr>
        <w:spacing w:after="120" w:before="0"/>
        <w:ind w:left="863"/>
        <w:jc w:val="both"/>
      </w:pPr>
      <w:r>
        <w:rPr>
          <w:rFonts w:ascii="Garamond" w:cs="Garamond" w:eastAsia="Garamond" w:hAnsi="Garamond"/>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 Amended v148.</w:t>
      </w:r>
    </w:p>
    <w:p>
      <w:pPr>
        <w:spacing w:after="60" w:before="200"/>
        <w:ind w:left="863"/>
      </w:pPr>
      <w:r>
        <w:rPr>
          <w:rFonts w:ascii="Courier New" w:cs="Courier New" w:eastAsia="Courier New" w:hAnsi="Courier New"/>
          <w:b/>
          <w:bCs/>
          <w:color w:val="1B2A4A"/>
          <w:sz w:val="18"/>
          <w:szCs w:val="18"/>
        </w:rPr>
        <w:t xml:space="preserve">§16.5.d  </w:t>
      </w:r>
      <w:r>
        <w:rPr>
          <w:rFonts w:ascii="Garamond" w:cs="Garamond" w:eastAsia="Garamond" w:hAnsi="Garamond"/>
          <w:b/>
          <w:bCs/>
          <w:color w:val="1B2A4A"/>
          <w:sz w:val="22"/>
          <w:szCs w:val="22"/>
        </w:rPr>
        <w:t xml:space="preserve">Mid-Term Vacancy</w:t>
      </w:r>
    </w:p>
    <w:p>
      <w:pPr>
        <w:spacing w:after="120" w:before="0"/>
        <w:ind w:left="863"/>
        <w:jc w:val="both"/>
      </w:pPr>
      <w:r>
        <w:rPr>
          <w:rFonts w:ascii="Garamond" w:cs="Garamond" w:eastAsia="Garamond" w:hAnsi="Garamond"/>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pPr>
      <w:r>
        <w:rPr>
          <w:rFonts w:ascii="Courier New" w:cs="Courier New" w:eastAsia="Courier New" w:hAnsi="Courier New"/>
          <w:b/>
          <w:bCs/>
          <w:color w:val="1B2A4A"/>
          <w:sz w:val="18"/>
          <w:szCs w:val="18"/>
        </w:rPr>
        <w:t xml:space="preserve">§16.6  </w:t>
      </w:r>
      <w:r>
        <w:rPr>
          <w:rFonts w:ascii="Garamond" w:cs="Garamond" w:eastAsia="Garamond" w:hAnsi="Garamond"/>
          <w:b/>
          <w:bCs/>
          <w:color w:val="1B2A4A"/>
          <w:sz w:val="22"/>
          <w:szCs w:val="22"/>
        </w:rPr>
        <w:t xml:space="preserve">Electoral Commission Technical Deadlock</w:t>
      </w:r>
    </w:p>
    <w:p>
      <w:pPr>
        <w:spacing w:after="120" w:before="0"/>
        <w:ind w:left="431"/>
        <w:jc w:val="both"/>
      </w:pPr>
      <w:r>
        <w:rPr>
          <w:rFonts w:ascii="Garamond" w:cs="Garamond" w:eastAsia="Garamond" w:hAnsi="Garamond"/>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pPr>
      <w:r>
        <w:rPr>
          <w:rFonts w:ascii="Courier New" w:cs="Courier New" w:eastAsia="Courier New" w:hAnsi="Courier New"/>
          <w:b/>
          <w:bCs/>
          <w:color w:val="1B2A4A"/>
          <w:sz w:val="18"/>
          <w:szCs w:val="18"/>
        </w:rPr>
        <w:t xml:space="preserve">§16.7  </w:t>
      </w:r>
      <w:r>
        <w:rPr>
          <w:rFonts w:ascii="Garamond" w:cs="Garamond" w:eastAsia="Garamond" w:hAnsi="Garamond"/>
          <w:b/>
          <w:bCs/>
          <w:color w:val="1B2A4A"/>
          <w:sz w:val="22"/>
          <w:szCs w:val="22"/>
        </w:rPr>
        <w:t xml:space="preserve">Day Zero Voting System Transition</w:t>
      </w:r>
    </w:p>
    <w:p>
      <w:pPr>
        <w:spacing w:after="120" w:before="0"/>
        <w:ind w:left="431"/>
        <w:jc w:val="both"/>
      </w:pPr>
      <w:r>
        <w:rPr>
          <w:rFonts w:ascii="Garamond" w:cs="Garamond" w:eastAsia="Garamond" w:hAnsi="Garamond"/>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 — Defence and Security</w:t>
      </w:r>
    </w:p>
    <w:p>
      <w:pPr>
        <w:spacing w:after="120"/>
      </w:pPr>
    </w:p>
    <w:p>
      <w:pPr>
        <w:spacing w:after="60" w:before="200"/>
        <w:ind w:left="431"/>
      </w:pPr>
      <w:r>
        <w:rPr>
          <w:rFonts w:ascii="Courier New" w:cs="Courier New" w:eastAsia="Courier New" w:hAnsi="Courier New"/>
          <w:b/>
          <w:bCs/>
          <w:color w:val="1B2A4A"/>
          <w:sz w:val="18"/>
          <w:szCs w:val="18"/>
        </w:rPr>
        <w:t xml:space="preserve">§17.1  </w:t>
      </w:r>
      <w:r>
        <w:rPr>
          <w:rFonts w:ascii="Garamond" w:cs="Garamond" w:eastAsia="Garamond" w:hAnsi="Garamond"/>
          <w:b/>
          <w:bCs/>
          <w:color w:val="1B2A4A"/>
          <w:sz w:val="22"/>
          <w:szCs w:val="22"/>
        </w:rPr>
        <w:t xml:space="preserve">The Use Doctrine</w:t>
      </w:r>
    </w:p>
    <w:p>
      <w:pPr>
        <w:spacing w:after="120" w:before="0"/>
        <w:ind w:left="431"/>
        <w:jc w:val="both"/>
      </w:pPr>
      <w:r>
        <w:rPr>
          <w:rFonts w:ascii="Garamond" w:cs="Garamond" w:eastAsia="Garamond" w:hAnsi="Garamond"/>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pPr>
      <w:r>
        <w:rPr>
          <w:rFonts w:ascii="Courier New" w:cs="Courier New" w:eastAsia="Courier New" w:hAnsi="Courier New"/>
          <w:b/>
          <w:bCs/>
          <w:color w:val="1B2A4A"/>
          <w:sz w:val="18"/>
          <w:szCs w:val="18"/>
        </w:rPr>
        <w:t xml:space="preserve">§17.2  </w:t>
      </w:r>
      <w:r>
        <w:rPr>
          <w:rFonts w:ascii="Garamond" w:cs="Garamond" w:eastAsia="Garamond" w:hAnsi="Garamond"/>
          <w:b/>
          <w:bCs/>
          <w:color w:val="1B2A4A"/>
          <w:sz w:val="22"/>
          <w:szCs w:val="22"/>
        </w:rPr>
        <w:t xml:space="preserve">Seat of Government</w:t>
      </w:r>
    </w:p>
    <w:p>
      <w:pPr>
        <w:spacing w:after="120" w:before="0"/>
        <w:ind w:left="431"/>
        <w:jc w:val="both"/>
      </w:pPr>
      <w:r>
        <w:rPr>
          <w:rFonts w:ascii="Garamond" w:cs="Garamond" w:eastAsia="Garamond" w:hAnsi="Garamond"/>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863"/>
      </w:pPr>
      <w:r>
        <w:rPr>
          <w:rFonts w:ascii="Courier New" w:cs="Courier New" w:eastAsia="Courier New" w:hAnsi="Courier New"/>
          <w:b/>
          <w:bCs/>
          <w:color w:val="1B2A4A"/>
          <w:sz w:val="18"/>
          <w:szCs w:val="18"/>
        </w:rPr>
        <w:t xml:space="preserve">§17.2.a  </w:t>
      </w:r>
      <w:r>
        <w:rPr>
          <w:rFonts w:ascii="Garamond" w:cs="Garamond" w:eastAsia="Garamond" w:hAnsi="Garamond"/>
          <w:b/>
          <w:bCs/>
          <w:color w:val="1B2A4A"/>
          <w:sz w:val="22"/>
          <w:szCs w:val="22"/>
        </w:rPr>
        <w:t xml:space="preserve">Bid Process and Requirements Specification</w:t>
      </w:r>
    </w:p>
    <w:p>
      <w:pPr>
        <w:spacing w:after="120" w:before="0"/>
        <w:ind w:left="863"/>
        <w:jc w:val="both"/>
      </w:pPr>
      <w:r>
        <w:rPr>
          <w:rFonts w:ascii="Garamond" w:cs="Garamond" w:eastAsia="Garamond" w:hAnsi="Garamond"/>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863"/>
      </w:pPr>
      <w:r>
        <w:rPr>
          <w:rFonts w:ascii="Courier New" w:cs="Courier New" w:eastAsia="Courier New" w:hAnsi="Courier New"/>
          <w:b/>
          <w:bCs/>
          <w:color w:val="1B2A4A"/>
          <w:sz w:val="18"/>
          <w:szCs w:val="18"/>
        </w:rPr>
        <w:t xml:space="preserve">§17.2.b  </w:t>
      </w:r>
      <w:r>
        <w:rPr>
          <w:rFonts w:ascii="Garamond" w:cs="Garamond" w:eastAsia="Garamond" w:hAnsi="Garamond"/>
          <w:b/>
          <w:bCs/>
          <w:color w:val="1B2A4A"/>
          <w:sz w:val="22"/>
          <w:szCs w:val="22"/>
        </w:rPr>
        <w:t xml:space="preserve">Twenty-Year Review Cycle</w:t>
      </w:r>
    </w:p>
    <w:p>
      <w:pPr>
        <w:spacing w:after="120" w:before="0"/>
        <w:ind w:left="863"/>
        <w:jc w:val="both"/>
      </w:pPr>
      <w:r>
        <w:rPr>
          <w:rFonts w:ascii="Garamond" w:cs="Garamond" w:eastAsia="Garamond" w:hAnsi="Garamond"/>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863"/>
      </w:pPr>
      <w:r>
        <w:rPr>
          <w:rFonts w:ascii="Courier New" w:cs="Courier New" w:eastAsia="Courier New" w:hAnsi="Courier New"/>
          <w:b/>
          <w:bCs/>
          <w:color w:val="1B2A4A"/>
          <w:sz w:val="18"/>
          <w:szCs w:val="18"/>
        </w:rPr>
        <w:t xml:space="preserve">§17.2.c  </w:t>
      </w:r>
      <w:r>
        <w:rPr>
          <w:rFonts w:ascii="Garamond" w:cs="Garamond" w:eastAsia="Garamond" w:hAnsi="Garamond"/>
          <w:b/>
          <w:bCs/>
          <w:color w:val="1B2A4A"/>
          <w:sz w:val="22"/>
          <w:szCs w:val="22"/>
        </w:rPr>
        <w:t xml:space="preserve">Transition Window</w:t>
      </w:r>
    </w:p>
    <w:p>
      <w:pPr>
        <w:spacing w:after="120" w:before="0"/>
        <w:ind w:left="863"/>
        <w:jc w:val="both"/>
      </w:pPr>
      <w:r>
        <w:rPr>
          <w:rFonts w:ascii="Garamond" w:cs="Garamond" w:eastAsia="Garamond" w:hAnsi="Garamond"/>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863"/>
      </w:pPr>
      <w:r>
        <w:rPr>
          <w:rFonts w:ascii="Courier New" w:cs="Courier New" w:eastAsia="Courier New" w:hAnsi="Courier New"/>
          <w:b/>
          <w:bCs/>
          <w:color w:val="1B2A4A"/>
          <w:sz w:val="18"/>
          <w:szCs w:val="18"/>
        </w:rPr>
        <w:t xml:space="preserve">§17.2.d  </w:t>
      </w:r>
      <w:r>
        <w:rPr>
          <w:rFonts w:ascii="Garamond" w:cs="Garamond" w:eastAsia="Garamond" w:hAnsi="Garamond"/>
          <w:b/>
          <w:bCs/>
          <w:color w:val="1B2A4A"/>
          <w:sz w:val="22"/>
          <w:szCs w:val="22"/>
        </w:rPr>
        <w:t xml:space="preserve">No-Bid Scenario</w:t>
      </w:r>
    </w:p>
    <w:p>
      <w:pPr>
        <w:spacing w:after="120" w:before="0"/>
        <w:ind w:left="863"/>
        <w:jc w:val="both"/>
      </w:pPr>
      <w:r>
        <w:rPr>
          <w:rFonts w:ascii="Garamond" w:cs="Garamond" w:eastAsia="Garamond" w:hAnsi="Garamond"/>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§1.10.b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863"/>
      </w:pPr>
      <w:r>
        <w:rPr>
          <w:rFonts w:ascii="Courier New" w:cs="Courier New" w:eastAsia="Courier New" w:hAnsi="Courier New"/>
          <w:b/>
          <w:bCs/>
          <w:color w:val="1B2A4A"/>
          <w:sz w:val="18"/>
          <w:szCs w:val="18"/>
        </w:rPr>
        <w:t xml:space="preserve">§17.2.e  </w:t>
      </w:r>
      <w:r>
        <w:rPr>
          <w:rFonts w:ascii="Garamond" w:cs="Garamond" w:eastAsia="Garamond" w:hAnsi="Garamond"/>
          <w:b/>
          <w:bCs/>
          <w:color w:val="1B2A4A"/>
          <w:sz w:val="22"/>
          <w:szCs w:val="22"/>
        </w:rPr>
        <w:t xml:space="preserve">Federal Control Within Footprint</w:t>
      </w:r>
    </w:p>
    <w:p>
      <w:pPr>
        <w:spacing w:after="120" w:before="0"/>
        <w:ind w:left="863"/>
        <w:jc w:val="both"/>
      </w:pPr>
      <w:r>
        <w:rPr>
          <w:rFonts w:ascii="Garamond" w:cs="Garamond" w:eastAsia="Garamond" w:hAnsi="Garamond"/>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863"/>
      </w:pPr>
      <w:r>
        <w:rPr>
          <w:rFonts w:ascii="Courier New" w:cs="Courier New" w:eastAsia="Courier New" w:hAnsi="Courier New"/>
          <w:b/>
          <w:bCs/>
          <w:color w:val="1B2A4A"/>
          <w:sz w:val="18"/>
          <w:szCs w:val="18"/>
        </w:rPr>
        <w:t xml:space="preserve">§17.2.f  </w:t>
      </w:r>
      <w:r>
        <w:rPr>
          <w:rFonts w:ascii="Garamond" w:cs="Garamond" w:eastAsia="Garamond" w:hAnsi="Garamond"/>
          <w:b/>
          <w:bCs/>
          <w:color w:val="1B2A4A"/>
          <w:sz w:val="22"/>
          <w:szCs w:val="22"/>
        </w:rPr>
        <w:t xml:space="preserve">Resident Rights</w:t>
      </w:r>
    </w:p>
    <w:p>
      <w:pPr>
        <w:spacing w:after="120" w:before="0"/>
        <w:ind w:left="863"/>
        <w:jc w:val="both"/>
      </w:pPr>
      <w:r>
        <w:rPr>
          <w:rFonts w:ascii="Garamond" w:cs="Garamond" w:eastAsia="Garamond" w:hAnsi="Garamond"/>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863"/>
      </w:pPr>
      <w:r>
        <w:rPr>
          <w:rFonts w:ascii="Courier New" w:cs="Courier New" w:eastAsia="Courier New" w:hAnsi="Courier New"/>
          <w:b/>
          <w:bCs/>
          <w:color w:val="1B2A4A"/>
          <w:sz w:val="18"/>
          <w:szCs w:val="18"/>
        </w:rPr>
        <w:t xml:space="preserve">§17.3.a  </w:t>
      </w:r>
      <w:r>
        <w:rPr>
          <w:rFonts w:ascii="Garamond" w:cs="Garamond" w:eastAsia="Garamond" w:hAnsi="Garamond"/>
          <w:b/>
          <w:bCs/>
          <w:color w:val="1B2A4A"/>
          <w:sz w:val="22"/>
          <w:szCs w:val="22"/>
        </w:rPr>
        <w:t xml:space="preserve">Registration</w:t>
      </w:r>
    </w:p>
    <w:p>
      <w:pPr>
        <w:spacing w:after="120" w:before="0"/>
        <w:ind w:left="863"/>
        <w:jc w:val="both"/>
      </w:pPr>
      <w:r>
        <w:rPr>
          <w:rFonts w:ascii="Garamond" w:cs="Garamond" w:eastAsia="Garamond" w:hAnsi="Garamond"/>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863"/>
      </w:pPr>
      <w:r>
        <w:rPr>
          <w:rFonts w:ascii="Courier New" w:cs="Courier New" w:eastAsia="Courier New" w:hAnsi="Courier New"/>
          <w:b/>
          <w:bCs/>
          <w:color w:val="1B2A4A"/>
          <w:sz w:val="18"/>
          <w:szCs w:val="18"/>
        </w:rPr>
        <w:t xml:space="preserve">§17.3.b  </w:t>
      </w:r>
      <w:r>
        <w:rPr>
          <w:rFonts w:ascii="Garamond" w:cs="Garamond" w:eastAsia="Garamond" w:hAnsi="Garamond"/>
          <w:b/>
          <w:bCs/>
          <w:color w:val="1B2A4A"/>
          <w:sz w:val="22"/>
          <w:szCs w:val="22"/>
        </w:rPr>
        <w:t xml:space="preserve">Termination and Reversion</w:t>
      </w:r>
    </w:p>
    <w:p>
      <w:pPr>
        <w:spacing w:after="120" w:before="0"/>
        <w:ind w:left="863"/>
        <w:jc w:val="both"/>
      </w:pPr>
      <w:r>
        <w:rPr>
          <w:rFonts w:ascii="Garamond" w:cs="Garamond" w:eastAsia="Garamond" w:hAnsi="Garamond"/>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863"/>
      </w:pPr>
      <w:r>
        <w:rPr>
          <w:rFonts w:ascii="Courier New" w:cs="Courier New" w:eastAsia="Courier New" w:hAnsi="Courier New"/>
          <w:b/>
          <w:bCs/>
          <w:color w:val="1B2A4A"/>
          <w:sz w:val="18"/>
          <w:szCs w:val="18"/>
        </w:rPr>
        <w:t xml:space="preserve">§17.3.c  </w:t>
      </w:r>
      <w:r>
        <w:rPr>
          <w:rFonts w:ascii="Garamond" w:cs="Garamond" w:eastAsia="Garamond" w:hAnsi="Garamond"/>
          <w:b/>
          <w:bCs/>
          <w:color w:val="1B2A4A"/>
          <w:sz w:val="22"/>
          <w:szCs w:val="22"/>
        </w:rPr>
        <w:t xml:space="preserve">Improvements — Negotiated Settlement</w:t>
      </w:r>
    </w:p>
    <w:p>
      <w:pPr>
        <w:spacing w:after="120" w:before="0"/>
        <w:ind w:left="863"/>
        <w:jc w:val="both"/>
      </w:pPr>
      <w:r>
        <w:rPr>
          <w:rFonts w:ascii="Garamond" w:cs="Garamond" w:eastAsia="Garamond" w:hAnsi="Garamond"/>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863"/>
      </w:pPr>
      <w:r>
        <w:rPr>
          <w:rFonts w:ascii="Courier New" w:cs="Courier New" w:eastAsia="Courier New" w:hAnsi="Courier New"/>
          <w:b/>
          <w:bCs/>
          <w:color w:val="1B2A4A"/>
          <w:sz w:val="18"/>
          <w:szCs w:val="18"/>
        </w:rPr>
        <w:t xml:space="preserve">§17.3.d  </w:t>
      </w:r>
      <w:r>
        <w:rPr>
          <w:rFonts w:ascii="Garamond" w:cs="Garamond" w:eastAsia="Garamond" w:hAnsi="Garamond"/>
          <w:b/>
          <w:bCs/>
          <w:color w:val="1B2A4A"/>
          <w:sz w:val="22"/>
          <w:szCs w:val="22"/>
        </w:rPr>
        <w:t xml:space="preserve">Disputes</w:t>
      </w:r>
    </w:p>
    <w:p>
      <w:pPr>
        <w:spacing w:after="120" w:before="0"/>
        <w:ind w:left="863"/>
        <w:jc w:val="both"/>
      </w:pPr>
      <w:r>
        <w:rPr>
          <w:rFonts w:ascii="Garamond" w:cs="Garamond" w:eastAsia="Garamond" w:hAnsi="Garamond"/>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863"/>
      </w:pPr>
      <w:r>
        <w:rPr>
          <w:rFonts w:ascii="Courier New" w:cs="Courier New" w:eastAsia="Courier New" w:hAnsi="Courier New"/>
          <w:b/>
          <w:bCs/>
          <w:color w:val="1B2A4A"/>
          <w:sz w:val="18"/>
          <w:szCs w:val="18"/>
        </w:rPr>
        <w:t xml:space="preserve">§17.3.e  </w:t>
      </w:r>
      <w:r>
        <w:rPr>
          <w:rFonts w:ascii="Garamond" w:cs="Garamond" w:eastAsia="Garamond" w:hAnsi="Garamond"/>
          <w:b/>
          <w:bCs/>
          <w:color w:val="1B2A4A"/>
          <w:sz w:val="22"/>
          <w:szCs w:val="22"/>
        </w:rPr>
        <w:t xml:space="preserve">Independence Transition</w:t>
      </w:r>
    </w:p>
    <w:p>
      <w:pPr>
        <w:spacing w:after="120" w:before="0"/>
        <w:ind w:left="863"/>
        <w:jc w:val="both"/>
      </w:pPr>
      <w:r>
        <w:rPr>
          <w:rFonts w:ascii="Garamond" w:cs="Garamond" w:eastAsia="Garamond" w:hAnsi="Garamond"/>
          <w:color w:val="2a2520"/>
          <w:sz w:val="22"/>
          <w:szCs w:val="22"/>
        </w:rPr>
        <w:t xml:space="preserve">Where a State achieves independence through §15.4 and §15.5, automatic reversion under §17.3.b does not immediately apply to Operational Use Rights within the departing territory. Use rights continue under the terms of the framework agreement and independence treaty negotiated under §15.5.a. This prevents independence from instantly stranding critical infrastructure with no transition arrangement.</w:t>
      </w:r>
    </w:p>
    <w:p>
      <w:pPr>
        <w:spacing w:after="60" w:before="200"/>
        <w:ind w:left="431"/>
      </w:pPr>
      <w:r>
        <w:rPr>
          <w:rFonts w:ascii="Courier New" w:cs="Courier New" w:eastAsia="Courier New" w:hAnsi="Courier New"/>
          <w:b/>
          <w:bCs/>
          <w:color w:val="1B2A4A"/>
          <w:sz w:val="18"/>
          <w:szCs w:val="18"/>
        </w:rPr>
        <w:t xml:space="preserve">§17.4  </w:t>
      </w:r>
      <w:r>
        <w:rPr>
          <w:rFonts w:ascii="Garamond" w:cs="Garamond" w:eastAsia="Garamond" w:hAnsi="Garamond"/>
          <w:b/>
          <w:bCs/>
          <w:color w:val="1B2A4A"/>
          <w:sz w:val="22"/>
          <w:szCs w:val="22"/>
        </w:rPr>
        <w:t xml:space="preserve">The National Trust</w:t>
      </w:r>
    </w:p>
    <w:p>
      <w:pPr>
        <w:spacing w:after="120" w:before="0"/>
        <w:ind w:left="431"/>
        <w:jc w:val="both"/>
      </w:pPr>
      <w:r>
        <w:rPr>
          <w:rFonts w:ascii="Garamond" w:cs="Garamond" w:eastAsia="Garamond" w:hAnsi="Garamond"/>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863"/>
      </w:pPr>
      <w:r>
        <w:rPr>
          <w:rFonts w:ascii="Courier New" w:cs="Courier New" w:eastAsia="Courier New" w:hAnsi="Courier New"/>
          <w:b/>
          <w:bCs/>
          <w:color w:val="1B2A4A"/>
          <w:sz w:val="18"/>
          <w:szCs w:val="18"/>
        </w:rPr>
        <w:t xml:space="preserve">§17.4.a  </w:t>
      </w:r>
      <w:r>
        <w:rPr>
          <w:rFonts w:ascii="Garamond" w:cs="Garamond" w:eastAsia="Garamond" w:hAnsi="Garamond"/>
          <w:b/>
          <w:bCs/>
          <w:color w:val="1B2A4A"/>
          <w:sz w:val="22"/>
          <w:szCs w:val="22"/>
        </w:rPr>
        <w:t xml:space="preserve">Trust Nature</w:t>
      </w:r>
    </w:p>
    <w:p>
      <w:pPr>
        <w:spacing w:after="120" w:before="0"/>
        <w:ind w:left="863"/>
        <w:jc w:val="both"/>
      </w:pPr>
      <w:r>
        <w:rPr>
          <w:rFonts w:ascii="Garamond" w:cs="Garamond" w:eastAsia="Garamond" w:hAnsi="Garamond"/>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863"/>
      </w:pPr>
      <w:r>
        <w:rPr>
          <w:rFonts w:ascii="Courier New" w:cs="Courier New" w:eastAsia="Courier New" w:hAnsi="Courier New"/>
          <w:b/>
          <w:bCs/>
          <w:color w:val="1B2A4A"/>
          <w:sz w:val="18"/>
          <w:szCs w:val="18"/>
        </w:rPr>
        <w:t xml:space="preserve">§17.4.b  </w:t>
      </w:r>
      <w:r>
        <w:rPr>
          <w:rFonts w:ascii="Garamond" w:cs="Garamond" w:eastAsia="Garamond" w:hAnsi="Garamond"/>
          <w:b/>
          <w:bCs/>
          <w:color w:val="1B2A4A"/>
          <w:sz w:val="22"/>
          <w:szCs w:val="22"/>
        </w:rPr>
        <w:t xml:space="preserve">Stewardship Obligation</w:t>
      </w:r>
    </w:p>
    <w:p>
      <w:pPr>
        <w:spacing w:after="120" w:before="0"/>
        <w:ind w:left="863"/>
        <w:jc w:val="both"/>
      </w:pPr>
      <w:r>
        <w:rPr>
          <w:rFonts w:ascii="Garamond" w:cs="Garamond" w:eastAsia="Garamond" w:hAnsi="Garamond"/>
          <w:color w:val="2a2520"/>
          <w:sz w:val="22"/>
          <w:szCs w:val="22"/>
        </w:rPr>
        <w:t xml:space="preserve">The federal government has an active, enforceable obligation to maintain ecological integrity and public accessibility of National Trust lands. EI monitors stewardship compliance annually, cross-referenced with §1.22 (Right to a Healthy Environment). Failure triggers a mandatory remediation plan reported to the NRS. The Trust carries active obligations — not passive title.</w:t>
      </w:r>
    </w:p>
    <w:p>
      <w:pPr>
        <w:spacing w:after="60" w:before="200"/>
        <w:ind w:left="863"/>
      </w:pPr>
      <w:r>
        <w:rPr>
          <w:rFonts w:ascii="Courier New" w:cs="Courier New" w:eastAsia="Courier New" w:hAnsi="Courier New"/>
          <w:b/>
          <w:bCs/>
          <w:color w:val="1B2A4A"/>
          <w:sz w:val="18"/>
          <w:szCs w:val="18"/>
        </w:rPr>
        <w:t xml:space="preserve">§17.4.c  </w:t>
      </w:r>
      <w:r>
        <w:rPr>
          <w:rFonts w:ascii="Garamond" w:cs="Garamond" w:eastAsia="Garamond" w:hAnsi="Garamond"/>
          <w:b/>
          <w:bCs/>
          <w:color w:val="1B2A4A"/>
          <w:sz w:val="22"/>
          <w:szCs w:val="22"/>
        </w:rPr>
        <w:t xml:space="preserve">Co-Management</w:t>
      </w:r>
    </w:p>
    <w:p>
      <w:pPr>
        <w:spacing w:after="120" w:before="0"/>
        <w:ind w:left="863"/>
        <w:jc w:val="both"/>
      </w:pPr>
      <w:r>
        <w:rPr>
          <w:rFonts w:ascii="Garamond" w:cs="Garamond" w:eastAsia="Garamond" w:hAnsi="Garamond"/>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863"/>
      </w:pPr>
      <w:r>
        <w:rPr>
          <w:rFonts w:ascii="Courier New" w:cs="Courier New" w:eastAsia="Courier New" w:hAnsi="Courier New"/>
          <w:b/>
          <w:bCs/>
          <w:color w:val="1B2A4A"/>
          <w:sz w:val="18"/>
          <w:szCs w:val="18"/>
        </w:rPr>
        <w:t xml:space="preserve">§17.4.d  </w:t>
      </w:r>
      <w:r>
        <w:rPr>
          <w:rFonts w:ascii="Garamond" w:cs="Garamond" w:eastAsia="Garamond" w:hAnsi="Garamond"/>
          <w:b/>
          <w:bCs/>
          <w:color w:val="1B2A4A"/>
          <w:sz w:val="22"/>
          <w:szCs w:val="22"/>
        </w:rPr>
        <w:t xml:space="preserve">Reclassification Threshold</w:t>
      </w:r>
    </w:p>
    <w:p>
      <w:pPr>
        <w:spacing w:after="120" w:before="0"/>
        <w:ind w:left="863"/>
        <w:jc w:val="both"/>
      </w:pPr>
      <w:r>
        <w:rPr>
          <w:rFonts w:ascii="Garamond" w:cs="Garamond" w:eastAsia="Garamond" w:hAnsi="Garamond"/>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863"/>
      </w:pPr>
      <w:r>
        <w:rPr>
          <w:rFonts w:ascii="Courier New" w:cs="Courier New" w:eastAsia="Courier New" w:hAnsi="Courier New"/>
          <w:b/>
          <w:bCs/>
          <w:color w:val="1B2A4A"/>
          <w:sz w:val="18"/>
          <w:szCs w:val="18"/>
        </w:rPr>
        <w:t xml:space="preserve">§17.4.e  </w:t>
      </w:r>
      <w:r>
        <w:rPr>
          <w:rFonts w:ascii="Garamond" w:cs="Garamond" w:eastAsia="Garamond" w:hAnsi="Garamond"/>
          <w:b/>
          <w:bCs/>
          <w:color w:val="1B2A4A"/>
          <w:sz w:val="22"/>
          <w:szCs w:val="22"/>
        </w:rPr>
        <w:t xml:space="preserve">International Sites</w:t>
      </w:r>
    </w:p>
    <w:p>
      <w:pPr>
        <w:spacing w:after="120" w:before="0"/>
        <w:ind w:left="863"/>
        <w:jc w:val="both"/>
      </w:pPr>
      <w:r>
        <w:rPr>
          <w:rFonts w:ascii="Garamond" w:cs="Garamond" w:eastAsia="Garamond" w:hAnsi="Garamond"/>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863"/>
      </w:pPr>
      <w:r>
        <w:rPr>
          <w:rFonts w:ascii="Courier New" w:cs="Courier New" w:eastAsia="Courier New" w:hAnsi="Courier New"/>
          <w:b/>
          <w:bCs/>
          <w:color w:val="1B2A4A"/>
          <w:sz w:val="18"/>
          <w:szCs w:val="18"/>
        </w:rPr>
        <w:t xml:space="preserve">§17.4.f  </w:t>
      </w:r>
      <w:r>
        <w:rPr>
          <w:rFonts w:ascii="Garamond" w:cs="Garamond" w:eastAsia="Garamond" w:hAnsi="Garamond"/>
          <w:b/>
          <w:bCs/>
          <w:color w:val="1B2A4A"/>
          <w:sz w:val="22"/>
          <w:szCs w:val="22"/>
        </w:rPr>
        <w:t xml:space="preserve">Admission of New Trust Lands</w:t>
      </w:r>
    </w:p>
    <w:p>
      <w:pPr>
        <w:spacing w:after="120" w:before="0"/>
        <w:ind w:left="863"/>
        <w:jc w:val="both"/>
      </w:pPr>
      <w:r>
        <w:rPr>
          <w:rFonts w:ascii="Garamond" w:cs="Garamond" w:eastAsia="Garamond" w:hAnsi="Garamond"/>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863"/>
      </w:pPr>
      <w:r>
        <w:rPr>
          <w:rFonts w:ascii="Courier New" w:cs="Courier New" w:eastAsia="Courier New" w:hAnsi="Courier New"/>
          <w:b/>
          <w:bCs/>
          <w:color w:val="1B2A4A"/>
          <w:sz w:val="18"/>
          <w:szCs w:val="18"/>
        </w:rPr>
        <w:t xml:space="preserve">§17.4.g  </w:t>
      </w:r>
      <w:r>
        <w:rPr>
          <w:rFonts w:ascii="Garamond" w:cs="Garamond" w:eastAsia="Garamond" w:hAnsi="Garamond"/>
          <w:b/>
          <w:bCs/>
          <w:color w:val="1B2A4A"/>
          <w:sz w:val="22"/>
          <w:szCs w:val="22"/>
        </w:rPr>
        <w:t xml:space="preserve">National Trust Administrator</w:t>
      </w:r>
    </w:p>
    <w:p>
      <w:pPr>
        <w:spacing w:after="120" w:before="0"/>
        <w:ind w:left="863"/>
        <w:jc w:val="both"/>
      </w:pPr>
      <w:r>
        <w:rPr>
          <w:rFonts w:ascii="Garamond" w:cs="Garamond" w:eastAsia="Garamond" w:hAnsi="Garamond"/>
          <w:color w:val="2a2520"/>
          <w:sz w:val="22"/>
          <w:szCs w:val="22"/>
        </w:rPr>
        <w:t xml:space="preserve">The NTA is a statutory independent officer under §3.7 — the legislature creates the office by statute and calibrates its independence, term, and removal grounds through the enabling statute. The constitutional protections that matter for the Trust are in §17.4.a–f: the trust nature, the 65% referendum threshold for reclassification, the stewardship obligation, the EI's annual compliance monitoring. The Administrator is an operational role whose independence is appropriately protected by §3.7 rather than requiring the full constitutional appointment machinery. The enabling statute may not reduce the stewardship obligations or the EI monitoring.</w:t>
      </w:r>
    </w:p>
    <w:p>
      <w:pPr>
        <w:spacing w:after="60" w:before="200"/>
        <w:ind w:left="431"/>
      </w:pPr>
      <w:r>
        <w:rPr>
          <w:rFonts w:ascii="Courier New" w:cs="Courier New" w:eastAsia="Courier New" w:hAnsi="Courier New"/>
          <w:b/>
          <w:bCs/>
          <w:color w:val="1B2A4A"/>
          <w:sz w:val="18"/>
          <w:szCs w:val="18"/>
        </w:rPr>
        <w:t xml:space="preserve">§17.5  </w:t>
      </w:r>
      <w:r>
        <w:rPr>
          <w:rFonts w:ascii="Garamond" w:cs="Garamond" w:eastAsia="Garamond" w:hAnsi="Garamond"/>
          <w:b/>
          <w:bCs/>
          <w:color w:val="1B2A4A"/>
          <w:sz w:val="22"/>
          <w:szCs w:val="22"/>
        </w:rPr>
        <w:t xml:space="preserve">Federal Property in Territories</w:t>
      </w:r>
    </w:p>
    <w:p>
      <w:pPr>
        <w:spacing w:after="120" w:before="0"/>
        <w:ind w:left="431"/>
        <w:jc w:val="both"/>
      </w:pPr>
      <w:r>
        <w:rPr>
          <w:rFonts w:ascii="Garamond" w:cs="Garamond" w:eastAsia="Garamond" w:hAnsi="Garamond"/>
          <w:color w:val="2a2520"/>
          <w:sz w:val="22"/>
          <w:szCs w:val="22"/>
        </w:rPr>
        <w:t xml:space="preserve">Federal use rights in Territories follow the same framework as in States — Operational Use Rights (§17.3) and National Trust (§17.4) — without requiring host State legislative consent (Territories have no State legislature). The Territory's representative body and the LI are consulted. Same constitutional principles; consent mechanism adapts to the Territory's structure.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XVIII — Campaign Finance</w:t>
      </w:r>
    </w:p>
    <w:p>
      <w:pPr>
        <w:spacing w:after="120"/>
      </w:pPr>
    </w:p>
    <w:p>
      <w:pPr>
        <w:spacing w:after="60" w:before="200"/>
        <w:ind w:left="863"/>
      </w:pPr>
      <w:r>
        <w:rPr>
          <w:rFonts w:ascii="Courier New" w:cs="Courier New" w:eastAsia="Courier New" w:hAnsi="Courier New"/>
          <w:b/>
          <w:bCs/>
          <w:color w:val="1B2A4A"/>
          <w:sz w:val="18"/>
          <w:szCs w:val="18"/>
        </w:rPr>
        <w:t xml:space="preserve">§18.1.a  </w:t>
      </w:r>
      <w:r>
        <w:rPr>
          <w:rFonts w:ascii="Garamond" w:cs="Garamond" w:eastAsia="Garamond" w:hAnsi="Garamond"/>
          <w:b/>
          <w:bCs/>
          <w:color w:val="1B2A4A"/>
          <w:sz w:val="22"/>
          <w:szCs w:val="22"/>
        </w:rPr>
        <w:t xml:space="preserve">Financial Contributions as Electoral Acts</w:t>
      </w:r>
    </w:p>
    <w:p>
      <w:pPr>
        <w:spacing w:after="120" w:before="0"/>
        <w:ind w:left="863"/>
        <w:jc w:val="both"/>
      </w:pPr>
      <w:r>
        <w:rPr>
          <w:rFonts w:ascii="Garamond" w:cs="Garamond" w:eastAsia="Garamond" w:hAnsi="Garamond"/>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863"/>
      </w:pPr>
      <w:r>
        <w:rPr>
          <w:rFonts w:ascii="Courier New" w:cs="Courier New" w:eastAsia="Courier New" w:hAnsi="Courier New"/>
          <w:b/>
          <w:bCs/>
          <w:color w:val="1B2A4A"/>
          <w:sz w:val="18"/>
          <w:szCs w:val="18"/>
        </w:rPr>
        <w:t xml:space="preserve">§18.1.b  </w:t>
      </w:r>
      <w:r>
        <w:rPr>
          <w:rFonts w:ascii="Garamond" w:cs="Garamond" w:eastAsia="Garamond" w:hAnsi="Garamond"/>
          <w:b/>
          <w:bCs/>
          <w:color w:val="1B2A4A"/>
          <w:sz w:val="22"/>
          <w:szCs w:val="22"/>
        </w:rPr>
        <w:t xml:space="preserve">Natural Persons Only</w:t>
      </w:r>
    </w:p>
    <w:p>
      <w:pPr>
        <w:spacing w:after="120" w:before="0"/>
        <w:ind w:left="863"/>
        <w:jc w:val="both"/>
      </w:pPr>
      <w:r>
        <w:rPr>
          <w:rFonts w:ascii="Garamond" w:cs="Garamond" w:eastAsia="Garamond" w:hAnsi="Garamond"/>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863"/>
      </w:pPr>
      <w:r>
        <w:rPr>
          <w:rFonts w:ascii="Courier New" w:cs="Courier New" w:eastAsia="Courier New" w:hAnsi="Courier New"/>
          <w:b/>
          <w:bCs/>
          <w:color w:val="1B2A4A"/>
          <w:sz w:val="18"/>
          <w:szCs w:val="18"/>
        </w:rPr>
        <w:t xml:space="preserve">§18.1.c  </w:t>
      </w:r>
      <w:r>
        <w:rPr>
          <w:rFonts w:ascii="Garamond" w:cs="Garamond" w:eastAsia="Garamond" w:hAnsi="Garamond"/>
          <w:b/>
          <w:bCs/>
          <w:color w:val="1B2A4A"/>
          <w:sz w:val="22"/>
          <w:szCs w:val="22"/>
        </w:rPr>
        <w:t xml:space="preserve">Voter-Donor Parity</w:t>
      </w:r>
    </w:p>
    <w:p>
      <w:pPr>
        <w:spacing w:after="120" w:before="0"/>
        <w:ind w:left="863"/>
        <w:jc w:val="both"/>
      </w:pPr>
      <w:r>
        <w:rPr>
          <w:rFonts w:ascii="Garamond" w:cs="Garamond" w:eastAsia="Garamond" w:hAnsi="Garamond"/>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863"/>
      </w:pPr>
      <w:r>
        <w:rPr>
          <w:rFonts w:ascii="Courier New" w:cs="Courier New" w:eastAsia="Courier New" w:hAnsi="Courier New"/>
          <w:b/>
          <w:bCs/>
          <w:color w:val="1B2A4A"/>
          <w:sz w:val="18"/>
          <w:szCs w:val="18"/>
        </w:rPr>
        <w:t xml:space="preserve">§18.1.d  </w:t>
      </w:r>
      <w:r>
        <w:rPr>
          <w:rFonts w:ascii="Garamond" w:cs="Garamond" w:eastAsia="Garamond" w:hAnsi="Garamond"/>
          <w:b/>
          <w:bCs/>
          <w:color w:val="1B2A4A"/>
          <w:sz w:val="22"/>
          <w:szCs w:val="22"/>
        </w:rPr>
        <w:t xml:space="preserve">Full Disclosure</w:t>
      </w:r>
    </w:p>
    <w:p>
      <w:pPr>
        <w:spacing w:after="120" w:before="0"/>
        <w:ind w:left="863"/>
        <w:jc w:val="both"/>
      </w:pPr>
      <w:r>
        <w:rPr>
          <w:rFonts w:ascii="Garamond" w:cs="Garamond" w:eastAsia="Garamond" w:hAnsi="Garamond"/>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863"/>
      </w:pPr>
      <w:r>
        <w:rPr>
          <w:rFonts w:ascii="Courier New" w:cs="Courier New" w:eastAsia="Courier New" w:hAnsi="Courier New"/>
          <w:b/>
          <w:bCs/>
          <w:color w:val="1B2A4A"/>
          <w:sz w:val="18"/>
          <w:szCs w:val="18"/>
        </w:rPr>
        <w:t xml:space="preserve">§18.2.a  </w:t>
      </w:r>
      <w:r>
        <w:rPr>
          <w:rFonts w:ascii="Garamond" w:cs="Garamond" w:eastAsia="Garamond" w:hAnsi="Garamond"/>
          <w:b/>
          <w:bCs/>
          <w:color w:val="1B2A4A"/>
          <w:sz w:val="22"/>
          <w:szCs w:val="22"/>
        </w:rPr>
        <w:t xml:space="preserve">Qualification Threshold</w:t>
      </w:r>
    </w:p>
    <w:p>
      <w:pPr>
        <w:spacing w:after="120" w:before="0"/>
        <w:ind w:left="863"/>
        <w:jc w:val="both"/>
      </w:pPr>
      <w:r>
        <w:rPr>
          <w:rFonts w:ascii="Garamond" w:cs="Garamond" w:eastAsia="Garamond" w:hAnsi="Garamond"/>
          <w:color w:val="2a2520"/>
          <w:sz w:val="22"/>
          <w:szCs w:val="22"/>
        </w:rPr>
        <w:t xml:space="preserve">Campaign Conduct Standards — 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863"/>
      </w:pPr>
      <w:r>
        <w:rPr>
          <w:rFonts w:ascii="Courier New" w:cs="Courier New" w:eastAsia="Courier New" w:hAnsi="Courier New"/>
          <w:b/>
          <w:bCs/>
          <w:color w:val="1B2A4A"/>
          <w:sz w:val="18"/>
          <w:szCs w:val="18"/>
        </w:rPr>
        <w:t xml:space="preserve">§18.2.b  </w:t>
      </w:r>
      <w:r>
        <w:rPr>
          <w:rFonts w:ascii="Garamond" w:cs="Garamond" w:eastAsia="Garamond" w:hAnsi="Garamond"/>
          <w:b/>
          <w:bCs/>
          <w:color w:val="1B2A4A"/>
          <w:sz w:val="22"/>
          <w:szCs w:val="22"/>
        </w:rPr>
        <w:t xml:space="preserve">Adequate Allocation</w:t>
      </w:r>
    </w:p>
    <w:p>
      <w:pPr>
        <w:spacing w:after="120" w:before="0"/>
        <w:ind w:left="863"/>
        <w:jc w:val="both"/>
      </w:pPr>
      <w:r>
        <w:rPr>
          <w:rFonts w:ascii="Garamond" w:cs="Garamond" w:eastAsia="Garamond" w:hAnsi="Garamond"/>
          <w:color w:val="2a2520"/>
          <w:sz w:val="22"/>
          <w:szCs w:val="22"/>
        </w:rPr>
        <w:t xml:space="preserve">Media and Communication Standards — campaign communications must clearly identify their sponsor. Fabricated or deceptively edited communications about other candidates are prohibited. Violations are reportable to the EI and may result in contribution return orders.</w:t>
      </w:r>
    </w:p>
    <w:p>
      <w:pPr>
        <w:spacing w:after="60" w:before="200"/>
        <w:ind w:left="863"/>
      </w:pPr>
      <w:r>
        <w:rPr>
          <w:rFonts w:ascii="Courier New" w:cs="Courier New" w:eastAsia="Courier New" w:hAnsi="Courier New"/>
          <w:b/>
          <w:bCs/>
          <w:color w:val="1B2A4A"/>
          <w:sz w:val="18"/>
          <w:szCs w:val="18"/>
        </w:rPr>
        <w:t xml:space="preserve">§18.2.c  </w:t>
      </w:r>
      <w:r>
        <w:rPr>
          <w:rFonts w:ascii="Garamond" w:cs="Garamond" w:eastAsia="Garamond" w:hAnsi="Garamond"/>
          <w:b/>
          <w:bCs/>
          <w:color w:val="1B2A4A"/>
          <w:sz w:val="22"/>
          <w:szCs w:val="22"/>
        </w:rPr>
        <w:t xml:space="preserve">Optional Participation</w:t>
      </w:r>
    </w:p>
    <w:p>
      <w:pPr>
        <w:spacing w:after="120" w:before="0"/>
        <w:ind w:left="863"/>
        <w:jc w:val="both"/>
      </w:pPr>
      <w:r>
        <w:rPr>
          <w:rFonts w:ascii="Garamond" w:cs="Garamond" w:eastAsia="Garamond" w:hAnsi="Garamond"/>
          <w:color w:val="2a2520"/>
          <w:sz w:val="22"/>
          <w:szCs w:val="22"/>
        </w:rPr>
        <w:t xml:space="preserve">Foreign Interference — any attempt by a foreign government, foreign national, or foreign-controlled entity to influence a Republic election is a constitutional breach. Both the EI and the President's intelligence domain have concurrent obligations to monitor and report foreign electoral interference. The EC must publish any credible foreign interference finding to the NRS within 24 hours of identification.</w:t>
      </w:r>
    </w:p>
    <w:p>
      <w:pPr>
        <w:spacing w:after="60" w:before="200"/>
        <w:ind w:left="863"/>
      </w:pPr>
      <w:r>
        <w:rPr>
          <w:rFonts w:ascii="Courier New" w:cs="Courier New" w:eastAsia="Courier New" w:hAnsi="Courier New"/>
          <w:b/>
          <w:bCs/>
          <w:color w:val="1B2A4A"/>
          <w:sz w:val="18"/>
          <w:szCs w:val="18"/>
        </w:rPr>
        <w:t xml:space="preserve">§18.2.d  </w:t>
      </w:r>
      <w:r>
        <w:rPr>
          <w:rFonts w:ascii="Garamond" w:cs="Garamond" w:eastAsia="Garamond" w:hAnsi="Garamond"/>
          <w:b/>
          <w:bCs/>
          <w:color w:val="1B2A4A"/>
          <w:sz w:val="22"/>
          <w:szCs w:val="22"/>
        </w:rPr>
        <w:t xml:space="preserve">EC Administration</w:t>
      </w:r>
    </w:p>
    <w:p>
      <w:pPr>
        <w:spacing w:after="120" w:before="0"/>
        <w:ind w:left="863"/>
        <w:jc w:val="both"/>
      </w:pPr>
      <w:r>
        <w:rPr>
          <w:rFonts w:ascii="Garamond" w:cs="Garamond" w:eastAsia="Garamond" w:hAnsi="Garamond"/>
          <w:color w:val="2a2520"/>
          <w:sz w:val="22"/>
          <w:szCs w:val="22"/>
        </w:rPr>
        <w:t xml:space="preserve">Incumbent Advantage Rules — constitutional officeholders standing for election in a different race must observe strict separation between their official functions and their campaign activities. Official resources — staff, communications, facilities — may not be used for campaign purposes. The EI audits incumbent campaigns for compliance.</w:t>
      </w:r>
    </w:p>
    <w:p>
      <w:pPr>
        <w:spacing w:after="60" w:before="200"/>
        <w:ind w:left="863"/>
      </w:pPr>
      <w:r>
        <w:rPr>
          <w:rFonts w:ascii="Courier New" w:cs="Courier New" w:eastAsia="Courier New" w:hAnsi="Courier New"/>
          <w:b/>
          <w:bCs/>
          <w:color w:val="1B2A4A"/>
          <w:sz w:val="18"/>
          <w:szCs w:val="18"/>
        </w:rPr>
        <w:t xml:space="preserve">§18.3.a  </w:t>
      </w:r>
      <w:r>
        <w:rPr>
          <w:rFonts w:ascii="Garamond" w:cs="Garamond" w:eastAsia="Garamond" w:hAnsi="Garamond"/>
          <w:b/>
          <w:bCs/>
          <w:color w:val="1B2A4A"/>
          <w:sz w:val="22"/>
          <w:szCs w:val="22"/>
        </w:rPr>
        <w:t xml:space="preserve">Separation from the Voting System</w:t>
      </w:r>
    </w:p>
    <w:p>
      <w:pPr>
        <w:spacing w:after="120" w:before="0"/>
        <w:ind w:left="863"/>
        <w:jc w:val="both"/>
      </w:pPr>
      <w:r>
        <w:rPr>
          <w:rFonts w:ascii="Garamond" w:cs="Garamond" w:eastAsia="Garamond" w:hAnsi="Garamond"/>
          <w:color w:val="2a2520"/>
          <w:sz w:val="22"/>
          <w:szCs w:val="22"/>
        </w:rPr>
        <w:t xml:space="preserve">Public Campaign Financing Structure — consistent with §10.3.a, the public financing system provides all registered candidates with equal baseline funding. Candidates who opt into the public system accept the contribution cap in exchange for public funding. Candidates who opt out may raise private contributions but must comply with all disclosure and contribution limit requirements.</w:t>
      </w:r>
    </w:p>
    <w:p>
      <w:pPr>
        <w:spacing w:after="60" w:before="200"/>
        <w:ind w:left="863"/>
      </w:pPr>
      <w:r>
        <w:rPr>
          <w:rFonts w:ascii="Courier New" w:cs="Courier New" w:eastAsia="Courier New" w:hAnsi="Courier New"/>
          <w:b/>
          <w:bCs/>
          <w:color w:val="1B2A4A"/>
          <w:sz w:val="18"/>
          <w:szCs w:val="18"/>
        </w:rPr>
        <w:t xml:space="preserve">§18.3.b  </w:t>
      </w:r>
      <w:r>
        <w:rPr>
          <w:rFonts w:ascii="Garamond" w:cs="Garamond" w:eastAsia="Garamond" w:hAnsi="Garamond"/>
          <w:b/>
          <w:bCs/>
          <w:color w:val="1B2A4A"/>
          <w:sz w:val="22"/>
          <w:szCs w:val="22"/>
        </w:rPr>
        <w:t xml:space="preserve">Registry Contents</w:t>
      </w:r>
    </w:p>
    <w:p>
      <w:pPr>
        <w:spacing w:after="120" w:before="0"/>
        <w:ind w:left="863"/>
        <w:jc w:val="both"/>
      </w:pPr>
      <w:r>
        <w:rPr>
          <w:rFonts w:ascii="Garamond" w:cs="Garamond" w:eastAsia="Garamond" w:hAnsi="Garamond"/>
          <w:color w:val="2a2520"/>
          <w:sz w:val="22"/>
          <w:szCs w:val="22"/>
        </w:rPr>
        <w:t xml:space="preserve">Matching Funds — the Legislature may by statute create a matching funds component providing additional public funds that match small contributions from citizens. Matching funds incentivize broad citizen participation in campaign financing rather than reliance on a small number of large donors.</w:t>
      </w:r>
    </w:p>
    <w:p>
      <w:pPr>
        <w:spacing w:after="60" w:before="200"/>
        <w:ind w:left="863"/>
      </w:pPr>
      <w:r>
        <w:rPr>
          <w:rFonts w:ascii="Courier New" w:cs="Courier New" w:eastAsia="Courier New" w:hAnsi="Courier New"/>
          <w:b/>
          <w:bCs/>
          <w:color w:val="1B2A4A"/>
          <w:sz w:val="18"/>
          <w:szCs w:val="18"/>
        </w:rPr>
        <w:t xml:space="preserve">§18.3.c  </w:t>
      </w:r>
      <w:r>
        <w:rPr>
          <w:rFonts w:ascii="Garamond" w:cs="Garamond" w:eastAsia="Garamond" w:hAnsi="Garamond"/>
          <w:b/>
          <w:bCs/>
          <w:color w:val="1B2A4A"/>
          <w:sz w:val="22"/>
          <w:szCs w:val="22"/>
        </w:rPr>
        <w:t xml:space="preserve">Aggregate Attribution</w:t>
      </w:r>
    </w:p>
    <w:p>
      <w:pPr>
        <w:spacing w:after="120" w:before="0"/>
        <w:ind w:left="863"/>
        <w:jc w:val="both"/>
      </w:pPr>
      <w:r>
        <w:rPr>
          <w:rFonts w:ascii="Garamond" w:cs="Garamond" w:eastAsia="Garamond" w:hAnsi="Garamond"/>
          <w:color w:val="2a2520"/>
          <w:sz w:val="22"/>
          <w:szCs w:val="22"/>
        </w:rPr>
        <w:t xml:space="preserve">EC Allocation of Public Funds — the EC allocates public campaign funds based on objective criteria published before each election cycle. Allocation criteria may not be set in a way that systematically advantages incumbents or established parties.</w:t>
      </w:r>
    </w:p>
    <w:p>
      <w:pPr>
        <w:spacing w:after="60" w:before="200"/>
        <w:ind w:left="863"/>
      </w:pPr>
      <w:r>
        <w:rPr>
          <w:rFonts w:ascii="Courier New" w:cs="Courier New" w:eastAsia="Courier New" w:hAnsi="Courier New"/>
          <w:b/>
          <w:bCs/>
          <w:color w:val="1B2A4A"/>
          <w:sz w:val="18"/>
          <w:szCs w:val="18"/>
        </w:rPr>
        <w:t xml:space="preserve">§18.3.d  </w:t>
      </w:r>
      <w:r>
        <w:rPr>
          <w:rFonts w:ascii="Garamond" w:cs="Garamond" w:eastAsia="Garamond" w:hAnsi="Garamond"/>
          <w:b/>
          <w:bCs/>
          <w:color w:val="1B2A4A"/>
          <w:sz w:val="22"/>
          <w:szCs w:val="22"/>
        </w:rPr>
        <w:t xml:space="preserve">Administration</w:t>
      </w:r>
    </w:p>
    <w:p>
      <w:pPr>
        <w:spacing w:after="120" w:before="0"/>
        <w:ind w:left="863"/>
        <w:jc w:val="both"/>
      </w:pPr>
      <w:r>
        <w:rPr>
          <w:rFonts w:ascii="Garamond" w:cs="Garamond" w:eastAsia="Garamond" w:hAnsi="Garamond"/>
          <w:color w:val="2a2520"/>
          <w:sz w:val="22"/>
          <w:szCs w:val="22"/>
        </w:rPr>
        <w:t xml:space="preserve">Financial contributions to electoral campaigns are not constitutionally protected speech under §1.4, and are not protected as associational activity under §1.7. The regulation of electoral finance is a matter of democratic integrity explicitly reserved from both speech and associational protection. One of the most direct rejections of Citizens United reasoning in the document.</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XIX — Transition</w:t>
      </w:r>
    </w:p>
    <w:p>
      <w:pPr>
        <w:spacing w:after="120"/>
      </w:pPr>
    </w:p>
    <w:p>
      <w:pPr>
        <w:spacing w:after="60" w:before="200"/>
        <w:ind w:left="431"/>
      </w:pPr>
      <w:r>
        <w:rPr>
          <w:rFonts w:ascii="Courier New" w:cs="Courier New" w:eastAsia="Courier New" w:hAnsi="Courier New"/>
          <w:b/>
          <w:bCs/>
          <w:color w:val="1B2A4A"/>
          <w:sz w:val="18"/>
          <w:szCs w:val="18"/>
        </w:rPr>
        <w:t xml:space="preserve">§19.1  </w:t>
      </w:r>
      <w:r>
        <w:rPr>
          <w:rFonts w:ascii="Garamond" w:cs="Garamond" w:eastAsia="Garamond" w:hAnsi="Garamond"/>
          <w:b/>
          <w:bCs/>
          <w:color w:val="1B2A4A"/>
          <w:sz w:val="22"/>
          <w:szCs w:val="22"/>
        </w:rPr>
        <w:t xml:space="preserve">The Activation Threshold</w:t>
      </w:r>
    </w:p>
    <w:p>
      <w:pPr>
        <w:spacing w:after="120" w:before="0"/>
        <w:ind w:left="431"/>
        <w:jc w:val="both"/>
      </w:pPr>
      <w:r>
        <w:rPr>
          <w:rFonts w:ascii="Garamond" w:cs="Garamond" w:eastAsia="Garamond" w:hAnsi="Garamond"/>
          <w:color w:val="2a2520"/>
          <w:sz w:val="22"/>
          <w:szCs w:val="22"/>
        </w:rPr>
        <w:t xml:space="preserve">Three subsections after v145 restructuring: activation threshold (§19.1.a), institutional accommodation for existing legal structures (§19.1.b), and multi-founder formation for sovereign nations pooling sovereignty (§19.1.c). Previously a single wall-of-text paragraph — restructuring makes §19.1 readable without changing any substantive content.</w:t>
      </w:r>
    </w:p>
    <w:p>
      <w:pPr>
        <w:spacing w:after="60" w:before="200"/>
        <w:ind w:left="863"/>
      </w:pPr>
      <w:r>
        <w:rPr>
          <w:rFonts w:ascii="Courier New" w:cs="Courier New" w:eastAsia="Courier New" w:hAnsi="Courier New"/>
          <w:b/>
          <w:bCs/>
          <w:color w:val="1B2A4A"/>
          <w:sz w:val="18"/>
          <w:szCs w:val="18"/>
        </w:rPr>
        <w:t xml:space="preserve">§19.1.a  </w:t>
      </w:r>
      <w:r>
        <w:rPr>
          <w:rFonts w:ascii="Garamond" w:cs="Garamond" w:eastAsia="Garamond" w:hAnsi="Garamond"/>
          <w:b/>
          <w:bCs/>
          <w:color w:val="1B2A4A"/>
          <w:sz w:val="22"/>
          <w:szCs w:val="22"/>
        </w:rPr>
        <w:t xml:space="preserve">Activation Threshold</w:t>
      </w:r>
    </w:p>
    <w:p>
      <w:pPr>
        <w:spacing w:after="120" w:before="0"/>
        <w:ind w:left="863"/>
        <w:jc w:val="both"/>
      </w:pPr>
      <w:r>
        <w:rPr>
          <w:rFonts w:ascii="Garamond" w:cs="Garamond" w:eastAsia="Garamond" w:hAnsi="Garamond"/>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863"/>
      </w:pPr>
      <w:r>
        <w:rPr>
          <w:rFonts w:ascii="Courier New" w:cs="Courier New" w:eastAsia="Courier New" w:hAnsi="Courier New"/>
          <w:b/>
          <w:bCs/>
          <w:color w:val="1B2A4A"/>
          <w:sz w:val="18"/>
          <w:szCs w:val="18"/>
        </w:rPr>
        <w:t xml:space="preserve">§19.1.b  </w:t>
      </w:r>
      <w:r>
        <w:rPr>
          <w:rFonts w:ascii="Garamond" w:cs="Garamond" w:eastAsia="Garamond" w:hAnsi="Garamond"/>
          <w:b/>
          <w:bCs/>
          <w:color w:val="1B2A4A"/>
          <w:sz w:val="22"/>
          <w:szCs w:val="22"/>
        </w:rPr>
        <w:t xml:space="preserve">Institutional Accommodation</w:t>
      </w:r>
    </w:p>
    <w:p>
      <w:pPr>
        <w:spacing w:after="120" w:before="0"/>
        <w:ind w:left="863"/>
        <w:jc w:val="both"/>
      </w:pPr>
      <w:r>
        <w:rPr>
          <w:rFonts w:ascii="Garamond" w:cs="Garamond" w:eastAsia="Garamond" w:hAnsi="Garamond"/>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863"/>
      </w:pPr>
      <w:r>
        <w:rPr>
          <w:rFonts w:ascii="Courier New" w:cs="Courier New" w:eastAsia="Courier New" w:hAnsi="Courier New"/>
          <w:b/>
          <w:bCs/>
          <w:color w:val="1B2A4A"/>
          <w:sz w:val="18"/>
          <w:szCs w:val="18"/>
        </w:rPr>
        <w:t xml:space="preserve">§19.1.c  </w:t>
      </w:r>
      <w:r>
        <w:rPr>
          <w:rFonts w:ascii="Garamond" w:cs="Garamond" w:eastAsia="Garamond" w:hAnsi="Garamond"/>
          <w:b/>
          <w:bCs/>
          <w:color w:val="1B2A4A"/>
          <w:sz w:val="22"/>
          <w:szCs w:val="22"/>
        </w:rPr>
        <w:t xml:space="preserve">Multi-Founder Formation</w:t>
      </w:r>
    </w:p>
    <w:p>
      <w:pPr>
        <w:spacing w:after="120" w:before="0"/>
        <w:ind w:left="863"/>
        <w:jc w:val="both"/>
      </w:pPr>
      <w:r>
        <w:rPr>
          <w:rFonts w:ascii="Garamond" w:cs="Garamond" w:eastAsia="Garamond" w:hAnsi="Garamond"/>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pPr>
      <w:r>
        <w:rPr>
          <w:rFonts w:ascii="Courier New" w:cs="Courier New" w:eastAsia="Courier New" w:hAnsi="Courier New"/>
          <w:b/>
          <w:bCs/>
          <w:color w:val="1B2A4A"/>
          <w:sz w:val="18"/>
          <w:szCs w:val="18"/>
        </w:rPr>
        <w:t xml:space="preserve">§19.2  </w:t>
      </w:r>
      <w:r>
        <w:rPr>
          <w:rFonts w:ascii="Garamond" w:cs="Garamond" w:eastAsia="Garamond" w:hAnsi="Garamond"/>
          <w:b/>
          <w:bCs/>
          <w:color w:val="1B2A4A"/>
          <w:sz w:val="22"/>
          <w:szCs w:val="22"/>
        </w:rPr>
        <w:t xml:space="preserve">Day Zero</w:t>
      </w:r>
    </w:p>
    <w:p>
      <w:pPr>
        <w:spacing w:after="120" w:before="0"/>
        <w:ind w:left="431"/>
        <w:jc w:val="both"/>
      </w:pPr>
      <w:r>
        <w:rPr>
          <w:rFonts w:ascii="Garamond" w:cs="Garamond" w:eastAsia="Garamond" w:hAnsi="Garamond"/>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w:t>
      </w:r>
    </w:p>
    <w:p>
      <w:pPr>
        <w:spacing w:after="60" w:before="200"/>
        <w:ind w:left="431"/>
      </w:pPr>
      <w:r>
        <w:rPr>
          <w:rFonts w:ascii="Courier New" w:cs="Courier New" w:eastAsia="Courier New" w:hAnsi="Courier New"/>
          <w:b/>
          <w:bCs/>
          <w:color w:val="1B2A4A"/>
          <w:sz w:val="18"/>
          <w:szCs w:val="18"/>
        </w:rPr>
        <w:t xml:space="preserve">§19.3  </w:t>
      </w:r>
      <w:r>
        <w:rPr>
          <w:rFonts w:ascii="Garamond" w:cs="Garamond" w:eastAsia="Garamond" w:hAnsi="Garamond"/>
          <w:b/>
          <w:bCs/>
          <w:color w:val="1B2A4A"/>
          <w:sz w:val="22"/>
          <w:szCs w:val="22"/>
        </w:rPr>
        <w:t xml:space="preserve">The Four-Phase Transition</w:t>
      </w:r>
    </w:p>
    <w:p>
      <w:pPr>
        <w:spacing w:after="120" w:before="0"/>
        <w:ind w:left="431"/>
        <w:jc w:val="both"/>
      </w:pPr>
      <w:r>
        <w:rPr>
          <w:rFonts w:ascii="Garamond" w:cs="Garamond" w:eastAsia="Garamond" w:hAnsi="Garamond"/>
          <w:color w:val="2a2520"/>
          <w:sz w:val="22"/>
          <w:szCs w:val="22"/>
        </w:rPr>
        <w:t xml:space="preserve">24-month, four-phase process. Seven provisions: Phase 0 pre-ratification preparation (§19.3.a), Phase 1 emergency stabilisation Days 1-90 (§19.3.b), Phase 2 institutional construction Days 91-270 (§19.3.c), Phase 3 first elections Days 271-450 (§19.3.d), Phase 4 full operation (§19.3.e), provisional NRS authority (§19.3.f), and phase extension mechanism (§19.3.g, new v143).</w:t>
      </w:r>
    </w:p>
    <w:p>
      <w:pPr>
        <w:spacing w:after="60" w:before="200"/>
        <w:ind w:left="863"/>
      </w:pPr>
      <w:r>
        <w:rPr>
          <w:rFonts w:ascii="Courier New" w:cs="Courier New" w:eastAsia="Courier New" w:hAnsi="Courier New"/>
          <w:b/>
          <w:bCs/>
          <w:color w:val="1B2A4A"/>
          <w:sz w:val="18"/>
          <w:szCs w:val="18"/>
        </w:rPr>
        <w:t xml:space="preserve">§19.3.a  </w:t>
      </w:r>
      <w:r>
        <w:rPr>
          <w:rFonts w:ascii="Garamond" w:cs="Garamond" w:eastAsia="Garamond" w:hAnsi="Garamond"/>
          <w:b/>
          <w:bCs/>
          <w:color w:val="1B2A4A"/>
          <w:sz w:val="22"/>
          <w:szCs w:val="22"/>
        </w:rPr>
        <w:t xml:space="preserve">Phase 0 — Pre-Ratification Preparation</w:t>
      </w:r>
    </w:p>
    <w:p>
      <w:pPr>
        <w:spacing w:after="120" w:before="0"/>
        <w:ind w:left="863"/>
        <w:jc w:val="both"/>
      </w:pPr>
      <w:r>
        <w:rPr>
          <w:rFonts w:ascii="Garamond" w:cs="Garamond" w:eastAsia="Garamond" w:hAnsi="Garamond"/>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863"/>
      </w:pPr>
      <w:r>
        <w:rPr>
          <w:rFonts w:ascii="Courier New" w:cs="Courier New" w:eastAsia="Courier New" w:hAnsi="Courier New"/>
          <w:b/>
          <w:bCs/>
          <w:color w:val="1B2A4A"/>
          <w:sz w:val="18"/>
          <w:szCs w:val="18"/>
        </w:rPr>
        <w:t xml:space="preserve">§19.3.b  </w:t>
      </w:r>
      <w:r>
        <w:rPr>
          <w:rFonts w:ascii="Garamond" w:cs="Garamond" w:eastAsia="Garamond" w:hAnsi="Garamond"/>
          <w:b/>
          <w:bCs/>
          <w:color w:val="1B2A4A"/>
          <w:sz w:val="22"/>
          <w:szCs w:val="22"/>
        </w:rPr>
        <w:t xml:space="preserve">Phase 1 — Emergency Stabilization (Days 1–90)</w:t>
      </w:r>
    </w:p>
    <w:p>
      <w:pPr>
        <w:spacing w:after="120" w:before="0"/>
        <w:ind w:left="863"/>
        <w:jc w:val="both"/>
      </w:pPr>
      <w:r>
        <w:rPr>
          <w:rFonts w:ascii="Garamond" w:cs="Garamond" w:eastAsia="Garamond" w:hAnsi="Garamond"/>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863"/>
      </w:pPr>
      <w:r>
        <w:rPr>
          <w:rFonts w:ascii="Courier New" w:cs="Courier New" w:eastAsia="Courier New" w:hAnsi="Courier New"/>
          <w:b/>
          <w:bCs/>
          <w:color w:val="1B2A4A"/>
          <w:sz w:val="18"/>
          <w:szCs w:val="18"/>
        </w:rPr>
        <w:t xml:space="preserve">§19.3.c  </w:t>
      </w:r>
      <w:r>
        <w:rPr>
          <w:rFonts w:ascii="Garamond" w:cs="Garamond" w:eastAsia="Garamond" w:hAnsi="Garamond"/>
          <w:b/>
          <w:bCs/>
          <w:color w:val="1B2A4A"/>
          <w:sz w:val="22"/>
          <w:szCs w:val="22"/>
        </w:rPr>
        <w:t xml:space="preserve">Phase 2 — Institutional Construction (Days 91–270)</w:t>
      </w:r>
    </w:p>
    <w:p>
      <w:pPr>
        <w:spacing w:after="120" w:before="0"/>
        <w:ind w:left="863"/>
        <w:jc w:val="both"/>
      </w:pPr>
      <w:r>
        <w:rPr>
          <w:rFonts w:ascii="Garamond" w:cs="Garamond" w:eastAsia="Garamond" w:hAnsi="Garamond"/>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863"/>
      </w:pPr>
      <w:r>
        <w:rPr>
          <w:rFonts w:ascii="Courier New" w:cs="Courier New" w:eastAsia="Courier New" w:hAnsi="Courier New"/>
          <w:b/>
          <w:bCs/>
          <w:color w:val="1B2A4A"/>
          <w:sz w:val="18"/>
          <w:szCs w:val="18"/>
        </w:rPr>
        <w:t xml:space="preserve">§19.3.d  </w:t>
      </w:r>
      <w:r>
        <w:rPr>
          <w:rFonts w:ascii="Garamond" w:cs="Garamond" w:eastAsia="Garamond" w:hAnsi="Garamond"/>
          <w:b/>
          <w:bCs/>
          <w:color w:val="1B2A4A"/>
          <w:sz w:val="22"/>
          <w:szCs w:val="22"/>
        </w:rPr>
        <w:t xml:space="preserve">Phase 3 — First Elections (Days 271–450)</w:t>
      </w:r>
    </w:p>
    <w:p>
      <w:pPr>
        <w:spacing w:after="120" w:before="0"/>
        <w:ind w:left="863"/>
        <w:jc w:val="both"/>
      </w:pPr>
      <w:r>
        <w:rPr>
          <w:rFonts w:ascii="Garamond" w:cs="Garamond" w:eastAsia="Garamond" w:hAnsi="Garamond"/>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863"/>
      </w:pPr>
      <w:r>
        <w:rPr>
          <w:rFonts w:ascii="Courier New" w:cs="Courier New" w:eastAsia="Courier New" w:hAnsi="Courier New"/>
          <w:b/>
          <w:bCs/>
          <w:color w:val="1B2A4A"/>
          <w:sz w:val="18"/>
          <w:szCs w:val="18"/>
        </w:rPr>
        <w:t xml:space="preserve">§19.3.e  </w:t>
      </w:r>
      <w:r>
        <w:rPr>
          <w:rFonts w:ascii="Garamond" w:cs="Garamond" w:eastAsia="Garamond" w:hAnsi="Garamond"/>
          <w:b/>
          <w:bCs/>
          <w:color w:val="1B2A4A"/>
          <w:sz w:val="22"/>
          <w:szCs w:val="22"/>
        </w:rPr>
        <w:t xml:space="preserve">Phase 4 — Full Constitutional Operation</w:t>
      </w:r>
    </w:p>
    <w:p>
      <w:pPr>
        <w:spacing w:after="120" w:before="0"/>
        <w:ind w:left="863"/>
        <w:jc w:val="both"/>
      </w:pPr>
      <w:r>
        <w:rPr>
          <w:rFonts w:ascii="Garamond" w:cs="Garamond" w:eastAsia="Garamond" w:hAnsi="Garamond"/>
          <w:color w:val="2a2520"/>
          <w:sz w:val="22"/>
          <w:szCs w:val="22"/>
        </w:rPr>
        <w:t xml:space="preserve">Phase 4 is Full Constitutional Operation — beginning the day the first Legislature convenes and the first executives take the constitutional oath. From Phase 4, all constitutional provisions are fully operative. The 18-month Transition Window concludes at the end of Phase 4.</w:t>
      </w:r>
    </w:p>
    <w:p>
      <w:pPr>
        <w:spacing w:after="60" w:before="200"/>
        <w:ind w:left="431"/>
      </w:pPr>
      <w:r>
        <w:rPr>
          <w:rFonts w:ascii="Courier New" w:cs="Courier New" w:eastAsia="Courier New" w:hAnsi="Courier New"/>
          <w:b/>
          <w:bCs/>
          <w:color w:val="1B2A4A"/>
          <w:sz w:val="18"/>
          <w:szCs w:val="18"/>
        </w:rPr>
        <w:t xml:space="preserve">§19.4  </w:t>
      </w:r>
      <w:r>
        <w:rPr>
          <w:rFonts w:ascii="Garamond" w:cs="Garamond" w:eastAsia="Garamond" w:hAnsi="Garamond"/>
          <w:b/>
          <w:bCs/>
          <w:color w:val="1B2A4A"/>
          <w:sz w:val="22"/>
          <w:szCs w:val="22"/>
        </w:rPr>
        <w:t xml:space="preserve">Caretaker Status</w:t>
      </w:r>
    </w:p>
    <w:p>
      <w:pPr>
        <w:spacing w:after="120" w:before="0"/>
        <w:ind w:left="431"/>
        <w:jc w:val="both"/>
      </w:pPr>
      <w:r>
        <w:rPr>
          <w:rFonts w:ascii="Garamond" w:cs="Garamond" w:eastAsia="Garamond" w:hAnsi="Garamond"/>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pPr>
      <w:r>
        <w:rPr>
          <w:rFonts w:ascii="Courier New" w:cs="Courier New" w:eastAsia="Courier New" w:hAnsi="Courier New"/>
          <w:b/>
          <w:bCs/>
          <w:color w:val="1B2A4A"/>
          <w:sz w:val="18"/>
          <w:szCs w:val="18"/>
        </w:rPr>
        <w:t xml:space="preserve">§19.5  </w:t>
      </w:r>
      <w:r>
        <w:rPr>
          <w:rFonts w:ascii="Garamond" w:cs="Garamond" w:eastAsia="Garamond" w:hAnsi="Garamond"/>
          <w:b/>
          <w:bCs/>
          <w:color w:val="1B2A4A"/>
          <w:sz w:val="22"/>
          <w:szCs w:val="22"/>
        </w:rPr>
        <w:t xml:space="preserve">Pre-Constitutional Classified Documents</w:t>
      </w:r>
    </w:p>
    <w:p>
      <w:pPr>
        <w:spacing w:after="120" w:before="0"/>
        <w:ind w:left="431"/>
        <w:jc w:val="both"/>
      </w:pPr>
      <w:r>
        <w:rPr>
          <w:rFonts w:ascii="Garamond" w:cs="Garamond" w:eastAsia="Garamond" w:hAnsi="Garamond"/>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pPr>
      <w:r>
        <w:rPr>
          <w:rFonts w:ascii="Courier New" w:cs="Courier New" w:eastAsia="Courier New" w:hAnsi="Courier New"/>
          <w:b/>
          <w:bCs/>
          <w:color w:val="1B2A4A"/>
          <w:sz w:val="18"/>
          <w:szCs w:val="18"/>
        </w:rPr>
        <w:t xml:space="preserve">§19.6  </w:t>
      </w:r>
      <w:r>
        <w:rPr>
          <w:rFonts w:ascii="Garamond" w:cs="Garamond" w:eastAsia="Garamond" w:hAnsi="Garamond"/>
          <w:b/>
          <w:bCs/>
          <w:color w:val="1B2A4A"/>
          <w:sz w:val="22"/>
          <w:szCs w:val="22"/>
        </w:rPr>
        <w:t xml:space="preserve">Pre-Existing Obligations</w:t>
      </w:r>
    </w:p>
    <w:p>
      <w:pPr>
        <w:spacing w:after="120" w:before="0"/>
        <w:ind w:left="431"/>
        <w:jc w:val="both"/>
      </w:pPr>
      <w:r>
        <w:rPr>
          <w:rFonts w:ascii="Garamond" w:cs="Garamond" w:eastAsia="Garamond" w:hAnsi="Garamond"/>
          <w:color w:val="2a2520"/>
          <w:sz w:val="22"/>
          <w:szCs w:val="22"/>
        </w:rPr>
        <w:t xml:space="preserve">The Republic assumes the public debt obligations of its predecessor government as a constitutional matter, not a discretionary choice. This prevents the Republic from being born into sovereign default by simply denying predecessor debts — a move that would destabilize the fiscal foundations of the transition period. The assumption covers public debt, not private commercial obligations or claims arising from illegal predecessor-government conduct. The distinction matters: the Republic inherits the legitimate fiscal commitments of the predecessor state while preserving the right to pursue claims against individuals who misused predecessor authority.</w:t>
      </w:r>
    </w:p>
    <w:p>
      <w:pPr>
        <w:spacing w:after="60" w:before="200"/>
        <w:ind w:left="863"/>
      </w:pPr>
      <w:r>
        <w:rPr>
          <w:rFonts w:ascii="Courier New" w:cs="Courier New" w:eastAsia="Courier New" w:hAnsi="Courier New"/>
          <w:b/>
          <w:bCs/>
          <w:color w:val="1B2A4A"/>
          <w:sz w:val="18"/>
          <w:szCs w:val="18"/>
        </w:rPr>
        <w:t xml:space="preserve">§19.6.a  </w:t>
      </w:r>
      <w:r>
        <w:rPr>
          <w:rFonts w:ascii="Garamond" w:cs="Garamond" w:eastAsia="Garamond" w:hAnsi="Garamond"/>
          <w:b/>
          <w:bCs/>
          <w:color w:val="1B2A4A"/>
          <w:sz w:val="22"/>
          <w:szCs w:val="22"/>
        </w:rPr>
        <w:t xml:space="preserve">Debt Assumption</w:t>
      </w:r>
    </w:p>
    <w:p>
      <w:pPr>
        <w:spacing w:after="120" w:before="0"/>
        <w:ind w:left="863"/>
        <w:jc w:val="both"/>
      </w:pPr>
      <w:r>
        <w:rPr>
          <w:rFonts w:ascii="Garamond" w:cs="Garamond" w:eastAsia="Garamond" w:hAnsi="Garamond"/>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863"/>
      </w:pPr>
      <w:r>
        <w:rPr>
          <w:rFonts w:ascii="Courier New" w:cs="Courier New" w:eastAsia="Courier New" w:hAnsi="Courier New"/>
          <w:b/>
          <w:bCs/>
          <w:color w:val="1B2A4A"/>
          <w:sz w:val="18"/>
          <w:szCs w:val="18"/>
        </w:rPr>
        <w:t xml:space="preserve">§19.6.b  </w:t>
      </w:r>
      <w:r>
        <w:rPr>
          <w:rFonts w:ascii="Garamond" w:cs="Garamond" w:eastAsia="Garamond" w:hAnsi="Garamond"/>
          <w:b/>
          <w:bCs/>
          <w:color w:val="1B2A4A"/>
          <w:sz w:val="22"/>
          <w:szCs w:val="22"/>
        </w:rPr>
        <w:t xml:space="preserve">Active Military Operations</w:t>
      </w:r>
    </w:p>
    <w:p>
      <w:pPr>
        <w:spacing w:after="120" w:before="0"/>
        <w:ind w:left="863"/>
        <w:jc w:val="both"/>
      </w:pPr>
      <w:r>
        <w:rPr>
          <w:rFonts w:ascii="Garamond" w:cs="Garamond" w:eastAsia="Garamond" w:hAnsi="Garamond"/>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863"/>
      </w:pPr>
      <w:r>
        <w:rPr>
          <w:rFonts w:ascii="Courier New" w:cs="Courier New" w:eastAsia="Courier New" w:hAnsi="Courier New"/>
          <w:b/>
          <w:bCs/>
          <w:color w:val="1B2A4A"/>
          <w:sz w:val="18"/>
          <w:szCs w:val="18"/>
        </w:rPr>
        <w:t xml:space="preserve">§19.6.c  </w:t>
      </w:r>
      <w:r>
        <w:rPr>
          <w:rFonts w:ascii="Garamond" w:cs="Garamond" w:eastAsia="Garamond" w:hAnsi="Garamond"/>
          <w:b/>
          <w:bCs/>
          <w:color w:val="1B2A4A"/>
          <w:sz w:val="22"/>
          <w:szCs w:val="22"/>
        </w:rPr>
        <w:t xml:space="preserve">Social Insurance Programs</w:t>
      </w:r>
    </w:p>
    <w:p>
      <w:pPr>
        <w:spacing w:after="120" w:before="0"/>
        <w:ind w:left="863"/>
        <w:jc w:val="both"/>
      </w:pPr>
      <w:r>
        <w:rPr>
          <w:rFonts w:ascii="Garamond" w:cs="Garamond" w:eastAsia="Garamond" w:hAnsi="Garamond"/>
          <w:color w:val="2a2520"/>
          <w:sz w:val="22"/>
          <w:szCs w:val="22"/>
        </w:rPr>
        <w:t xml:space="preserve">Existing social insurance programs — retirement pensions, disability benefits, health coverage — of the prior government continue uninterrupted during the Transition Window. The Republic does not create a gap in social protection as part of its founding.</w:t>
      </w:r>
    </w:p>
    <w:p>
      <w:pPr>
        <w:spacing w:after="60" w:before="200"/>
        <w:ind w:left="863"/>
      </w:pPr>
      <w:r>
        <w:rPr>
          <w:rFonts w:ascii="Courier New" w:cs="Courier New" w:eastAsia="Courier New" w:hAnsi="Courier New"/>
          <w:b/>
          <w:bCs/>
          <w:color w:val="1B2A4A"/>
          <w:sz w:val="18"/>
          <w:szCs w:val="18"/>
        </w:rPr>
        <w:t xml:space="preserve">§19.6.d  </w:t>
      </w:r>
      <w:r>
        <w:rPr>
          <w:rFonts w:ascii="Garamond" w:cs="Garamond" w:eastAsia="Garamond" w:hAnsi="Garamond"/>
          <w:b/>
          <w:bCs/>
          <w:color w:val="1B2A4A"/>
          <w:sz w:val="22"/>
          <w:szCs w:val="22"/>
        </w:rPr>
        <w:t xml:space="preserve">Veterans and National Service Obligations</w:t>
      </w:r>
    </w:p>
    <w:p>
      <w:pPr>
        <w:spacing w:after="120" w:before="0"/>
        <w:ind w:left="863"/>
        <w:jc w:val="both"/>
      </w:pPr>
      <w:r>
        <w:rPr>
          <w:rFonts w:ascii="Garamond" w:cs="Garamond" w:eastAsia="Garamond" w:hAnsi="Garamond"/>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863"/>
      </w:pPr>
      <w:r>
        <w:rPr>
          <w:rFonts w:ascii="Courier New" w:cs="Courier New" w:eastAsia="Courier New" w:hAnsi="Courier New"/>
          <w:b/>
          <w:bCs/>
          <w:color w:val="1B2A4A"/>
          <w:sz w:val="18"/>
          <w:szCs w:val="18"/>
        </w:rPr>
        <w:t xml:space="preserve">§19.6.e  </w:t>
      </w:r>
      <w:r>
        <w:rPr>
          <w:rFonts w:ascii="Garamond" w:cs="Garamond" w:eastAsia="Garamond" w:hAnsi="Garamond"/>
          <w:b/>
          <w:bCs/>
          <w:color w:val="1B2A4A"/>
          <w:sz w:val="22"/>
          <w:szCs w:val="22"/>
        </w:rPr>
        <w:t xml:space="preserve">Constitutional Claims Court</w:t>
      </w:r>
    </w:p>
    <w:p>
      <w:pPr>
        <w:spacing w:after="120" w:before="0"/>
        <w:ind w:left="863"/>
        <w:jc w:val="both"/>
      </w:pPr>
      <w:r>
        <w:rPr>
          <w:rFonts w:ascii="Garamond" w:cs="Garamond" w:eastAsia="Garamond" w:hAnsi="Garamond"/>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863"/>
      </w:pPr>
      <w:r>
        <w:rPr>
          <w:rFonts w:ascii="Courier New" w:cs="Courier New" w:eastAsia="Courier New" w:hAnsi="Courier New"/>
          <w:b/>
          <w:bCs/>
          <w:color w:val="1B2A4A"/>
          <w:sz w:val="18"/>
          <w:szCs w:val="18"/>
        </w:rPr>
        <w:t xml:space="preserve">§19.6.f  </w:t>
      </w:r>
      <w:r>
        <w:rPr>
          <w:rFonts w:ascii="Garamond" w:cs="Garamond" w:eastAsia="Garamond" w:hAnsi="Garamond"/>
          <w:b/>
          <w:bCs/>
          <w:color w:val="1B2A4A"/>
          <w:sz w:val="22"/>
          <w:szCs w:val="22"/>
        </w:rPr>
        <w:t xml:space="preserve">Legal Continuity</w:t>
      </w:r>
    </w:p>
    <w:p>
      <w:pPr>
        <w:spacing w:after="120" w:before="0"/>
        <w:ind w:left="863"/>
        <w:jc w:val="both"/>
      </w:pPr>
      <w:r>
        <w:rPr>
          <w:rFonts w:ascii="Garamond" w:cs="Garamond" w:eastAsia="Garamond" w:hAnsi="Garamond"/>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 This ensures that the Republic is not born into sovereign default or diplomatic isolation.</w:t>
      </w:r>
    </w:p>
    <w:p>
      <w:pPr>
        <w:spacing w:after="60" w:before="200"/>
        <w:ind w:left="863"/>
      </w:pPr>
      <w:r>
        <w:rPr>
          <w:rFonts w:ascii="Courier New" w:cs="Courier New" w:eastAsia="Courier New" w:hAnsi="Courier New"/>
          <w:b/>
          <w:bCs/>
          <w:color w:val="1B2A4A"/>
          <w:sz w:val="18"/>
          <w:szCs w:val="18"/>
        </w:rPr>
        <w:t xml:space="preserve">§19.7.a  </w:t>
      </w:r>
      <w:r>
        <w:rPr>
          <w:rFonts w:ascii="Garamond" w:cs="Garamond" w:eastAsia="Garamond" w:hAnsi="Garamond"/>
          <w:b/>
          <w:bCs/>
          <w:color w:val="1B2A4A"/>
          <w:sz w:val="22"/>
          <w:szCs w:val="22"/>
        </w:rPr>
        <w:t xml:space="preserve">Transition-Period Territorial Elections</w:t>
      </w:r>
    </w:p>
    <w:p>
      <w:pPr>
        <w:spacing w:after="120" w:before="0"/>
        <w:ind w:left="863"/>
        <w:jc w:val="both"/>
      </w:pPr>
      <w:r>
        <w:rPr>
          <w:rFonts w:ascii="Garamond" w:cs="Garamond" w:eastAsia="Garamond" w:hAnsi="Garamond"/>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863"/>
      </w:pPr>
      <w:r>
        <w:rPr>
          <w:rFonts w:ascii="Courier New" w:cs="Courier New" w:eastAsia="Courier New" w:hAnsi="Courier New"/>
          <w:b/>
          <w:bCs/>
          <w:color w:val="1B2A4A"/>
          <w:sz w:val="18"/>
          <w:szCs w:val="18"/>
        </w:rPr>
        <w:t xml:space="preserve">§19.7.b  </w:t>
      </w:r>
      <w:r>
        <w:rPr>
          <w:rFonts w:ascii="Garamond" w:cs="Garamond" w:eastAsia="Garamond" w:hAnsi="Garamond"/>
          <w:b/>
          <w:bCs/>
          <w:color w:val="1B2A4A"/>
          <w:sz w:val="22"/>
          <w:szCs w:val="22"/>
        </w:rPr>
        <w:t xml:space="preserve">Subdivision Elections</w:t>
      </w:r>
    </w:p>
    <w:p>
      <w:pPr>
        <w:spacing w:after="120" w:before="0"/>
        <w:ind w:left="863"/>
        <w:jc w:val="both"/>
      </w:pPr>
      <w:r>
        <w:rPr>
          <w:rFonts w:ascii="Garamond" w:cs="Garamond" w:eastAsia="Garamond" w:hAnsi="Garamond"/>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863"/>
      </w:pPr>
      <w:r>
        <w:rPr>
          <w:rFonts w:ascii="Courier New" w:cs="Courier New" w:eastAsia="Courier New" w:hAnsi="Courier New"/>
          <w:b/>
          <w:bCs/>
          <w:color w:val="1B2A4A"/>
          <w:sz w:val="18"/>
          <w:szCs w:val="18"/>
        </w:rPr>
        <w:t xml:space="preserve">§19.7.c  </w:t>
      </w:r>
      <w:r>
        <w:rPr>
          <w:rFonts w:ascii="Garamond" w:cs="Garamond" w:eastAsia="Garamond" w:hAnsi="Garamond"/>
          <w:b/>
          <w:bCs/>
          <w:color w:val="1B2A4A"/>
          <w:sz w:val="22"/>
          <w:szCs w:val="22"/>
        </w:rPr>
        <w:t xml:space="preserve">Phase 2 Statehood Audit Failures</w:t>
      </w:r>
    </w:p>
    <w:p>
      <w:pPr>
        <w:spacing w:after="120" w:before="0"/>
        <w:ind w:left="863"/>
        <w:jc w:val="both"/>
      </w:pPr>
      <w:r>
        <w:rPr>
          <w:rFonts w:ascii="Garamond" w:cs="Garamond" w:eastAsia="Garamond" w:hAnsi="Garamond"/>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863"/>
      </w:pPr>
      <w:r>
        <w:rPr>
          <w:rFonts w:ascii="Courier New" w:cs="Courier New" w:eastAsia="Courier New" w:hAnsi="Courier New"/>
          <w:b/>
          <w:bCs/>
          <w:color w:val="1B2A4A"/>
          <w:sz w:val="18"/>
          <w:szCs w:val="18"/>
        </w:rPr>
        <w:t xml:space="preserve">§19.7.d  </w:t>
      </w:r>
      <w:r>
        <w:rPr>
          <w:rFonts w:ascii="Garamond" w:cs="Garamond" w:eastAsia="Garamond" w:hAnsi="Garamond"/>
          <w:b/>
          <w:bCs/>
          <w:color w:val="1B2A4A"/>
          <w:sz w:val="22"/>
          <w:szCs w:val="22"/>
        </w:rPr>
        <w:t xml:space="preserve">Pre-Existing Territories and the District</w:t>
      </w:r>
    </w:p>
    <w:p>
      <w:pPr>
        <w:spacing w:after="120" w:before="0"/>
        <w:ind w:left="863"/>
        <w:jc w:val="both"/>
      </w:pPr>
      <w:r>
        <w:rPr>
          <w:rFonts w:ascii="Garamond" w:cs="Garamond" w:eastAsia="Garamond" w:hAnsi="Garamond"/>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pPr>
      <w:r>
        <w:rPr>
          <w:rFonts w:ascii="Courier New" w:cs="Courier New" w:eastAsia="Courier New" w:hAnsi="Courier New"/>
          <w:b/>
          <w:bCs/>
          <w:color w:val="1B2A4A"/>
          <w:sz w:val="18"/>
          <w:szCs w:val="18"/>
        </w:rPr>
        <w:t xml:space="preserve">§19.8  </w:t>
      </w:r>
      <w:r>
        <w:rPr>
          <w:rFonts w:ascii="Garamond" w:cs="Garamond" w:eastAsia="Garamond" w:hAnsi="Garamond"/>
          <w:b/>
          <w:bCs/>
          <w:color w:val="1B2A4A"/>
          <w:sz w:val="22"/>
          <w:szCs w:val="22"/>
        </w:rPr>
        <w:t xml:space="preserve">Transition Candidate Registers</w:t>
      </w:r>
    </w:p>
    <w:p>
      <w:pPr>
        <w:spacing w:after="120" w:before="0"/>
        <w:ind w:left="431"/>
        <w:jc w:val="both"/>
      </w:pPr>
      <w:r>
        <w:rPr>
          <w:rFonts w:ascii="Garamond" w:cs="Garamond" w:eastAsia="Garamond" w:hAnsi="Garamond"/>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863"/>
      </w:pPr>
      <w:r>
        <w:rPr>
          <w:rFonts w:ascii="Courier New" w:cs="Courier New" w:eastAsia="Courier New" w:hAnsi="Courier New"/>
          <w:b/>
          <w:bCs/>
          <w:color w:val="1B2A4A"/>
          <w:sz w:val="18"/>
          <w:szCs w:val="18"/>
        </w:rPr>
        <w:t xml:space="preserve">§19.8.a  </w:t>
      </w:r>
      <w:r>
        <w:rPr>
          <w:rFonts w:ascii="Garamond" w:cs="Garamond" w:eastAsia="Garamond" w:hAnsi="Garamond"/>
          <w:b/>
          <w:bCs/>
          <w:color w:val="1B2A4A"/>
          <w:sz w:val="22"/>
          <w:szCs w:val="22"/>
        </w:rPr>
        <w:t xml:space="preserve">Initial Register Assembly</w:t>
      </w:r>
    </w:p>
    <w:p>
      <w:pPr>
        <w:spacing w:after="120" w:before="0"/>
        <w:ind w:left="863"/>
        <w:jc w:val="both"/>
      </w:pPr>
      <w:r>
        <w:rPr>
          <w:rFonts w:ascii="Garamond" w:cs="Garamond" w:eastAsia="Garamond" w:hAnsi="Garamond"/>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863"/>
      </w:pPr>
      <w:r>
        <w:rPr>
          <w:rFonts w:ascii="Courier New" w:cs="Courier New" w:eastAsia="Courier New" w:hAnsi="Courier New"/>
          <w:b/>
          <w:bCs/>
          <w:color w:val="1B2A4A"/>
          <w:sz w:val="18"/>
          <w:szCs w:val="18"/>
        </w:rPr>
        <w:t xml:space="preserve">§19.8.b  </w:t>
      </w:r>
      <w:r>
        <w:rPr>
          <w:rFonts w:ascii="Garamond" w:cs="Garamond" w:eastAsia="Garamond" w:hAnsi="Garamond"/>
          <w:b/>
          <w:bCs/>
          <w:color w:val="1B2A4A"/>
          <w:sz w:val="22"/>
          <w:szCs w:val="22"/>
        </w:rPr>
        <w:t xml:space="preserve">Interim Functions and First Nomination</w:t>
      </w:r>
    </w:p>
    <w:p>
      <w:pPr>
        <w:spacing w:after="120" w:before="0"/>
        <w:ind w:left="863"/>
        <w:jc w:val="both"/>
      </w:pPr>
      <w:r>
        <w:rPr>
          <w:rFonts w:ascii="Garamond" w:cs="Garamond" w:eastAsia="Garamond" w:hAnsi="Garamond"/>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pPr>
      <w:r>
        <w:rPr>
          <w:rFonts w:ascii="Courier New" w:cs="Courier New" w:eastAsia="Courier New" w:hAnsi="Courier New"/>
          <w:b/>
          <w:bCs/>
          <w:color w:val="1B2A4A"/>
          <w:sz w:val="18"/>
          <w:szCs w:val="18"/>
        </w:rPr>
        <w:t xml:space="preserve">§19.9  </w:t>
      </w:r>
      <w:r>
        <w:rPr>
          <w:rFonts w:ascii="Garamond" w:cs="Garamond" w:eastAsia="Garamond" w:hAnsi="Garamond"/>
          <w:b/>
          <w:bCs/>
          <w:color w:val="1B2A4A"/>
          <w:sz w:val="22"/>
          <w:szCs w:val="22"/>
        </w:rPr>
        <w:t xml:space="preserve">Transitional Accountability Mechanism</w:t>
      </w:r>
    </w:p>
    <w:p>
      <w:pPr>
        <w:spacing w:after="120" w:before="0"/>
        <w:ind w:left="431"/>
        <w:jc w:val="both"/>
      </w:pPr>
      <w:r>
        <w:rPr>
          <w:rFonts w:ascii="Garamond" w:cs="Garamond" w:eastAsia="Garamond" w:hAnsi="Garamond"/>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the constitutional answer to how a new Republic deals with the wrongs of what it replaced with the wrongs of what it replaced.</w:t>
      </w:r>
    </w:p>
    <w:p>
      <w:pPr>
        <w:spacing w:after="60" w:before="200"/>
        <w:ind w:left="863"/>
      </w:pPr>
      <w:r>
        <w:rPr>
          <w:rFonts w:ascii="Courier New" w:cs="Courier New" w:eastAsia="Courier New" w:hAnsi="Courier New"/>
          <w:b/>
          <w:bCs/>
          <w:color w:val="1B2A4A"/>
          <w:sz w:val="18"/>
          <w:szCs w:val="18"/>
        </w:rPr>
        <w:t xml:space="preserve">§19.9.a  </w:t>
      </w:r>
      <w:r>
        <w:rPr>
          <w:rFonts w:ascii="Garamond" w:cs="Garamond" w:eastAsia="Garamond" w:hAnsi="Garamond"/>
          <w:b/>
          <w:bCs/>
          <w:color w:val="1B2A4A"/>
          <w:sz w:val="22"/>
          <w:szCs w:val="22"/>
        </w:rPr>
        <w:t xml:space="preserve">TAM Establishment and Scope</w:t>
      </w:r>
    </w:p>
    <w:p>
      <w:pPr>
        <w:spacing w:after="120" w:before="0"/>
        <w:ind w:left="863"/>
        <w:jc w:val="both"/>
      </w:pPr>
      <w:r>
        <w:rPr>
          <w:rFonts w:ascii="Garamond" w:cs="Garamond" w:eastAsia="Garamond" w:hAnsi="Garamond"/>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 The TAM embodies the constitutional separation between information-generation and consequence-imposition: it finds and publishes; courts, the Legislature, and the PM decide whether to act on what it finds.</w:t>
      </w:r>
    </w:p>
    <w:p>
      <w:pPr>
        <w:spacing w:after="60" w:before="200"/>
        <w:ind w:left="863"/>
      </w:pPr>
      <w:r>
        <w:rPr>
          <w:rFonts w:ascii="Courier New" w:cs="Courier New" w:eastAsia="Courier New" w:hAnsi="Courier New"/>
          <w:b/>
          <w:bCs/>
          <w:color w:val="1B2A4A"/>
          <w:sz w:val="18"/>
          <w:szCs w:val="18"/>
        </w:rPr>
        <w:t xml:space="preserve">§19.9.b  </w:t>
      </w:r>
      <w:r>
        <w:rPr>
          <w:rFonts w:ascii="Garamond" w:cs="Garamond" w:eastAsia="Garamond" w:hAnsi="Garamond"/>
          <w:b/>
          <w:bCs/>
          <w:color w:val="1B2A4A"/>
          <w:sz w:val="22"/>
          <w:szCs w:val="22"/>
        </w:rPr>
        <w:t xml:space="preserve">TAM Amendment and Successor Bar</w:t>
      </w:r>
    </w:p>
    <w:p>
      <w:pPr>
        <w:spacing w:after="120" w:before="0"/>
        <w:ind w:left="863"/>
        <w:jc w:val="both"/>
      </w:pPr>
      <w:r>
        <w:rPr>
          <w:rFonts w:ascii="Garamond" w:cs="Garamond" w:eastAsia="Garamond" w:hAnsi="Garamond"/>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863"/>
      </w:pPr>
      <w:r>
        <w:rPr>
          <w:rFonts w:ascii="Courier New" w:cs="Courier New" w:eastAsia="Courier New" w:hAnsi="Courier New"/>
          <w:b/>
          <w:bCs/>
          <w:color w:val="1B2A4A"/>
          <w:sz w:val="18"/>
          <w:szCs w:val="18"/>
        </w:rPr>
        <w:t xml:space="preserve">§19.9.c  </w:t>
      </w:r>
      <w:r>
        <w:rPr>
          <w:rFonts w:ascii="Garamond" w:cs="Garamond" w:eastAsia="Garamond" w:hAnsi="Garamond"/>
          <w:b/>
          <w:bCs/>
          <w:color w:val="1B2A4A"/>
          <w:sz w:val="22"/>
          <w:szCs w:val="22"/>
        </w:rPr>
        <w:t xml:space="preserve">TAM Jurisdiction and Publication Limits</w:t>
      </w:r>
    </w:p>
    <w:p>
      <w:pPr>
        <w:spacing w:after="120" w:before="0"/>
        <w:ind w:left="863"/>
        <w:jc w:val="both"/>
      </w:pPr>
      <w:r>
        <w:rPr>
          <w:rFonts w:ascii="Garamond" w:cs="Garamond" w:eastAsia="Garamond" w:hAnsi="Garamond"/>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w:t>
      </w:r>
    </w:p>
    <w:p>
      <w:pPr>
        <w:spacing w:after="60" w:before="200"/>
        <w:ind w:left="863"/>
      </w:pPr>
      <w:r>
        <w:rPr>
          <w:rFonts w:ascii="Courier New" w:cs="Courier New" w:eastAsia="Courier New" w:hAnsi="Courier New"/>
          <w:b/>
          <w:bCs/>
          <w:color w:val="1B2A4A"/>
          <w:sz w:val="18"/>
          <w:szCs w:val="18"/>
        </w:rPr>
        <w:t xml:space="preserve">§19.9.d  </w:t>
      </w:r>
      <w:r>
        <w:rPr>
          <w:rFonts w:ascii="Garamond" w:cs="Garamond" w:eastAsia="Garamond" w:hAnsi="Garamond"/>
          <w:b/>
          <w:bCs/>
          <w:color w:val="1B2A4A"/>
          <w:sz w:val="22"/>
          <w:szCs w:val="22"/>
        </w:rPr>
        <w:t xml:space="preserve">TAM Sunset and Rationale</w:t>
      </w:r>
    </w:p>
    <w:p>
      <w:pPr>
        <w:spacing w:after="120" w:before="0"/>
        <w:ind w:left="863"/>
        <w:jc w:val="both"/>
      </w:pPr>
      <w:r>
        <w:rPr>
          <w:rFonts w:ascii="Garamond" w:cs="Garamond" w:eastAsia="Garamond" w:hAnsi="Garamond"/>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XX — Associated Communities</w:t>
      </w:r>
    </w:p>
    <w:p>
      <w:pPr>
        <w:spacing w:after="120"/>
      </w:pPr>
    </w:p>
    <w:p>
      <w:pPr>
        <w:spacing w:after="60" w:before="200"/>
        <w:ind w:left="431"/>
      </w:pPr>
      <w:r>
        <w:rPr>
          <w:rFonts w:ascii="Courier New" w:cs="Courier New" w:eastAsia="Courier New" w:hAnsi="Courier New"/>
          <w:b/>
          <w:bCs/>
          <w:color w:val="1B2A4A"/>
          <w:sz w:val="18"/>
          <w:szCs w:val="18"/>
        </w:rPr>
        <w:t xml:space="preserve">§20.1  </w:t>
      </w:r>
      <w:r>
        <w:rPr>
          <w:rFonts w:ascii="Garamond" w:cs="Garamond" w:eastAsia="Garamond" w:hAnsi="Garamond"/>
          <w:b/>
          <w:bCs/>
          <w:color w:val="1B2A4A"/>
          <w:sz w:val="22"/>
          <w:szCs w:val="22"/>
        </w:rPr>
        <w:t xml:space="preserve">Associated Community Status</w:t>
      </w:r>
    </w:p>
    <w:p>
      <w:pPr>
        <w:spacing w:after="120" w:before="0"/>
        <w:ind w:left="431"/>
        <w:jc w:val="both"/>
      </w:pPr>
      <w:r>
        <w:rPr>
          <w:rFonts w:ascii="Garamond" w:cs="Garamond" w:eastAsia="Garamond" w:hAnsi="Garamond"/>
          <w:color w:val="2a2520"/>
          <w:sz w:val="22"/>
          <w:szCs w:val="22"/>
        </w:rPr>
        <w:t xml:space="preserve">Exclusively for sovereign entities — not a form of State or Territory status, not transitional, not incorporation. Available to nations that have completed the independence process under §15.4-15.5, to independent nations outside the Republic seeking a defined relationship, or to nations recognised as pre-existing sovereigns under Article XIV. A distinct constitutional category reflecting voluntary connection without subsuming sovereignty.</w:t>
      </w:r>
    </w:p>
    <w:p>
      <w:pPr>
        <w:spacing w:after="60" w:before="200"/>
        <w:ind w:left="431"/>
      </w:pPr>
      <w:r>
        <w:rPr>
          <w:rFonts w:ascii="Courier New" w:cs="Courier New" w:eastAsia="Courier New" w:hAnsi="Courier New"/>
          <w:b/>
          <w:bCs/>
          <w:color w:val="1B2A4A"/>
          <w:sz w:val="18"/>
          <w:szCs w:val="18"/>
        </w:rPr>
        <w:t xml:space="preserve">§20.2  </w:t>
      </w:r>
      <w:r>
        <w:rPr>
          <w:rFonts w:ascii="Garamond" w:cs="Garamond" w:eastAsia="Garamond" w:hAnsi="Garamond"/>
          <w:b/>
          <w:bCs/>
          <w:color w:val="1B2A4A"/>
          <w:sz w:val="22"/>
          <w:szCs w:val="22"/>
        </w:rPr>
        <w:t xml:space="preserve">Compact Terms and Equal Sovereignty</w:t>
      </w:r>
    </w:p>
    <w:p>
      <w:pPr>
        <w:spacing w:after="120" w:before="0"/>
        <w:ind w:left="431"/>
        <w:jc w:val="both"/>
      </w:pPr>
      <w:r>
        <w:rPr>
          <w:rFonts w:ascii="Garamond" w:cs="Garamond" w:eastAsia="Garamond" w:hAnsi="Garamond"/>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pPr>
      <w:r>
        <w:rPr>
          <w:rFonts w:ascii="Courier New" w:cs="Courier New" w:eastAsia="Courier New" w:hAnsi="Courier New"/>
          <w:b/>
          <w:bCs/>
          <w:color w:val="1B2A4A"/>
          <w:sz w:val="18"/>
          <w:szCs w:val="18"/>
        </w:rPr>
        <w:t xml:space="preserve">§20.3  </w:t>
      </w:r>
      <w:r>
        <w:rPr>
          <w:rFonts w:ascii="Garamond" w:cs="Garamond" w:eastAsia="Garamond" w:hAnsi="Garamond"/>
          <w:b/>
          <w:bCs/>
          <w:color w:val="1B2A4A"/>
          <w:sz w:val="22"/>
          <w:szCs w:val="22"/>
        </w:rPr>
        <w:t xml:space="preserve">Compact Conditions and Compliance</w:t>
      </w:r>
    </w:p>
    <w:p>
      <w:pPr>
        <w:spacing w:after="120" w:before="0"/>
        <w:ind w:left="431"/>
        <w:jc w:val="both"/>
      </w:pPr>
      <w:r>
        <w:rPr>
          <w:rFonts w:ascii="Garamond" w:cs="Garamond" w:eastAsia="Garamond" w:hAnsi="Garamond"/>
          <w:color w:val="2a2520"/>
          <w:sz w:val="22"/>
          <w:szCs w:val="22"/>
        </w:rPr>
        <w:t xml:space="preserve">No compact may be entered or ratified with any entity whose governance practices include, authorise, or systematically permit torture, slavery, or the denial of habeas corpus to any person within its jurisdiction. The Judicial Inspectorate certifies...</w:t>
      </w:r>
    </w:p>
    <w:p>
      <w:pPr>
        <w:spacing w:after="60" w:before="200"/>
        <w:ind w:left="431"/>
      </w:pPr>
      <w:r>
        <w:rPr>
          <w:rFonts w:ascii="Courier New" w:cs="Courier New" w:eastAsia="Courier New" w:hAnsi="Courier New"/>
          <w:b/>
          <w:bCs/>
          <w:color w:val="1B2A4A"/>
          <w:sz w:val="18"/>
          <w:szCs w:val="18"/>
        </w:rPr>
        <w:t xml:space="preserve">§20.4  </w:t>
      </w:r>
      <w:r>
        <w:rPr>
          <w:rFonts w:ascii="Garamond" w:cs="Garamond" w:eastAsia="Garamond" w:hAnsi="Garamond"/>
          <w:b/>
          <w:bCs/>
          <w:color w:val="1B2A4A"/>
          <w:sz w:val="22"/>
          <w:szCs w:val="22"/>
        </w:rPr>
        <w:t xml:space="preserve">Sovereign Mobility</w:t>
      </w:r>
    </w:p>
    <w:p>
      <w:pPr>
        <w:spacing w:after="120" w:before="0"/>
        <w:ind w:left="431"/>
        <w:jc w:val="both"/>
      </w:pPr>
      <w:r>
        <w:rPr>
          <w:rFonts w:ascii="Garamond" w:cs="Garamond" w:eastAsia="Garamond" w:hAnsi="Garamond"/>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by the Associated...</w:t>
      </w:r>
    </w:p>
    <w:p>
      <w:pPr>
        <w:spacing w:after="60" w:before="200"/>
        <w:ind w:left="431"/>
      </w:pPr>
      <w:r>
        <w:rPr>
          <w:rFonts w:ascii="Courier New" w:cs="Courier New" w:eastAsia="Courier New" w:hAnsi="Courier New"/>
          <w:b/>
          <w:bCs/>
          <w:color w:val="1B2A4A"/>
          <w:sz w:val="18"/>
          <w:szCs w:val="18"/>
        </w:rPr>
        <w:t xml:space="preserve">§20.5  </w:t>
      </w:r>
      <w:r>
        <w:rPr>
          <w:rFonts w:ascii="Garamond" w:cs="Garamond" w:eastAsia="Garamond" w:hAnsi="Garamond"/>
          <w:b/>
          <w:bCs/>
          <w:color w:val="1B2A4A"/>
          <w:sz w:val="22"/>
          <w:szCs w:val="22"/>
        </w:rPr>
        <w:t xml:space="preserve">Reciprocal Obligations and Review</w:t>
      </w:r>
    </w:p>
    <w:p>
      <w:pPr>
        <w:spacing w:after="120" w:before="0"/>
        <w:ind w:left="431"/>
        <w:jc w:val="both"/>
      </w:pPr>
      <w:r>
        <w:rPr>
          <w:rFonts w:ascii="Garamond" w:cs="Garamond" w:eastAsia="Garamond" w:hAnsi="Garamond"/>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4"/>
      </w:pBdr>
      <w:jc w:val="center"/>
    </w:pPr>
    <w:r>
      <w:rPr>
        <w:rFonts w:ascii="Garamond" w:cs="Garamond" w:eastAsia="Garamond" w:hAnsi="Garamond"/>
        <w:color w:val="7a7060"/>
        <w:sz w:val="16"/>
        <w:szCs w:val="16"/>
      </w:rPr>
      <w:t xml:space="preserve">thefederatedrepublic.org    </w:t>
    </w:r>
    <w:r>
      <w:rPr>
        <w:rFonts w:ascii="Garamond" w:cs="Garamond" w:eastAsia="Garamond" w:hAnsi="Garamond"/>
        <w:color w:val="7a7060"/>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spacing w:after="0"/>
      <w:jc w:val="center"/>
    </w:pPr>
    <w:r>
      <w:rPr>
        <w:rFonts w:ascii="Garamond" w:cs="Garamond" w:eastAsia="Garamond" w:hAnsi="Garamond"/>
        <w:color w:val="7a7060"/>
        <w:spacing w:val="4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2a25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480"/>
      <w:outlineLvl w:val="0"/>
    </w:pPr>
    <w:rPr>
      <w:rFonts w:ascii="Garamond" w:cs="Garamond" w:eastAsia="Garamond" w:hAnsi="Garamond"/>
      <w:b/>
      <w:bCs/>
      <w:color w:val="1B2A4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fbaa660f7a978b481e7621fd8e954716d925f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2026-05-17T20:54:34.716Z</dcterms:created>
  <dcterms:modified xsi:type="dcterms:W3CDTF">2026-05-17T20:54:34.731Z</dcterms:modified>
</cp:coreProperties>
</file>

<file path=docProps/custom.xml><?xml version="1.0" encoding="utf-8"?>
<Properties xmlns="http://schemas.openxmlformats.org/officeDocument/2006/custom-properties" xmlns:vt="http://schemas.openxmlformats.org/officeDocument/2006/docPropsVTypes"/>
</file>