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and must be a serving member of the Assembly at the time of election as required by §2.6. No other eligibility requirement applies. The Civic Consul serves at the confidence of the Assembly, subject to removal under §2.6.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 This section governs a person elected or installed to the office of Civic Consul; the Assembly Speaker serving as Acting Civic Consul under §2.5 or §2.6.a retains their own Assembly seat and does not vacate it. The Civic Consul serves until removed under this section, until the expiration of the consecutive-service limit under §2.5, by resignation, or through the pathways of §3.10. A person who leaves the office of Civic Consul holds no Assembly seat by virtue of having been Civic Consul; the seat vacated on taking office remains filled under §3.2. A former Civic Consul may seek an Assembly seat or, subject to §2.5, the office of Civic Consul again.</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acting role attaches automatically to the sitting Assembly Speaker, who serves as Acting Civic Consul by constitutional operation with authority limited to maintaining existing policy, until a Civic Consul is elected or designated under this section; the acting service is published to the NRS. Acting authority passes only to the standing Speaker and never by designation of the Civic Consul. No election is held to fill the acting role.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as a Civic Consul, vacates their Assembly seat under §2.6,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as a Civic Consul, vacates their Assembly seat under §2.6,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