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 Any IG may be removed without cause by 3/4 of both chambers simultaneously, except the JI IG — whose lottery-based selection makes no-cause removal equivalent to a political veto over the draw result — who may be removed for cause only under §8.15.</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Parliamentary Amendment: A 2/3 supermajority of the full seated membership of both chambers proposes the amendment.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