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authorisation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authorisation.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self-defence is recognised. States may establish licensing and safety frameworks. No government may enact a categorical prohibition on the civilian ownership of arms. The Legislature and States may regulate the type, transfer, and carry of arms subject to the requirement that lawful ownership for self-defence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defence;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The President directs foreign intelligence. No intelligence operation may be conducted against Republic citizens within Republic territory on the President's authority; such operations require independent judicial authorisation. The EI reports any order authorising domestic intelligence operations without judicial authorisation to the NRS. Veto: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Trade: 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Appointments: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Domain conflict: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the period established by statute.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Term limits: no person may serve more than 8 consecutive years as PM, and no more than 12 years in total across all periods of service. Both limits operate simultaneously; the stricter governs at any given moment. Formation: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Suspensive Veto: 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Fiscal Objection: the PM may object on specific solvency grounds — the bill would cause or materially worsen a structural deficit. Requires MA assessment; the House may override by simple majority after receiving the assessment. Silence: if the PM neither signs nor objects within the legislative review period, the bill is enacted. Silence is not a veto. Review period: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Authority transfers in order: (1) Senate Speaker; (2) Senate Deputy Speaker; (3) most senior member of the Senate Armed Services Committee. A successor serves the remainder of the current presidential term; service by succession does not consume the successor's own eligibility to stand at the next election. Temporary incapacity: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most senior available SC justice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Legislative track: 2/3 of both chambers simultaneously, following joint LI and EI certification of constitutional breach, demonstrated permanent incapacity, or conviction for a disqualifying offense. Popular track: a Senate majority may refer the question to a national recall referendum administered within the period defined by statute. The President is removed if the referendum achieves the affirmative threshold and participation level defined by statute. A failed referendum may not be re-initiated within the same presidential term. The Senate Speaker holds Acting Presidential Authority from the date of Senate referral until referendum certification, without vacating their Senate seat.</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Both executives must attend at least one session per quarter.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The JEC has 14 days to produce a joint resolution. Where no joint resolution is published within 14 days, the matter is transmitted to the House Speaker and Senate Speaker jointly. The Legislature may resolve the deadlock by concurrent resolution of both chambers within 30 days — a concurrent resolution under this provision binds both executives to its terms for the duration of the impasse only and does not alter permanent domain boundaries. Where the Legislature does not act within 30 days, the PM’s residual authority governs until either the executives reach agreement or the Legislature acts. A coordination failure declaration and all resolution steps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Single-subject rule: every bill must address a single, clearly defined subject. A court finding that a bill addresses multiple unrelated subjects voids the act. Bill exposure: the full text of every bill must be published to the NRS for a minimum period defined by statute before any final passage vote; a substantially amended bill resets the clock. Session: the Legislature must sit for a minimum number of days per year defined by statute; emergency sessions may be called by the PM or by petition of 1/3 of either chamber. Ethics: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Treaty withdrawal: the President initiates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then has 60 days to hold a removal vote; a 3/5 majority removes the officer permanently. A vote that fails to reach 3/5 reinstates the officer and closes the process. Where the Senate fails to vote within 60 days: if the next federal electoral period falls within 6 months, the matter is placed on that ballot; otherwise the Legislature may set a special election by concurrent resolution with a minimum 90-day notice period — failure to set a date within 30 days defaults the matter to the next federal electoral period. Removal by election requires 60% of votes cast. All steps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supermajority defined by statute.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organised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recognised across all jurisdictions within the Republic. A judgment valid in one jurisdiction must be recognised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recognised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authorisations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 successor has not yet been confirmed at term expiry, the most senior deputy within the Inspectorate holds full IG authority on an acting basis until the successor is confirmed; acting authority under this provision may not exceed 90 days without LI certification of the delay as a constitutional compliance breach. Where an IG is certified incapacitated by the other two Inspectorates jointly, the most senior deputy assumes acting authority immediately pending either recovery or a new selection under §8.3; the incapacitated IG’s authority is suspended from the moment of joint certification.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LI IG: nominated by the SC from a pool of qualified candidates maintained by the Elections Panel; confirmed by national popular vote at the next the federal electoral period following nomination, by simple majority of votes cast. The nominee takes office in an acting capacity immediately on nomination and exercises full IG authority pending confirmation. If the confirmation vote fails, the acting IG completes any open findings within 60 days and the SC initiates a new nomination from the pool. EI IG: nominated by the House from a pool of qualified candidates maintained by the Elections Panel; confirmed by national popular vote at the next the federal electoral period following nomination, by simple majority of votes cast, with JI vetting of the nominee's disclosure record published before the vote. The same acting-capacity and failed-vote provisions apply. JI IG: selected by public lottery under §8.13 from the JI Candidate Pool under §8.4.a maintained by the Elections Panel; no confirmation. All IGs serve 10-year non-renewable terms. No two IG terms may begin within 18 months of each other, ensuring continuous institutional knowledge across offices. All pool records and certifications are published to the NRS. The Elections Panel administers all IG confirmation votes as part of the regular the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requires: a substantiated finding from a State Designee Panel under §8.9; a 14-day SC appeal window from publication of the finding; and a 2/3 vote of both chambers simultaneously. Duty suspension triggers upon publication of a substantiated Panel finding, pending the vote and any SC review. Any IG may additionally be removed without cause by 3/4 of both chambers simultaneously, except the JI IG — whose lottery-based selection makes no-cause removal equivalent to a political veto over the draw result — who may be removed for cause only.</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authorised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constituted per proceeding to determine, before any qualifying for-cause removal vote, whether the stated grounds are substantiated within the enumerated constitutional categories for the relevant office. The Panel publishes a binary finding only — grounds substantiated or unsubstantiated. Each State maintains a standing State Designee Pool; eligibility requires at least five years of citizenship, no current or recent federal office, and no pending federal criminal proceedings. Pool membership is a public NRS record maintained by the LI. Upon activation, the JIC constitutes a Panel of five members by lottery within five days from the combined national pool. The Panel has 21 days from full constitution to review. The Panel determines only whether the stated grounds, as documented in the submitted record, constitute at least one enumerated constitutional category for the subject office — it does not independently investigate or assess credibility. A substantiated finding authorises the Legislature to proceed to a removal vote and triggers applicable duty suspension. Either finding is published permanently to the NRS. The subject officer may petition the SC within 14 days; the Court reviews only whether constitutional categories were correctly applied and must rule within 21 days; a petition does not automatically stay duty suspension.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constitutional framework performance across: Article I rights enforcement across all jurisdictions; Inspectorate functioning and mandate adequacy; social state obligation compliance including healthcare solvency and universal access; military subordination to constitutional authority; NRS coverage and integrity; and constitutional pool and lottery mechanism health. The assessment is published to the NRS and transmitted to both chambers. Findings are classified by severity: No Finding, Deficiency, or Critical Failure. For No Finding: acknowledgment is sufficient. For Deficiency: the Legislature must publish a remediation plan with actions and timelines; acknowledgment without a plan is a constitutional compliance breach certified by the LI. For Critical Failure: the Legislature must publish a remediation plan and any member may petition the SC to determine whether judicial remedy is required.</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JIC as the standing coordination body for matters crossing Inspectorate jurisdictions. The JIC formally houses all jointly certified constitutional functions — including the Eight-Year Assessment,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the longest-tenured member of the affected Inspectorate’s candidate pool who accepts the designation and is approved by both executives.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 All designations, approvals, findings, and SC rulings are published permanently to the NRS.</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Certification: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Selection by lottery: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Pool health: the JI monitors all constitutional pools annually and publishes a status report; where a pool falls below its constitutional minimum,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§8.11 eight-year assessment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and NVS are reviewed decennially by the Digital Infrastructure Advisory Council — an independent expert body that publishes advisory findings and recommendations to the Digital Infrastructure Commission. The Council convenes every ten years from the date of the first Legislature convening; the Legislature may not adjust the decennial trigger by statute. Each State may nominate qualified persons to the Advisory Pool at any time; pool entry and certification follow §8.13. The JIC constitutes the Council by public lottery drawing five members from the eligible pool when a decennial review is triggered. Advisory Council findings are published jointly by all three Inspectorates to the NRS and transmitted to the Commission Director and both panel chairs simultaneously. The Commission must publish its response — accepting, modifying, or declining each recommendation with published reasons — within 90 days of findings publication. The Senate must hold a mandatory public session at which Advisory Council members present their findings and respond to questions within 90 days of publication; failure to schedule within 30 days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referendum at the §15.1 Path C thresholds.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authorisation.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Consequences: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recognised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Path B or Path C constitutional amendment — Path A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defence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Two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two paths, both requiring a 2/3 supermajority of the full seated membership of both chambers as the legislative threshold. No executive signature is required; no executive veto applies. Every member's vote on any amendment is published to the NRS. 
Path A — Legislative and State Ratification: A 2/3 supermajority of both chambers, followed by ratification by 2/3 of States. The Legislature defines the ratification period by statute. 
Path B — Legislative and Popular Ratification: A 2/3 supermajority of both chambers, followed by a national popular referendum achieving 2/3 affirmative support with at least 55% citizen participation. The Legislature defines the referendum window by statute. 
Both paths are available for any amendment. The proposing body specifies which path applies at the time of proposal. A proposed amendment may be withdrawn at any point before ratification is certified. Two amendments may be simultaneously in ratification; where they conflict, the one ratified later in time prevails.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(Path A) or Elections Panel certification (Path B)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operating the National Record System, the National Voting System, and maintaining all constitutional candidate registries and pools as the administrative keeper of record. The Commission comprises two panels of three administrators each — the NRS Panel and the Elections Panel. Each panel governs its own system independently in day-to-day operations; neither panel may direct the other. Both panels sitting together constitute the full Commission for joint decisions on architecture standards, technical policy, budget, and any matter crossing both systems. Joint decisions require a majority of the full six-member Commission; where the Commission is equally divided, the Director casts a deciding vote. The Commission is independent of both executives and the Legislature in the exercise of its administrative and certification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Terms are staggered so that no more than two seats across both panels expire within any two-year window.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 and must pass the CLT.</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The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elects its Director from among the six administrators by majority vote of the full Commission. The Director serves in that role for not more than 4 years and may not serve consecutive Director terms — after serving as Director a person must serve at least one full Director term as a panel member before standing again. The Director remains a full panel member throughout their Director service and retains their panel vote. As Director, they chair joint Commission sessions, cast deciding votes when the Commission is equally divided, and serve as the Commission's constitutional representative for external matters. The Director may not direct either panel in operational matters within that panel's independent domain. Where the Director role is vacant, the Commission elects an Acting Director from among its members within 7 days.</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requires: a substantiated finding from a State Designee Panel under §8.9; a 14-day SC appeal window from publication of the finding; and a 2/3 vote of both chambers simultaneously. Duty suspension triggers upon publication of a substantiated Panel finding. Any removal vote within 180 days of a major national election is automatically suspended pending SC review within 48 hours. The EI oversees the Commission as a whole for executive accountability purposes. The JIC audits NRS operation and integrity compliance annually under §8.12; the JI audits Elections Panel operations and electoral integrity annually. All findings are published to the NRS and transmitted to both chambers.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the Commission to adopt temporary technical measures in response to imminent security threats or system failures; emergency measures may not change electoral rules, timelines, or NRS record permanence; they expire within 72 hours unless ratified by the full Commission.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passed by 2/3 of both chambers. The TAM is time-limited, non-criminal (it cannot impose criminal sentences or orders equivalent to criminal punishment), and subject to NRS publication. The TAM investigates, documents, and recommends remedies for serious violations committed by predecessor government entities; its jurisdiction is bounded to predecessor-era conduct. Findings may recommend criminal referrals, institutional restructuring, or reparative measures, but carry no binding force. The TAM may not publish preliminary or draft determinations — only finalized findings that have completed the evidentiary process. The establishing statute and any amendments require the same 2/3 majority; no amendment may expand the TAM's subject matter scope beyond the establishing statute. The TAM dissolves at its statutory sunset; its NRS record is permanent. Extension beyond the statutory sunset requires a fresh 2/3 supermajority in both chambers. No new Transitional Accountability Mechanism may be established within ten years of the sunset of a prior Mechanism.</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shall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