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social assistance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Social Assistance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social assistance obligation under §10.1.b.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§2.1.f.ii  </w:t>
      </w:r>
      <w:r>
        <w:rPr>
          <w:rFonts w:ascii="Garamond" w:cs="Garamond" w:eastAsia="Garamond" w:hAnsi="Garamond"/>
          <w:b/>
          <w:bCs/>
          <w:i w:val="false"/>
          <w:iCs w:val="false"/>
          <w:color w:val="1B2A4A"/>
          <w:sz w:val="22"/>
          <w:szCs w:val="22"/>
        </w:rPr>
        <w:t xml:space="preserve">Veto Suspension for Repeated Void Vetoes</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social state obligations under §10.1,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JI must publish a factual finding before any removal vote. The EI may certify the breach that triggers the proceeding, but the JI — which has no oversight relationship with the officer being removed — makes the independent factual finding for the removal proceeding itself.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Open-Candidacy Judicial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§4.2.a  </w:t>
      </w:r>
      <w:r>
        <w:rPr>
          <w:rFonts w:ascii="Garamond" w:cs="Garamond" w:eastAsia="Garamond" w:hAnsi="Garamond"/>
          <w:b/>
          <w:bCs/>
          <w:i w:val="false"/>
          <w:iCs w:val="false"/>
          <w:color w:val="1B2A4A"/>
          <w:sz w:val="22"/>
          <w:szCs w:val="22"/>
        </w:rPr>
        <w:t xml:space="preserve">Candidate 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431"/>
        <w:jc w:val="left"/>
      </w:pPr>
      <w:r>
        <w:rPr>
          <w:rFonts w:ascii="Courier New" w:cs="Courier New" w:eastAsia="Courier New" w:hAnsi="Courier New"/>
          <w:b/>
          <w:bCs/>
          <w:color w:val="1B2A4A"/>
          <w:sz w:val="18"/>
          <w:szCs w:val="18"/>
        </w:rPr>
        <w:t xml:space="preserve">§4.2.b  </w:t>
      </w:r>
      <w:r>
        <w:rPr>
          <w:rFonts w:ascii="Garamond" w:cs="Garamond" w:eastAsia="Garamond" w:hAnsi="Garamond"/>
          <w:b/>
          <w:bCs/>
          <w:i w:val="false"/>
          <w:iCs w:val="false"/>
          <w:color w:val="1B2A4A"/>
          <w:sz w:val="22"/>
          <w:szCs w:val="22"/>
        </w:rPr>
        <w:t xml:space="preserve">Judicial Selection Board</w:t>
      </w:r>
    </w:p>
    <w:p>
      <w:pPr>
        <w:spacing w:after="120" w:before="0"/>
        <w:ind w:left="431"/>
        <w:jc w:val="both"/>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431"/>
        <w:jc w:val="left"/>
      </w:pPr>
      <w:r>
        <w:rPr>
          <w:rFonts w:ascii="Courier New" w:cs="Courier New" w:eastAsia="Courier New" w:hAnsi="Courier New"/>
          <w:b/>
          <w:bCs/>
          <w:color w:val="1B2A4A"/>
          <w:sz w:val="18"/>
          <w:szCs w:val="18"/>
        </w:rPr>
        <w:t xml:space="preserve">§4.2.c  </w:t>
      </w:r>
      <w:r>
        <w:rPr>
          <w:rFonts w:ascii="Garamond" w:cs="Garamond" w:eastAsia="Garamond" w:hAnsi="Garamond"/>
          <w:b/>
          <w:bCs/>
          <w:i w:val="false"/>
          <w:iCs w:val="false"/>
          <w:color w:val="1B2A4A"/>
          <w:sz w:val="22"/>
          <w:szCs w:val="22"/>
        </w:rPr>
        <w:t xml:space="preserve">Judicial Inspectorate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confirms that each candidate remains on the SC Candidate Registry and that no disqualifying change has occurred since Registry admission. Candidates who fail JI certification may appeal under §8.4.i.</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Public 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access to social state systems under §10.1.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§5.1.g  </w:t>
      </w:r>
      <w:r>
        <w:rPr>
          <w:rFonts w:ascii="Garamond" w:cs="Garamond" w:eastAsia="Garamond" w:hAnsi="Garamond"/>
          <w:b/>
          <w:bCs/>
          <w:i w:val="false"/>
          <w:iCs w:val="false"/>
          <w:color w:val="1B2A4A"/>
          <w:sz w:val="22"/>
          <w:szCs w:val="22"/>
        </w:rPr>
        <w:t xml:space="preserve">Accelerated Naturalization — Long-Term Pre-Ratification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social state systems under §10.1,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access social state systems under §10.1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The Combined Score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431"/>
        <w:jc w:val="left"/>
      </w:pPr>
      <w:r>
        <w:rPr>
          <w:rFonts w:ascii="Courier New" w:cs="Courier New" w:eastAsia="Courier New" w:hAnsi="Courier New"/>
          <w:b/>
          <w:bCs/>
          <w:color w:val="1B2A4A"/>
          <w:sz w:val="18"/>
          <w:szCs w:val="18"/>
        </w:rPr>
        <w:t xml:space="preserve">§7.2.c  </w:t>
      </w:r>
      <w:r>
        <w:rPr>
          <w:rFonts w:ascii="Garamond" w:cs="Garamond" w:eastAsia="Garamond" w:hAnsi="Garamond"/>
          <w:b/>
          <w:bCs/>
          <w:i w:val="false"/>
          <w:iCs w:val="false"/>
          <w:color w:val="1B2A4A"/>
          <w:sz w:val="22"/>
          <w:szCs w:val="22"/>
        </w:rPr>
        <w:t xml:space="preserve">Presidential Election Regions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431"/>
        <w:jc w:val="left"/>
      </w:pPr>
      <w:r>
        <w:rPr>
          <w:rFonts w:ascii="Courier New" w:cs="Courier New" w:eastAsia="Courier New" w:hAnsi="Courier New"/>
          <w:b/>
          <w:bCs/>
          <w:color w:val="1B2A4A"/>
          <w:sz w:val="18"/>
          <w:szCs w:val="18"/>
        </w:rPr>
        <w:t xml:space="preserve">§7.2.c.i  </w:t>
      </w:r>
      <w:r>
        <w:rPr>
          <w:rFonts w:ascii="Garamond" w:cs="Garamond" w:eastAsia="Garamond" w:hAnsi="Garamond"/>
          <w:b/>
          <w:bCs/>
          <w:i w:val="false"/>
          <w:iCs w:val="false"/>
          <w:color w:val="1B2A4A"/>
          <w:sz w:val="22"/>
          <w:szCs w:val="22"/>
        </w:rPr>
        <w:t xml:space="preserve">State Candidate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States need only submit names to the LI for certification and pay their drawn representative during commission service.</w:t>
      </w:r>
    </w:p>
    <w:p>
      <w:pPr>
        <w:spacing w:after="60" w:before="200"/>
        <w:ind w:left="431"/>
        <w:jc w:val="left"/>
      </w:pPr>
      <w:r>
        <w:rPr>
          <w:rFonts w:ascii="Courier New" w:cs="Courier New" w:eastAsia="Courier New" w:hAnsi="Courier New"/>
          <w:b/>
          <w:bCs/>
          <w:color w:val="1B2A4A"/>
          <w:sz w:val="18"/>
          <w:szCs w:val="18"/>
        </w:rPr>
        <w:t xml:space="preserve">§7.2.c.ii  </w:t>
      </w:r>
      <w:r>
        <w:rPr>
          <w:rFonts w:ascii="Garamond" w:cs="Garamond" w:eastAsia="Garamond" w:hAnsi="Garamond"/>
          <w:b/>
          <w:bCs/>
          <w:i w:val="false"/>
          <w:iCs w:val="false"/>
          <w:color w:val="1B2A4A"/>
          <w:sz w:val="22"/>
          <w:szCs w:val="22"/>
        </w:rPr>
        <w:t xml:space="preserve">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431"/>
        <w:jc w:val="left"/>
      </w:pPr>
      <w:r>
        <w:rPr>
          <w:rFonts w:ascii="Courier New" w:cs="Courier New" w:eastAsia="Courier New" w:hAnsi="Courier New"/>
          <w:b/>
          <w:bCs/>
          <w:color w:val="1B2A4A"/>
          <w:sz w:val="18"/>
          <w:szCs w:val="18"/>
        </w:rPr>
        <w:t xml:space="preserve">§7.2.c.iii  </w:t>
      </w:r>
      <w:r>
        <w:rPr>
          <w:rFonts w:ascii="Garamond" w:cs="Garamond" w:eastAsia="Garamond" w:hAnsi="Garamond"/>
          <w:b/>
          <w:bCs/>
          <w:i w:val="false"/>
          <w:iCs w:val="false"/>
          <w:color w:val="1B2A4A"/>
          <w:sz w:val="22"/>
          <w:szCs w:val="22"/>
        </w:rPr>
        <w:t xml:space="preserve">Pool Health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431"/>
        <w:jc w:val="left"/>
      </w:pPr>
      <w:r>
        <w:rPr>
          <w:rFonts w:ascii="Courier New" w:cs="Courier New" w:eastAsia="Courier New" w:hAnsi="Courier New"/>
          <w:b/>
          <w:bCs/>
          <w:color w:val="1B2A4A"/>
          <w:sz w:val="18"/>
          <w:szCs w:val="18"/>
        </w:rPr>
        <w:t xml:space="preserve">§7.2.c.iv  </w:t>
      </w:r>
      <w:r>
        <w:rPr>
          <w:rFonts w:ascii="Garamond" w:cs="Garamond" w:eastAsia="Garamond" w:hAnsi="Garamond"/>
          <w:b/>
          <w:bCs/>
          <w:i w:val="false"/>
          <w:iCs w:val="false"/>
          <w:color w:val="1B2A4A"/>
          <w:sz w:val="22"/>
          <w:szCs w:val="22"/>
        </w:rPr>
        <w:t xml:space="preserve">Commission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431"/>
        <w:jc w:val="left"/>
      </w:pPr>
      <w:r>
        <w:rPr>
          <w:rFonts w:ascii="Courier New" w:cs="Courier New" w:eastAsia="Courier New" w:hAnsi="Courier New"/>
          <w:b/>
          <w:bCs/>
          <w:color w:val="1B2A4A"/>
          <w:sz w:val="18"/>
          <w:szCs w:val="18"/>
        </w:rPr>
        <w:t xml:space="preserve">§7.2.c.v  </w:t>
      </w:r>
      <w:r>
        <w:rPr>
          <w:rFonts w:ascii="Garamond" w:cs="Garamond" w:eastAsia="Garamond" w:hAnsi="Garamond"/>
          <w:b/>
          <w:bCs/>
          <w:i w:val="false"/>
          <w:iCs w:val="false"/>
          <w:color w:val="1B2A4A"/>
          <w:sz w:val="22"/>
          <w:szCs w:val="22"/>
        </w:rPr>
        <w:t xml:space="preserve">Commission 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431"/>
        <w:jc w:val="left"/>
      </w:pPr>
      <w:r>
        <w:rPr>
          <w:rFonts w:ascii="Courier New" w:cs="Courier New" w:eastAsia="Courier New" w:hAnsi="Courier New"/>
          <w:b/>
          <w:bCs/>
          <w:color w:val="1B2A4A"/>
          <w:sz w:val="18"/>
          <w:szCs w:val="18"/>
        </w:rPr>
        <w:t xml:space="preserve">§7.2.c.vi  </w:t>
      </w:r>
      <w:r>
        <w:rPr>
          <w:rFonts w:ascii="Garamond" w:cs="Garamond" w:eastAsia="Garamond" w:hAnsi="Garamond"/>
          <w:b/>
          <w:bCs/>
          <w:i w:val="false"/>
          <w:iCs w:val="false"/>
          <w:color w:val="1B2A4A"/>
          <w:sz w:val="22"/>
          <w:szCs w:val="22"/>
        </w:rPr>
        <w:t xml:space="preserve">Drawing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431"/>
        <w:jc w:val="left"/>
      </w:pPr>
      <w:r>
        <w:rPr>
          <w:rFonts w:ascii="Courier New" w:cs="Courier New" w:eastAsia="Courier New" w:hAnsi="Courier New"/>
          <w:b/>
          <w:bCs/>
          <w:color w:val="1B2A4A"/>
          <w:sz w:val="18"/>
          <w:szCs w:val="18"/>
        </w:rPr>
        <w:t xml:space="preserve">§7.2.c.vii  </w:t>
      </w:r>
      <w:r>
        <w:rPr>
          <w:rFonts w:ascii="Garamond" w:cs="Garamond" w:eastAsia="Garamond" w:hAnsi="Garamond"/>
          <w:b/>
          <w:bCs/>
          <w:i w:val="false"/>
          <w:iCs w:val="false"/>
          <w:color w:val="1B2A4A"/>
          <w:sz w:val="22"/>
          <w:szCs w:val="22"/>
        </w:rPr>
        <w:t xml:space="preserve">Drawing Process and Timeline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431"/>
        <w:jc w:val="left"/>
      </w:pPr>
      <w:r>
        <w:rPr>
          <w:rFonts w:ascii="Courier New" w:cs="Courier New" w:eastAsia="Courier New" w:hAnsi="Courier New"/>
          <w:b/>
          <w:bCs/>
          <w:color w:val="1B2A4A"/>
          <w:sz w:val="18"/>
          <w:szCs w:val="18"/>
        </w:rPr>
        <w:t xml:space="preserve">§7.2.c.viii  </w:t>
      </w:r>
      <w:r>
        <w:rPr>
          <w:rFonts w:ascii="Garamond" w:cs="Garamond" w:eastAsia="Garamond" w:hAnsi="Garamond"/>
          <w:b/>
          <w:bCs/>
          <w:i w:val="false"/>
          <w:iCs w:val="false"/>
          <w:color w:val="1B2A4A"/>
          <w:sz w:val="22"/>
          <w:szCs w:val="22"/>
        </w:rPr>
        <w:t xml:space="preserve">LI Compliance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431"/>
        <w:jc w:val="left"/>
      </w:pPr>
      <w:r>
        <w:rPr>
          <w:rFonts w:ascii="Courier New" w:cs="Courier New" w:eastAsia="Courier New" w:hAnsi="Courier New"/>
          <w:b/>
          <w:bCs/>
          <w:color w:val="1B2A4A"/>
          <w:sz w:val="18"/>
          <w:szCs w:val="18"/>
        </w:rPr>
        <w:t xml:space="preserve">§7.2.c.ix  </w:t>
      </w:r>
      <w:r>
        <w:rPr>
          <w:rFonts w:ascii="Garamond" w:cs="Garamond" w:eastAsia="Garamond" w:hAnsi="Garamond"/>
          <w:b/>
          <w:bCs/>
          <w:i w:val="false"/>
          <w:iCs w:val="false"/>
          <w:color w:val="1B2A4A"/>
          <w:sz w:val="22"/>
          <w:szCs w:val="22"/>
        </w:rPr>
        <w:t xml:space="preserve">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431"/>
        <w:jc w:val="left"/>
      </w:pPr>
      <w:r>
        <w:rPr>
          <w:rFonts w:ascii="Courier New" w:cs="Courier New" w:eastAsia="Courier New" w:hAnsi="Courier New"/>
          <w:b/>
          <w:bCs/>
          <w:color w:val="1B2A4A"/>
          <w:sz w:val="18"/>
          <w:szCs w:val="18"/>
        </w:rPr>
        <w:t xml:space="preserve">§7.2.c.x  </w:t>
      </w:r>
      <w:r>
        <w:rPr>
          <w:rFonts w:ascii="Garamond" w:cs="Garamond" w:eastAsia="Garamond" w:hAnsi="Garamond"/>
          <w:b/>
          <w:bCs/>
          <w:i w:val="false"/>
          <w:iCs w:val="false"/>
          <w:color w:val="1B2A4A"/>
          <w:sz w:val="22"/>
          <w:szCs w:val="22"/>
        </w:rPr>
        <w:t xml:space="preserve">Cycle and Timing</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If two candidates are within 0.5 percentage points of each other on the final combined score as calculated under §7.2.b, a head-to-head national RCV runoff is conducted between those two candidates.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Vets judicial nominees and Electoral Commission candidates. Audits the Digital Infrastructure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 Where there is no outgoing JI IG — on the first-ever selection or where the outgoing IG has been removed or is incapacitated — the draw is administered jointly by the LI and EI Inspector Generals.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 The Inspector General has a 14-day SC appeal window from publication of the Panel finding before the legislative vote proceeds.</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431"/>
        <w:jc w:val="left"/>
      </w:pPr>
      <w:r>
        <w:rPr>
          <w:rFonts w:ascii="Courier New" w:cs="Courier New" w:eastAsia="Courier New" w:hAnsi="Courier New"/>
          <w:b/>
          <w:bCs/>
          <w:color w:val="1B2A4A"/>
          <w:sz w:val="18"/>
          <w:szCs w:val="18"/>
        </w:rPr>
        <w:t xml:space="preserve">§8.9.b  </w:t>
      </w:r>
      <w:r>
        <w:rPr>
          <w:rFonts w:ascii="Garamond" w:cs="Garamond" w:eastAsia="Garamond" w:hAnsi="Garamond"/>
          <w:b/>
          <w:bCs/>
          <w:i w:val="false"/>
          <w:iCs w:val="false"/>
          <w:color w:val="1B2A4A"/>
          <w:sz w:val="22"/>
          <w:szCs w:val="22"/>
        </w:rPr>
        <w:t xml:space="preserve">Designee Pool 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431"/>
        <w:jc w:val="left"/>
      </w:pPr>
      <w:r>
        <w:rPr>
          <w:rFonts w:ascii="Courier New" w:cs="Courier New" w:eastAsia="Courier New" w:hAnsi="Courier New"/>
          <w:b/>
          <w:bCs/>
          <w:color w:val="1B2A4A"/>
          <w:sz w:val="18"/>
          <w:szCs w:val="18"/>
        </w:rPr>
        <w:t xml:space="preserve">§8.9.b.i  </w:t>
      </w:r>
      <w:r>
        <w:rPr>
          <w:rFonts w:ascii="Garamond" w:cs="Garamond" w:eastAsia="Garamond" w:hAnsi="Garamond"/>
          <w:b/>
          <w:bCs/>
          <w:i w:val="false"/>
          <w:iCs w:val="false"/>
          <w:color w:val="1B2A4A"/>
          <w:sz w:val="22"/>
          <w:szCs w:val="22"/>
        </w:rPr>
        <w:t xml:space="preserve">Mandatory State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431"/>
        <w:jc w:val="left"/>
      </w:pPr>
      <w:r>
        <w:rPr>
          <w:rFonts w:ascii="Courier New" w:cs="Courier New" w:eastAsia="Courier New" w:hAnsi="Courier New"/>
          <w:b/>
          <w:bCs/>
          <w:color w:val="1B2A4A"/>
          <w:sz w:val="18"/>
          <w:szCs w:val="18"/>
        </w:rPr>
        <w:t xml:space="preserve">§8.9.c  </w:t>
      </w:r>
      <w:r>
        <w:rPr>
          <w:rFonts w:ascii="Garamond" w:cs="Garamond" w:eastAsia="Garamond" w:hAnsi="Garamond"/>
          <w:b/>
          <w:bCs/>
          <w:i w:val="false"/>
          <w:iCs w:val="false"/>
          <w:color w:val="1B2A4A"/>
          <w:sz w:val="22"/>
          <w:szCs w:val="22"/>
        </w:rPr>
        <w:t xml:space="preserve">Pool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431"/>
        <w:jc w:val="left"/>
      </w:pPr>
      <w:r>
        <w:rPr>
          <w:rFonts w:ascii="Courier New" w:cs="Courier New" w:eastAsia="Courier New" w:hAnsi="Courier New"/>
          <w:b/>
          <w:bCs/>
          <w:color w:val="1B2A4A"/>
          <w:sz w:val="18"/>
          <w:szCs w:val="18"/>
        </w:rPr>
        <w:t xml:space="preserve">§8.9.d.i  </w:t>
      </w:r>
      <w:r>
        <w:rPr>
          <w:rFonts w:ascii="Garamond" w:cs="Garamond" w:eastAsia="Garamond" w:hAnsi="Garamond"/>
          <w:b/>
          <w:bCs/>
          <w:i w:val="false"/>
          <w:iCs w:val="false"/>
          <w:color w:val="1B2A4A"/>
          <w:sz w:val="22"/>
          <w:szCs w:val="22"/>
        </w:rPr>
        <w:t xml:space="preserve">Draw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431"/>
        <w:jc w:val="left"/>
      </w:pPr>
      <w:r>
        <w:rPr>
          <w:rFonts w:ascii="Courier New" w:cs="Courier New" w:eastAsia="Courier New" w:hAnsi="Courier New"/>
          <w:b/>
          <w:bCs/>
          <w:color w:val="1B2A4A"/>
          <w:sz w:val="18"/>
          <w:szCs w:val="18"/>
        </w:rPr>
        <w:t xml:space="preserve">§8.9.e  </w:t>
      </w:r>
      <w:r>
        <w:rPr>
          <w:rFonts w:ascii="Garamond" w:cs="Garamond" w:eastAsia="Garamond" w:hAnsi="Garamond"/>
          <w:b/>
          <w:bCs/>
          <w:i w:val="false"/>
          <w:iCs w:val="false"/>
          <w:color w:val="1B2A4A"/>
          <w:sz w:val="22"/>
          <w:szCs w:val="22"/>
        </w:rPr>
        <w:t xml:space="preserve">Ongoing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§8.9.j  </w:t>
      </w:r>
      <w:r>
        <w:rPr>
          <w:rFonts w:ascii="Garamond" w:cs="Garamond" w:eastAsia="Garamond" w:hAnsi="Garamond"/>
          <w:b/>
          <w:bCs/>
          <w:i w:val="false"/>
          <w:iCs w:val="false"/>
          <w:color w:val="1B2A4A"/>
          <w:sz w:val="22"/>
          <w:szCs w:val="22"/>
        </w:rPr>
        <w:t xml:space="preserve">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social state obligations — whether the healthcare insurance system is solvent and providing universal access, whether social assistance is meeting the §10.1 dignity standard, and whether States are meeting the compulsory education constitutional floor under §10.1.c;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Findings are classified by severity: No Finding, Deficiency, or Critical Failure. The Legislature must respond within 90 days. For a No Finding: acknowledgment is sufficient. For a Deficiency: the Legislature must publish a remediation plan specifying actions and timelines; acknowledgment without a plan is a constitutional compliance breach certified by the LI. For a Critical Failure: the Legislature must publish a remediation plan and any member of either chamber may petition the SC to determine whether the failure constitutes a constitutional breach requiring judicial remedy. Findings, responses, and remediation plans form a permanent longitudinal record of constitutional performance published to the NRS.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Digital Infrastructure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and the National Voting System are reviewed decennially by the Digital Infrastructure Advisory Council — an independent expert body that publishes advisory findings and recommendations to the Digital Infrastructure Commission. The Advisory Council has no authority to issue binding orders or direct the Commission. Its value is the independence of its assessment from the Commission it advises. Findings are published jointly by all three Inspectorates to the NRS and transmitted to the Commission Director and both panel chairs simultaneously.</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Advisory Council — Mandate and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Council reviews whether the NRS and NVS architectures continue to meet their respective constitutional requirements under §9.1 and §16.3. The Council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Advisory Council findings are recommendations to the Digital Infrastructure Commission — the Commission determines what action, if any, to take and publishes its response to the NRS within 90 days of the Advisory Council's findings.</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Advisory Pool — State Nominations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nominate any number of qualified persons to the Digital Infrastructure Advisory Pool at any time. Nominations are submitted to the JI, which reviews each nominee and publishes a qualification report to the NRS within 30 days — assessing whether the nominee holds relevant expertise in cryptography, distributed systems, information security, election administration, or public records management, as appropriate to the scope of the decennial review. Pool membership is established by JI qualification certification; no Senate confirmation is required for pool entry. Pool nominations remain valid for ten years or until withdrawn by the nominating State. The pool is a public NRS record, enabling citizens to review the qualifications of potential Advisory Council members and hold their State governments accountable for their nominations. No more than three certified pool members may be nominees of the same State at the time of any given decennial draw.</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Pool resets after each decennial review cycle. States may re-nominate the same persons with fresh JI qualification certification, or submit new nominees. Members who served on the Advisory Council are eligible for re-nomination by their State after one full cycle has elapsed since their service.</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Advisory Council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Advisory Council Member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an Advisory Council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 of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Commission Director and both panel chairs receive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Advisory Council Findings and Commission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Advisory Council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for either system. The Commission Director, both panel chairs, and both executives receive findings simultaneously with NRS publication. The Senate public session under §9.3.h must be scheduled within 30 days of publication and occur within 90 days. The Commission must publish its response within 90 days of findings publication — accepting, modifying, or declining each recommendation with published reasons. The Commission's response should ordinarily follow the Senate public session under §9.3.h so that Senate scrutiny may inform the Commission's reasoning; however the 90-day response window runs from findings publication regardless of when the session occurs. The Advisory Council's mandate ends upon publication; the Council dissolves and the pool resets under §9.3.c.</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Senate Public Session on Advisory Council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Advisory Council's findings being published to the NRS under §9.3.g, the Senate must schedule a mandatory public session. The session must occur within 90 days of publication. Advisory Council members appear before the Senate, present their findings, and respond to questions from Senators. The session is published in full to the NRS. Failure to schedule the session within 30 days is a constitutional compliance breach certified by the LI. The Senate session provides public accountability for the Advisory Council's work — the Senate represents the States that nominated the Council members, completing the accountability chain from nomination through finding to public scrutiny. The Commission's 90-day response period under §9.3.g runs from the date of findings publication and is not affected by the Senate session timing.</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The Republic shall maintain universally accessible healthcare insurance and social assistance systems and shall ensure free compulsory education for all children, as established in §10.1.a through §10.1.e.</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Universal Healthcare Insurance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shall maintain a universal healthcare insurance system providing every Inhabitant with access to essential medical care, preventive services, and necessary medications. The system is funded by mandatory employer, employee, and federal government contributions at rates defined by statute. The Republic is the contributor of last resort for Inhabitants without employment income — no Inhabitant may be excluded from the system by reason of inability to pay. The structure, governance, and coverage scope of the system are defined by statute; the statute must provide genuinely comprehensive coverage adequate for a dignified life. The MA certifies annually that the system is solvent and provides constitutionally required universal access. Where the MA certifies insolvency or access failure, the Legislature must respond within 90 days with a remediation plan; failure to respond is a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Social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Inhabitant cannot access the healthcare insurance system, employment income, or other means of support, the Republic provides social assistance sufficient to maintain conditions of life consistent with the §10.1 dignity standard. Eligibility, benefit levels, and delivery mechanisms are defined by statute; no statute may reduce social assistance below a level the MA certifies as consistent with the constitutional dignity standard. Social assistance is administered by the PM through the Domestic Affairs Council. The LI audits delivery annually.</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Compulsory 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in the Republic is entitled to free compulsory basic education. States deliver basic education within their territories and may establish standards above the constitutional floor. The constitutional floor requires: literacy and numeracy sufficient for full adult participation in economic and civic life; and civic education covering the structure, rights, and obligations of the Republic's constitutional framework. The Legislature establishes minimum per-pupil expenditure floors by statute. The LI audits State compliance with the constitutional education floor annually.</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Non-Discrimination in Social Systems</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the healthcare insurance system, social assistance, and compulsory education may not be conditioned on citizenship, residency status, political affiliation, or any characteristic protected under §1.9. Every Inhabitant is entitled to equal access. No statute may create tiered access or differential benefit levels based on any protected characteristic.</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Emergency Protection and Revenue Contraction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diminish access to healthcare insurance, social assistance, or compulsory education. These social state obligations are explicitly excluded from emergency powers; an executive who redirects social insurance or assistance funds during an emergency has committed a constitutional breach reportable by the EI. Where the MA certifies a Severe Revenue Contraction, the National Endowment under §10.6 is automatically activated to backstop both the healthcare insurance system's solvency and social assistance appropriations below the §10.1 dignity standard — no legislative action is required for activation. Disbursements continue until the MA certifies the contraction has ended. Where the MA certifies healthcare insurance insolvency under §10.1.a and the Legislature fails to publish a remediation plan within 90 days, the National Endowment board may also authorize emergency disbursement to cover the insolvency gap for up to 6 months regardless of whether a Severe Revenue Contraction has been certified — ensuring the insurance system's obligations are met while the Legislature's constitutional obligation is enforced.</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social state backstop purposes under §10.1.e is established and governed under §10.6. The Legislature must fund it by appropriation in years of fiscal surplus. Failure to establish or adequately fund the Endowment within the constitutionally required period is a compliance breach reportable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certified by the LI,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 No deemed confirmation applies to MA board member appointments — the Senate must hold an affirmative vote.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The veto period must be no fewer than 7 days; the board override period no fewer than 14 days; the EI advisory period no fewer than 30 days; the SC petition period no fewer than 60 days. The Legislature may extend but not shorten these floors by statute.</w:t>
      </w:r>
    </w:p>
    <w:p>
      <w:pPr>
        <w:spacing w:after="60" w:before="200"/>
        <w:ind w:left="431"/>
        <w:jc w:val="left"/>
      </w:pPr>
      <w:r>
        <w:rPr>
          <w:rFonts w:ascii="Courier New" w:cs="Courier New" w:eastAsia="Courier New" w:hAnsi="Courier New"/>
          <w:b/>
          <w:bCs/>
          <w:color w:val="1B2A4A"/>
          <w:sz w:val="18"/>
          <w:szCs w:val="18"/>
        </w:rPr>
        <w:t xml:space="preserve">§10.4.g  </w:t>
      </w:r>
      <w:r>
        <w:rPr>
          <w:rFonts w:ascii="Garamond" w:cs="Garamond" w:eastAsia="Garamond" w:hAnsi="Garamond"/>
          <w:b/>
          <w:bCs/>
          <w:i w:val="false"/>
          <w:iCs w:val="false"/>
          <w:color w:val="1B2A4A"/>
          <w:sz w:val="22"/>
          <w:szCs w:val="22"/>
        </w:rPr>
        <w:t xml:space="preserve">MA Director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The Director is suspended from duties upon publication of a substantiated Panel finding, pending the legislative vote and any SC review. Any removal vote scheduled within 180 days of a major national election is automatically suspended pending SC review within 48 hours. Neither executive may remove the MA Director unilaterally.</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§10.5.f  </w:t>
      </w:r>
      <w:r>
        <w:rPr>
          <w:rFonts w:ascii="Garamond" w:cs="Garamond" w:eastAsia="Garamond" w:hAnsi="Garamond"/>
          <w:b/>
          <w:bCs/>
          <w:i w:val="false"/>
          <w:iCs w:val="false"/>
          <w:color w:val="1B2A4A"/>
          <w:sz w:val="22"/>
          <w:szCs w:val="22"/>
        </w:rPr>
        <w:t xml:space="preserve">Revolving Door — see §10.5.c</w:t>
      </w:r>
    </w:p>
    <w:p>
      <w:pPr>
        <w:spacing w:after="120" w:before="0"/>
        <w:ind w:left="431"/>
        <w:jc w:val="both"/>
      </w:pPr>
      <w:r>
        <w:rPr>
          <w:rFonts w:ascii="Garamond" w:cs="Garamond" w:eastAsia="Garamond" w:hAnsi="Garamond"/>
          <w:b w:val="false"/>
          <w:bCs w:val="false"/>
          <w:i w:val="false"/>
          <w:iCs w:val="false"/>
          <w:color w:val="2a2520"/>
          <w:sz w:val="22"/>
          <w:szCs w:val="22"/>
        </w:rPr>
        <w:t xml:space="preserve">Post-service restrictions including the revolving door prohibition are consolidated in §10.5.c.</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§10.1.e during periods of Severe Revenue Contraction. It operates independently of the annual budget process. The Endowment's dual mandate is: (1) maintaining the solvency of the universal healthcare insurance system where contribution revenues are insufficient; and (2) supplementing social assistance appropriations that fall below the §10.1 dignity standard. Both mandates are activated simultaneously on MA certification of Severe Revenue Contraction.</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social state backstop purposes under §10.1.e.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the Endowment is automatically activated under §10.1.e. The board must begin disbursements within 30 days: to the healthcare insurance system where its contribution revenues are insufficient to meet its obligations; and to social assistance where appropriations fall below the MA-certified dignity standard. The board may not withhold disbursements during a certified contraction. Disbursements continue until the MA certifies the contraction has ended and both social state systems are self-sufficient.</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431"/>
        <w:jc w:val="left"/>
      </w:pPr>
      <w:r>
        <w:rPr>
          <w:rFonts w:ascii="Courier New" w:cs="Courier New" w:eastAsia="Courier New" w:hAnsi="Courier New"/>
          <w:b/>
          <w:bCs/>
          <w:color w:val="1B2A4A"/>
          <w:sz w:val="18"/>
          <w:szCs w:val="18"/>
        </w:rPr>
        <w:t xml:space="preserve">§10.7.a  </w:t>
      </w:r>
      <w:r>
        <w:rPr>
          <w:rFonts w:ascii="Garamond" w:cs="Garamond" w:eastAsia="Garamond" w:hAnsi="Garamond"/>
          <w:b/>
          <w:bCs/>
          <w:i w:val="false"/>
          <w:iCs w:val="false"/>
          <w:color w:val="1B2A4A"/>
          <w:sz w:val="22"/>
          <w:szCs w:val="22"/>
        </w:rPr>
        <w:t xml:space="preserve">Jury Service — see §4.5</w:t>
      </w:r>
    </w:p>
    <w:p>
      <w:pPr>
        <w:spacing w:after="120" w:before="0"/>
        <w:ind w:left="431"/>
        <w:jc w:val="both"/>
      </w:pPr>
      <w:r>
        <w:rPr>
          <w:rFonts w:ascii="Garamond" w:cs="Garamond" w:eastAsia="Garamond" w:hAnsi="Garamond"/>
          <w:b w:val="false"/>
          <w:bCs w:val="false"/>
          <w:i w:val="false"/>
          <w:iCs w:val="false"/>
          <w:color w:val="2a2520"/>
          <w:sz w:val="22"/>
          <w:szCs w:val="22"/>
        </w:rPr>
        <w:t xml:space="preserve">Jury service obligations, compensation, and enforcement are established in §4.5.</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accesses social state systems under §10.1, and may begin the Statehood pathway under §13.2.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w:t>
      </w:r>
    </w:p>
    <w:p>
      <w:pPr>
        <w:spacing w:after="60" w:before="200"/>
        <w:ind w:left="431"/>
        <w:jc w:val="left"/>
      </w:pPr>
      <w:r>
        <w:rPr>
          <w:rFonts w:ascii="Courier New" w:cs="Courier New" w:eastAsia="Courier New" w:hAnsi="Courier New"/>
          <w:b/>
          <w:bCs/>
          <w:color w:val="1B2A4A"/>
          <w:sz w:val="18"/>
          <w:szCs w:val="18"/>
        </w:rPr>
        <w:t xml:space="preserve">§13.2.a  </w:t>
      </w:r>
      <w:r>
        <w:rPr>
          <w:rFonts w:ascii="Garamond" w:cs="Garamond" w:eastAsia="Garamond" w:hAnsi="Garamond"/>
          <w:b/>
          <w:bCs/>
          <w:i w:val="false"/>
          <w:iCs w:val="false"/>
          <w:color w:val="1B2A4A"/>
          <w:sz w:val="22"/>
          <w:szCs w:val="22"/>
        </w:rPr>
        <w:t xml:space="preserve">Fiscal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431"/>
        <w:jc w:val="left"/>
      </w:pPr>
      <w:r>
        <w:rPr>
          <w:rFonts w:ascii="Courier New" w:cs="Courier New" w:eastAsia="Courier New" w:hAnsi="Courier New"/>
          <w:b/>
          <w:bCs/>
          <w:color w:val="1B2A4A"/>
          <w:sz w:val="18"/>
          <w:szCs w:val="18"/>
        </w:rPr>
        <w:t xml:space="preserve">§13.2.b  </w:t>
      </w:r>
      <w:r>
        <w:rPr>
          <w:rFonts w:ascii="Garamond" w:cs="Garamond" w:eastAsia="Garamond" w:hAnsi="Garamond"/>
          <w:b/>
          <w:bCs/>
          <w:i w:val="false"/>
          <w:iCs w:val="false"/>
          <w:color w:val="1B2A4A"/>
          <w:sz w:val="22"/>
          <w:szCs w:val="22"/>
        </w:rPr>
        <w:t xml:space="preserve">Legal Sync</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social state protections under §10.1. Cannot be used where the conflict is attributable to the State government's own governance failures (§13.2.g.i).</w:t>
      </w:r>
    </w:p>
    <w:p>
      <w:pPr>
        <w:spacing w:after="60" w:before="200"/>
        <w:ind w:left="431"/>
        <w:jc w:val="left"/>
      </w:pPr>
      <w:r>
        <w:rPr>
          <w:rFonts w:ascii="Courier New" w:cs="Courier New" w:eastAsia="Courier New" w:hAnsi="Courier New"/>
          <w:b/>
          <w:bCs/>
          <w:color w:val="1B2A4A"/>
          <w:sz w:val="18"/>
          <w:szCs w:val="18"/>
        </w:rPr>
        <w:t xml:space="preserve">§13.2.g.i  </w:t>
      </w:r>
      <w:r>
        <w:rPr>
          <w:rFonts w:ascii="Garamond" w:cs="Garamond" w:eastAsia="Garamond" w:hAnsi="Garamond"/>
          <w:b/>
          <w:bCs/>
          <w:i w:val="false"/>
          <w:iCs w:val="false"/>
          <w:color w:val="1B2A4A"/>
          <w:sz w:val="22"/>
          <w:szCs w:val="22"/>
        </w:rPr>
        <w:t xml:space="preserve">Governance Contribution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431"/>
        <w:jc w:val="left"/>
      </w:pPr>
      <w:r>
        <w:rPr>
          <w:rFonts w:ascii="Courier New" w:cs="Courier New" w:eastAsia="Courier New" w:hAnsi="Courier New"/>
          <w:b/>
          <w:bCs/>
          <w:color w:val="1B2A4A"/>
          <w:sz w:val="18"/>
          <w:szCs w:val="18"/>
        </w:rPr>
        <w:t xml:space="preserve">§13.2.g.ii  </w:t>
      </w:r>
      <w:r>
        <w:rPr>
          <w:rFonts w:ascii="Garamond" w:cs="Garamond" w:eastAsia="Garamond" w:hAnsi="Garamond"/>
          <w:b/>
          <w:bCs/>
          <w:i w:val="false"/>
          <w:iCs w:val="false"/>
          <w:color w:val="1B2A4A"/>
          <w:sz w:val="22"/>
          <w:szCs w:val="22"/>
        </w:rPr>
        <w:t xml:space="preserve">Provisional Status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431"/>
        <w:jc w:val="left"/>
      </w:pPr>
      <w:r>
        <w:rPr>
          <w:rFonts w:ascii="Courier New" w:cs="Courier New" w:eastAsia="Courier New" w:hAnsi="Courier New"/>
          <w:b/>
          <w:bCs/>
          <w:color w:val="1B2A4A"/>
          <w:sz w:val="18"/>
          <w:szCs w:val="18"/>
        </w:rPr>
        <w:t xml:space="preserve">§13.2.g.iii  </w:t>
      </w:r>
      <w:r>
        <w:rPr>
          <w:rFonts w:ascii="Garamond" w:cs="Garamond" w:eastAsia="Garamond" w:hAnsi="Garamond"/>
          <w:b/>
          <w:bCs/>
          <w:i w:val="false"/>
          <w:iCs w:val="false"/>
          <w:color w:val="1B2A4A"/>
          <w:sz w:val="22"/>
          <w:szCs w:val="22"/>
        </w:rPr>
        <w:t xml:space="preserve">Prior Provisional Status — Renewal Conditions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431"/>
        <w:jc w:val="left"/>
      </w:pPr>
      <w:r>
        <w:rPr>
          <w:rFonts w:ascii="Courier New" w:cs="Courier New" w:eastAsia="Courier New" w:hAnsi="Courier New"/>
          <w:b/>
          <w:bCs/>
          <w:color w:val="1B2A4A"/>
          <w:sz w:val="18"/>
          <w:szCs w:val="18"/>
        </w:rPr>
        <w:t xml:space="preserve">§13.2.g.iv  </w:t>
      </w:r>
      <w:r>
        <w:rPr>
          <w:rFonts w:ascii="Garamond" w:cs="Garamond" w:eastAsia="Garamond" w:hAnsi="Garamond"/>
          <w:b/>
          <w:bCs/>
          <w:i w:val="false"/>
          <w:iCs w:val="false"/>
          <w:color w:val="1B2A4A"/>
          <w:sz w:val="22"/>
          <w:szCs w:val="22"/>
        </w:rPr>
        <w:t xml:space="preserve">Maximum Provisional Period and Default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remedial process for States that have failed to meet minimum governance standards over a sustained period. Devolution restructures the State's relationship with the federal government while preserving its constitutional status.</w:t>
      </w:r>
    </w:p>
    <w:p>
      <w:pPr>
        <w:spacing w:after="60" w:before="200"/>
        <w:ind w:left="431"/>
        <w:jc w:val="left"/>
      </w:pPr>
      <w:r>
        <w:rPr>
          <w:rFonts w:ascii="Courier New" w:cs="Courier New" w:eastAsia="Courier New" w:hAnsi="Courier New"/>
          <w:b/>
          <w:bCs/>
          <w:color w:val="1B2A4A"/>
          <w:sz w:val="18"/>
          <w:szCs w:val="18"/>
        </w:rPr>
        <w:t xml:space="preserve">§13.3.a  </w:t>
      </w:r>
      <w:r>
        <w:rPr>
          <w:rFonts w:ascii="Garamond" w:cs="Garamond" w:eastAsia="Garamond" w:hAnsi="Garamond"/>
          <w:b/>
          <w:bCs/>
          <w:i w:val="false"/>
          <w:iCs w:val="false"/>
          <w:color w:val="1B2A4A"/>
          <w:sz w:val="22"/>
          <w:szCs w:val="22"/>
        </w:rPr>
        <w:t xml:space="preserve">Devolution Triggers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431"/>
        <w:jc w:val="left"/>
      </w:pPr>
      <w:r>
        <w:rPr>
          <w:rFonts w:ascii="Courier New" w:cs="Courier New" w:eastAsia="Courier New" w:hAnsi="Courier New"/>
          <w:b/>
          <w:bCs/>
          <w:color w:val="1B2A4A"/>
          <w:sz w:val="18"/>
          <w:szCs w:val="18"/>
        </w:rPr>
        <w:t xml:space="preserve">§13.3.b  </w:t>
      </w:r>
      <w:r>
        <w:rPr>
          <w:rFonts w:ascii="Garamond" w:cs="Garamond" w:eastAsia="Garamond" w:hAnsi="Garamond"/>
          <w:b/>
          <w:bCs/>
          <w:i w:val="false"/>
          <w:iCs w:val="false"/>
          <w:color w:val="1B2A4A"/>
          <w:sz w:val="22"/>
          <w:szCs w:val="22"/>
        </w:rPr>
        <w:t xml:space="preserve">Early Warning — Years 1 and 2</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431"/>
        <w:jc w:val="left"/>
      </w:pPr>
      <w:r>
        <w:rPr>
          <w:rFonts w:ascii="Courier New" w:cs="Courier New" w:eastAsia="Courier New" w:hAnsi="Courier New"/>
          <w:b/>
          <w:bCs/>
          <w:color w:val="1B2A4A"/>
          <w:sz w:val="18"/>
          <w:szCs w:val="18"/>
        </w:rPr>
        <w:t xml:space="preserve">§13.3.c  </w:t>
      </w:r>
      <w:r>
        <w:rPr>
          <w:rFonts w:ascii="Garamond" w:cs="Garamond" w:eastAsia="Garamond" w:hAnsi="Garamond"/>
          <w:b/>
          <w:bCs/>
          <w:i w:val="false"/>
          <w:iCs w:val="false"/>
          <w:color w:val="1B2A4A"/>
          <w:sz w:val="22"/>
          <w:szCs w:val="22"/>
        </w:rPr>
        <w:t xml:space="preserve">Devolution Vote — Year 3</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431"/>
        <w:jc w:val="left"/>
      </w:pPr>
      <w:r>
        <w:rPr>
          <w:rFonts w:ascii="Courier New" w:cs="Courier New" w:eastAsia="Courier New" w:hAnsi="Courier New"/>
          <w:b/>
          <w:bCs/>
          <w:color w:val="1B2A4A"/>
          <w:sz w:val="18"/>
          <w:szCs w:val="18"/>
        </w:rPr>
        <w:t xml:space="preserve">§13.3.d  </w:t>
      </w:r>
      <w:r>
        <w:rPr>
          <w:rFonts w:ascii="Garamond" w:cs="Garamond" w:eastAsia="Garamond" w:hAnsi="Garamond"/>
          <w:b/>
          <w:bCs/>
          <w:i w:val="false"/>
          <w:iCs w:val="false"/>
          <w:color w:val="1B2A4A"/>
          <w:sz w:val="22"/>
          <w:szCs w:val="22"/>
        </w:rPr>
        <w:t xml:space="preserve">Effect of 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Social state systems — healthcare insurance, social assistance, and compulsory education under §10.1 continue without interruption to Territory residents;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431"/>
        <w:jc w:val="left"/>
      </w:pPr>
      <w:r>
        <w:rPr>
          <w:rFonts w:ascii="Courier New" w:cs="Courier New" w:eastAsia="Courier New" w:hAnsi="Courier New"/>
          <w:b/>
          <w:bCs/>
          <w:color w:val="1B2A4A"/>
          <w:sz w:val="18"/>
          <w:szCs w:val="18"/>
        </w:rPr>
        <w:t xml:space="preserve">§13.4.a  </w:t>
      </w:r>
      <w:r>
        <w:rPr>
          <w:rFonts w:ascii="Garamond" w:cs="Garamond" w:eastAsia="Garamond" w:hAnsi="Garamond"/>
          <w:b/>
          <w:bCs/>
          <w:i w:val="false"/>
          <w:iCs w:val="false"/>
          <w:color w:val="1B2A4A"/>
          <w:sz w:val="22"/>
          <w:szCs w:val="22"/>
        </w:rPr>
        <w:t xml:space="preserve">Voluntary Devolution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431"/>
        <w:jc w:val="left"/>
      </w:pPr>
      <w:r>
        <w:rPr>
          <w:rFonts w:ascii="Courier New" w:cs="Courier New" w:eastAsia="Courier New" w:hAnsi="Courier New"/>
          <w:b/>
          <w:bCs/>
          <w:color w:val="1B2A4A"/>
          <w:sz w:val="18"/>
          <w:szCs w:val="18"/>
        </w:rPr>
        <w:t xml:space="preserve">§13.4.b  </w:t>
      </w:r>
      <w:r>
        <w:rPr>
          <w:rFonts w:ascii="Garamond" w:cs="Garamond" w:eastAsia="Garamond" w:hAnsi="Garamond"/>
          <w:b/>
          <w:bCs/>
          <w:i w:val="false"/>
          <w:iCs w:val="false"/>
          <w:color w:val="1B2A4A"/>
          <w:sz w:val="22"/>
          <w:szCs w:val="22"/>
        </w:rPr>
        <w:t xml:space="preserve">Negotiated Restructuring Agreement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431"/>
        <w:jc w:val="left"/>
      </w:pPr>
      <w:r>
        <w:rPr>
          <w:rFonts w:ascii="Courier New" w:cs="Courier New" w:eastAsia="Courier New" w:hAnsi="Courier New"/>
          <w:b/>
          <w:bCs/>
          <w:color w:val="1B2A4A"/>
          <w:sz w:val="18"/>
          <w:szCs w:val="18"/>
        </w:rPr>
        <w:t xml:space="preserve">§13.4.c  </w:t>
      </w:r>
      <w:r>
        <w:rPr>
          <w:rFonts w:ascii="Garamond" w:cs="Garamond" w:eastAsia="Garamond" w:hAnsi="Garamond"/>
          <w:b/>
          <w:bCs/>
          <w:i w:val="false"/>
          <w:iCs w:val="false"/>
          <w:color w:val="1B2A4A"/>
          <w:sz w:val="22"/>
          <w:szCs w:val="22"/>
        </w:rPr>
        <w:t xml:space="preserve">Transition Plan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431"/>
        <w:jc w:val="left"/>
      </w:pPr>
      <w:r>
        <w:rPr>
          <w:rFonts w:ascii="Courier New" w:cs="Courier New" w:eastAsia="Courier New" w:hAnsi="Courier New"/>
          <w:b/>
          <w:bCs/>
          <w:color w:val="1B2A4A"/>
          <w:sz w:val="18"/>
          <w:szCs w:val="18"/>
        </w:rPr>
        <w:t xml:space="preserve">§13.4.d  </w:t>
      </w:r>
      <w:r>
        <w:rPr>
          <w:rFonts w:ascii="Garamond" w:cs="Garamond" w:eastAsia="Garamond" w:hAnsi="Garamond"/>
          <w:b/>
          <w:bCs/>
          <w:i w:val="false"/>
          <w:iCs w:val="false"/>
          <w:color w:val="1B2A4A"/>
          <w:sz w:val="22"/>
          <w:szCs w:val="22"/>
        </w:rPr>
        <w:t xml:space="preserve">Effect of 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431"/>
        <w:jc w:val="left"/>
      </w:pPr>
      <w:r>
        <w:rPr>
          <w:rFonts w:ascii="Courier New" w:cs="Courier New" w:eastAsia="Courier New" w:hAnsi="Courier New"/>
          <w:b/>
          <w:bCs/>
          <w:color w:val="1B2A4A"/>
          <w:sz w:val="18"/>
          <w:szCs w:val="18"/>
        </w:rPr>
        <w:t xml:space="preserve">§13.4.e  </w:t>
      </w:r>
      <w:r>
        <w:rPr>
          <w:rFonts w:ascii="Garamond" w:cs="Garamond" w:eastAsia="Garamond" w:hAnsi="Garamond"/>
          <w:b/>
          <w:bCs/>
          <w:i w:val="false"/>
          <w:iCs w:val="false"/>
          <w:color w:val="1B2A4A"/>
          <w:sz w:val="22"/>
          <w:szCs w:val="22"/>
        </w:rPr>
        <w:t xml:space="preserve">Negotiated Devolution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431"/>
        <w:jc w:val="left"/>
      </w:pPr>
      <w:r>
        <w:rPr>
          <w:rFonts w:ascii="Courier New" w:cs="Courier New" w:eastAsia="Courier New" w:hAnsi="Courier New"/>
          <w:b/>
          <w:bCs/>
          <w:color w:val="1B2A4A"/>
          <w:sz w:val="18"/>
          <w:szCs w:val="18"/>
        </w:rPr>
        <w:t xml:space="preserve">§13.4.f  </w:t>
      </w:r>
      <w:r>
        <w:rPr>
          <w:rFonts w:ascii="Garamond" w:cs="Garamond" w:eastAsia="Garamond" w:hAnsi="Garamond"/>
          <w:b/>
          <w:bCs/>
          <w:i w:val="false"/>
          <w:iCs w:val="false"/>
          <w:color w:val="1B2A4A"/>
          <w:sz w:val="22"/>
          <w:szCs w:val="22"/>
        </w:rPr>
        <w:t xml:space="preserve">Independence Transition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An indigenous nation recognised under Article XIV that wishes to pursue territorial incorporation must first make a status election through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431"/>
        <w:jc w:val="left"/>
      </w:pPr>
      <w:r>
        <w:rPr>
          <w:rFonts w:ascii="Courier New" w:cs="Courier New" w:eastAsia="Courier New" w:hAnsi="Courier New"/>
          <w:b/>
          <w:bCs/>
          <w:color w:val="1B2A4A"/>
          <w:sz w:val="18"/>
          <w:szCs w:val="18"/>
        </w:rPr>
        <w:t xml:space="preserve">§13.7.a  </w:t>
      </w:r>
      <w:r>
        <w:rPr>
          <w:rFonts w:ascii="Garamond" w:cs="Garamond" w:eastAsia="Garamond" w:hAnsi="Garamond"/>
          <w:b/>
          <w:bCs/>
          <w:i w:val="false"/>
          <w:iCs w:val="false"/>
          <w:color w:val="1B2A4A"/>
          <w:sz w:val="22"/>
          <w:szCs w:val="22"/>
        </w:rPr>
        <w:t xml:space="preserve">Petition and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431"/>
        <w:jc w:val="left"/>
      </w:pPr>
      <w:r>
        <w:rPr>
          <w:rFonts w:ascii="Courier New" w:cs="Courier New" w:eastAsia="Courier New" w:hAnsi="Courier New"/>
          <w:b/>
          <w:bCs/>
          <w:color w:val="1B2A4A"/>
          <w:sz w:val="18"/>
          <w:szCs w:val="18"/>
        </w:rPr>
        <w:t xml:space="preserve">§13.7.b  </w:t>
      </w:r>
      <w:r>
        <w:rPr>
          <w:rFonts w:ascii="Garamond" w:cs="Garamond" w:eastAsia="Garamond" w:hAnsi="Garamond"/>
          <w:b/>
          <w:bCs/>
          <w:i w:val="false"/>
          <w:iCs w:val="false"/>
          <w:color w:val="1B2A4A"/>
          <w:sz w:val="22"/>
          <w:szCs w:val="22"/>
        </w:rPr>
        <w:t xml:space="preserve">Dual Approval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§13.7.c  </w:t>
      </w:r>
      <w:r>
        <w:rPr>
          <w:rFonts w:ascii="Garamond" w:cs="Garamond" w:eastAsia="Garamond" w:hAnsi="Garamond"/>
          <w:b/>
          <w:bCs/>
          <w:i w:val="false"/>
          <w:iCs w:val="false"/>
          <w:color w:val="1B2A4A"/>
          <w:sz w:val="22"/>
          <w:szCs w:val="22"/>
        </w:rPr>
        <w:t xml:space="preserve">Joint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431"/>
        <w:jc w:val="left"/>
      </w:pPr>
      <w:r>
        <w:rPr>
          <w:rFonts w:ascii="Courier New" w:cs="Courier New" w:eastAsia="Courier New" w:hAnsi="Courier New"/>
          <w:b/>
          <w:bCs/>
          <w:color w:val="1B2A4A"/>
          <w:sz w:val="18"/>
          <w:szCs w:val="18"/>
        </w:rPr>
        <w:t xml:space="preserve">§13.7.d  </w:t>
      </w:r>
      <w:r>
        <w:rPr>
          <w:rFonts w:ascii="Garamond" w:cs="Garamond" w:eastAsia="Garamond" w:hAnsi="Garamond"/>
          <w:b/>
          <w:bCs/>
          <w:i w:val="false"/>
          <w:iCs w:val="false"/>
          <w:color w:val="1B2A4A"/>
          <w:sz w:val="22"/>
          <w:szCs w:val="22"/>
        </w:rPr>
        <w:t xml:space="preserve">Remaining Territory Viability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social state protection under §10.1 and federal support as a constitutional matter.</w:t>
      </w:r>
    </w:p>
    <w:p>
      <w:pPr>
        <w:spacing w:after="60" w:before="200"/>
        <w:ind w:left="431"/>
        <w:jc w:val="left"/>
      </w:pPr>
      <w:r>
        <w:rPr>
          <w:rFonts w:ascii="Courier New" w:cs="Courier New" w:eastAsia="Courier New" w:hAnsi="Courier New"/>
          <w:b/>
          <w:bCs/>
          <w:color w:val="1B2A4A"/>
          <w:sz w:val="18"/>
          <w:szCs w:val="18"/>
        </w:rPr>
        <w:t xml:space="preserve">§13.7.e  </w:t>
      </w:r>
      <w:r>
        <w:rPr>
          <w:rFonts w:ascii="Garamond" w:cs="Garamond" w:eastAsia="Garamond" w:hAnsi="Garamond"/>
          <w:b/>
          <w:bCs/>
          <w:i w:val="false"/>
          <w:iCs w:val="false"/>
          <w:color w:val="1B2A4A"/>
          <w:sz w:val="22"/>
          <w:szCs w:val="22"/>
        </w:rPr>
        <w:t xml:space="preserve">Senate Ratification and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is a constitutionally independent body responsible for the operation of the National Record System and the National Voting System. It is governed by an elected Director and two panels of three administrators each — the NRS Panel and the Elections Panel. The Commission is independent of both executives and the Legislature in the exercise of its administrative and certification functions. References in this Constitution to the "Electoral Commission" and to "the EC" refer to the Elections Panel of the Digital Infrastructure Commission unless the context requires otherwise.</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Director — Election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is elected by national ranked-choice vote on National Election Day to a single non-renewable 8-year term, staggered from the administrator appointment cycles. The Director chairs the Commission and holds one vote on all Commission decisions. No person may serve more than one term as Director. The Director may not hold concurrent service on either panel. No person who has held elected office or party membership within ten years of their election may stand as Director. Campaigns for the Director position are publicly funded in full — no private money may be spent on Director campaigns.</w:t>
      </w:r>
    </w:p>
    <w:p>
      <w:pPr>
        <w:spacing w:after="60" w:before="200"/>
        <w:ind w:left="431"/>
        <w:jc w:val="left"/>
      </w:pPr>
      <w:r>
        <w:rPr>
          <w:rFonts w:ascii="Courier New" w:cs="Courier New" w:eastAsia="Courier New" w:hAnsi="Courier New"/>
          <w:b/>
          <w:bCs/>
          <w:color w:val="1B2A4A"/>
          <w:sz w:val="18"/>
          <w:szCs w:val="18"/>
        </w:rPr>
        <w:t xml:space="preserve">§16.1.b  </w:t>
      </w:r>
      <w:r>
        <w:rPr>
          <w:rFonts w:ascii="Garamond" w:cs="Garamond" w:eastAsia="Garamond" w:hAnsi="Garamond"/>
          <w:b/>
          <w:bCs/>
          <w:i w:val="false"/>
          <w:iCs w:val="false"/>
          <w:color w:val="1B2A4A"/>
          <w:sz w:val="22"/>
          <w:szCs w:val="22"/>
        </w:rPr>
        <w:t xml:space="preserve">Panel Composition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consists of three administrators responsible for the operation of the National Record System. The Elections Panel consists of three administrators responsible for the operation of the National Voting System and the administration of all federal elections and referenda. Administrators serve staggered non-renewable 6-year terms. Within each panel, terms are staggered so that no more than one seat per panel turns over in any two-year window. All administrators are appointed through the pool process under §16.1.c.</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Digital Infrastructure Pool and 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maintains their own pool of nominees for panel appointments. Either executive may nominate any number of qualified persons to their pool at any time. The JI reviews each nominee and publishes a qualification report to the NRS within 30 days of nomination, assessing whether the nominee meets the qualification requirements established by statute for the relevant panel track — NRS track or Elections track. Pool membership is established by JI qualification certification; no Senate confirmation is required for pool entry. A nominee whose qualifications have not been JI-certified may not be selected for panel appointment. When a panel vacancy arises, each executive selects one JI-certified nominee from their respective pool for that panel's qualification track and transmits the name to the Director. The Director selects one of the two nominees and transmits that selection to the Senate. The Senate confirms the Director's selection within 60 days; failure to vote within 60 days is a constitutional compliance breach certified by the LI. If the Director finds neither nominee acceptable, the Director publishes the reasons to the NRS and requests new nominations from both executives; each executive must respond with a new nominee within 30 days. If the Director finds one nominee acceptable but has published reasons to the NRS that the other nominee raises an independence or qualification concern, the Director may request a replacement from that specific executive only; that executive must respond with a new nominee within 30 days. The Director may not request replacements indefinitely — after two replacement requests from the same executive for the same vacancy, the Director must select from the nominees then available. DIC panel vacancies must be filled within 90 days of opening; if either executive fails to transmit a nominee within 60 days of the vacancy, the LI publishes a notice of constitutional non-compliance to the NRS. No deemed confirmation applies to DIC panel appointments — the Senate must hold an affirmative vote.</w:t>
      </w:r>
    </w:p>
    <w:p>
      <w:pPr>
        <w:spacing w:after="60" w:before="200"/>
        <w:ind w:left="431"/>
        <w:jc w:val="left"/>
      </w:pPr>
      <w:r>
        <w:rPr>
          <w:rFonts w:ascii="Courier New" w:cs="Courier New" w:eastAsia="Courier New" w:hAnsi="Courier New"/>
          <w:b/>
          <w:bCs/>
          <w:color w:val="1B2A4A"/>
          <w:sz w:val="18"/>
          <w:szCs w:val="18"/>
        </w:rPr>
        <w:t xml:space="preserve">§16.1.d  </w:t>
      </w:r>
      <w:r>
        <w:rPr>
          <w:rFonts w:ascii="Garamond" w:cs="Garamond" w:eastAsia="Garamond" w:hAnsi="Garamond"/>
          <w:b/>
          <w:bCs/>
          <w:i w:val="false"/>
          <w:iCs w:val="false"/>
          <w:color w:val="1B2A4A"/>
          <w:sz w:val="22"/>
          <w:szCs w:val="22"/>
        </w:rPr>
        <w:t xml:space="preserve">Commission Decision-Making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Commission — Director and six administrators — decides on architecture standards, technical policy, budget, and institutional matters by simple majority of full seated membership. The Director holds one vote and is not entitled to a separate veto. For operational decisions within each system, the relevant panel of three administrators decides by majority vote; the Director may participate in panel discussions but does not vote on operational decisions. Where a panel is deadlocked 1-1-1, the Director casts a deciding vote on that operational matter only.</w:t>
      </w:r>
    </w:p>
    <w:p>
      <w:pPr>
        <w:spacing w:after="60" w:before="200"/>
        <w:ind w:left="431"/>
        <w:jc w:val="left"/>
      </w:pPr>
      <w:r>
        <w:rPr>
          <w:rFonts w:ascii="Courier New" w:cs="Courier New" w:eastAsia="Courier New" w:hAnsi="Courier New"/>
          <w:b/>
          <w:bCs/>
          <w:color w:val="1B2A4A"/>
          <w:sz w:val="18"/>
          <w:szCs w:val="18"/>
        </w:rPr>
        <w:t xml:space="preserve">§16.1.e  </w:t>
      </w:r>
      <w:r>
        <w:rPr>
          <w:rFonts w:ascii="Garamond" w:cs="Garamond" w:eastAsia="Garamond" w:hAnsi="Garamond"/>
          <w:b/>
          <w:bCs/>
          <w:i w:val="false"/>
          <w:iCs w:val="false"/>
          <w:color w:val="1B2A4A"/>
          <w:sz w:val="22"/>
          <w:szCs w:val="22"/>
        </w:rPr>
        <w:t xml:space="preserve">Operational Independence of Panels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has sole operational authority over the content, timing, and availability of records published to the National Record System. The Director and Elections Panel may not issue instructions to the NRS Panel regarding any specific record. The Elections Panel has sole operational authority over the conduct of elections, the administration of the National Voting System, and the certification of all electoral results. The Director and NRS Panel may not issue instructions to the Elections Panel regarding election conduct or result certification. These independence protections are absolute and may not be modified by Commission policy or Director directive.</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Administrator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Panel administrators must hold at least 12 years of professional expertise in cryptography, distributed systems, information security, or public records management, and must have no current or recent partisan affiliation. Elections Panel administrators must hold at least 12 years of professional expertise in elections administration, electoral technology, or public administration, and must have no current or recent partisan affiliation. All administrators must pass the Constitutional Logic Test. Qualifications are assessed by the JI at time of pool nomination and published to the NRS.</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Removal of Director and Administrators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and panel administrators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A Director or administrator subject to active removal proceedings is suspended from duties pending the legislative vote. Any removal vote scheduled within 180 days of a major national election is automatically suspended pending SC review within 48 hours.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Digital Infrastructure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Commission's independence does not place it above accountability. The EI oversees the Director and the Commission as a whole. The LI audits NRS Panel operations and NRS integrity annually under §9.1.e. The JI audits Elections Panel operations and electoral integrity annually. All audit findings are published to the NRS and transmitted to both chambers of the Legislature.</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vacancy process under §16.1.c runs immediately. The replacement serves the remainder of the vacated term only and may not subsequently be nominated to the pool for the same panel track. Where the Director seat becomes vacant, the six panel administrators jointly designate one as Acting Director by majority vote within 7 days; a special Director election must be held within 120 days. The Acting Director holds full Director authority except the deciding-vote power under §16.1.d.</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Emergency Technical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the Commission to adopt temporary technical measures in imminent security threats or system failures, bypassing the normal majority decision threshold. The emergency power is narrowly constrained — it cannot change electoral rules, timelines, candidate eligibility, or NRS record permanence. It is a system-integrity tool only. Emergency measures expire within 72 hours unless ratified by the full Commission at a convened session.</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The National Trust Administrator is independently confirmed under the §2.2.h escalation framework.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whose independence is protected by statute.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established in §19.3.a through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social state system continuity under §10.1, public safety, and essential services. No new permanent legislation.</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NRS Panel administrators of the Digital Infrastructure Commission are appointed. Digital Infrastructure Commission Elections Panel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NRS Panel administrators.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NRS Panel administrators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2026-05-22T01:50:25.980Z</dcterms:created>
  <dcterms:modified xsi:type="dcterms:W3CDTF">2026-05-22T01:50:25.994Z</dcterms:modified>
</cp:coreProperties>
</file>

<file path=docProps/custom.xml><?xml version="1.0" encoding="utf-8"?>
<Properties xmlns="http://schemas.openxmlformats.org/officeDocument/2006/custom-properties" xmlns:vt="http://schemas.openxmlformats.org/officeDocument/2006/docPropsVTypes"/>
</file>